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0" w:firstLineChars="50"/>
        <w:jc w:val="center"/>
        <w:rPr>
          <w:rFonts w:ascii="微软雅黑" w:hAnsi="微软雅黑" w:eastAsia="微软雅黑"/>
          <w:b/>
          <w:color w:val="FF3300"/>
          <w:sz w:val="22"/>
          <w:szCs w:val="22"/>
        </w:rPr>
      </w:pPr>
      <w:r>
        <w:rPr>
          <w:rFonts w:hint="eastAsia" w:ascii="微软雅黑" w:hAnsi="微软雅黑" w:eastAsia="微软雅黑"/>
          <w:b/>
          <w:color w:val="FF3300"/>
          <w:sz w:val="32"/>
          <w:szCs w:val="21"/>
        </w:rPr>
        <w:t xml:space="preserve">国际贸易实务操作技巧与风险防控 </w:t>
      </w:r>
      <w:r>
        <w:rPr>
          <w:rFonts w:hint="eastAsia" w:ascii="微软雅黑" w:hAnsi="微软雅黑" w:eastAsia="微软雅黑"/>
          <w:b/>
          <w:color w:val="FF3300"/>
          <w:sz w:val="22"/>
          <w:szCs w:val="22"/>
        </w:rPr>
        <w:t>（2天）</w:t>
      </w:r>
    </w:p>
    <w:p>
      <w:pPr>
        <w:spacing w:line="360" w:lineRule="auto"/>
        <w:jc w:val="left"/>
        <w:rPr>
          <w:b/>
          <w:color w:val="FF3300"/>
          <w:szCs w:val="21"/>
        </w:rPr>
      </w:pPr>
      <w:r>
        <w:rPr>
          <w:rFonts w:hint="eastAsia"/>
          <w:b/>
          <w:color w:val="FF3300"/>
          <w:szCs w:val="21"/>
        </w:rPr>
        <w:t>培训费用：</w:t>
      </w:r>
      <w:r>
        <w:rPr>
          <w:b/>
          <w:szCs w:val="21"/>
        </w:rPr>
        <w:t>3</w:t>
      </w:r>
      <w:r>
        <w:rPr>
          <w:rFonts w:hint="eastAsia"/>
          <w:b/>
          <w:szCs w:val="21"/>
        </w:rPr>
        <w:t>90</w:t>
      </w:r>
      <w:r>
        <w:rPr>
          <w:b/>
          <w:szCs w:val="21"/>
        </w:rPr>
        <w:t>0</w:t>
      </w:r>
      <w:r>
        <w:rPr>
          <w:rFonts w:hint="eastAsia"/>
          <w:b/>
          <w:szCs w:val="21"/>
        </w:rPr>
        <w:t>元</w:t>
      </w:r>
      <w:r>
        <w:rPr>
          <w:b/>
          <w:szCs w:val="21"/>
        </w:rPr>
        <w:t>/</w:t>
      </w:r>
      <w:r>
        <w:rPr>
          <w:rFonts w:hint="eastAsia"/>
          <w:b/>
          <w:szCs w:val="21"/>
        </w:rPr>
        <w:t>人（讲师授课费、教材资料费、培训证书、发票、午餐及茶点等）</w:t>
      </w:r>
    </w:p>
    <w:p>
      <w:pPr>
        <w:spacing w:line="360" w:lineRule="auto"/>
        <w:jc w:val="left"/>
        <w:rPr>
          <w:b/>
          <w:color w:val="FF3300"/>
          <w:szCs w:val="21"/>
        </w:rPr>
      </w:pPr>
      <w:r>
        <w:rPr>
          <w:rFonts w:hint="eastAsia"/>
          <w:b/>
          <w:color w:val="FF3300"/>
          <w:szCs w:val="21"/>
        </w:rPr>
        <w:t>参加对象</w:t>
      </w:r>
      <w:r>
        <w:rPr>
          <w:b/>
          <w:color w:val="FF3300"/>
          <w:szCs w:val="21"/>
        </w:rPr>
        <w:t>：</w:t>
      </w:r>
      <w:r>
        <w:rPr>
          <w:rFonts w:ascii="宋体" w:hAnsi="宋体"/>
          <w:color w:val="000000"/>
          <w:szCs w:val="21"/>
        </w:rPr>
        <w:t>进出口企业总经理、物流、贸易、进出口、报关、国际采购人员,</w:t>
      </w:r>
      <w:r>
        <w:rPr>
          <w:rFonts w:hint="eastAsia" w:ascii="宋体" w:hAnsi="宋体"/>
          <w:color w:val="000000"/>
          <w:szCs w:val="21"/>
        </w:rPr>
        <w:t>及相关</w:t>
      </w:r>
      <w:r>
        <w:rPr>
          <w:rFonts w:ascii="宋体" w:hAnsi="宋体"/>
          <w:color w:val="000000"/>
          <w:szCs w:val="21"/>
        </w:rPr>
        <w:t>业务人员</w:t>
      </w:r>
      <w:r>
        <w:rPr>
          <w:rFonts w:hint="eastAsia" w:ascii="宋体" w:hAnsi="宋体"/>
          <w:color w:val="000000"/>
          <w:szCs w:val="21"/>
        </w:rPr>
        <w:t>。</w:t>
      </w:r>
    </w:p>
    <w:p>
      <w:pPr>
        <w:spacing w:line="360" w:lineRule="auto"/>
        <w:jc w:val="left"/>
        <w:rPr>
          <w:b/>
          <w:color w:val="FF3300"/>
          <w:szCs w:val="21"/>
        </w:rPr>
      </w:pPr>
      <w:r>
        <w:rPr>
          <w:rFonts w:hint="eastAsia"/>
          <w:b/>
          <w:szCs w:val="21"/>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29210</wp:posOffset>
                </wp:positionV>
                <wp:extent cx="5715000" cy="0"/>
                <wp:effectExtent l="0" t="19050" r="19050" b="38100"/>
                <wp:wrapNone/>
                <wp:docPr id="7" name="Line 18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E36C0A"/>
                          </a:solidFill>
                          <a:round/>
                        </a:ln>
                        <a:effectLst/>
                      </wps:spPr>
                      <wps:bodyPr/>
                    </wps:wsp>
                  </a:graphicData>
                </a:graphic>
              </wp:anchor>
            </w:drawing>
          </mc:Choice>
          <mc:Fallback>
            <w:pict>
              <v:line id="Line 185" o:spid="_x0000_s1026" o:spt="20" style="position:absolute;left:0pt;margin-left:0.25pt;margin-top:2.3pt;height:0pt;width:450pt;z-index:251659264;mso-width-relative:page;mso-height-relative:page;" filled="f" stroked="t" coordsize="21600,21600" o:gfxdata="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4s03tMAAAAEAQAADwAAAAAAAAABACAAAAAiAAAAZHJzL2Rvd25yZXYueG1sUEsB&#10;AhQAFAAAAAgAh07iQDqrn0XBAQAAcwMAAA4AAAAAAAAAAQAgAAAAIgEAAGRycy9lMm9Eb2MueG1s&#10;UEsFBgAAAAAGAAYAWQEAAFUFAAAAAA==&#10;">
                <v:fill on="f" focussize="0,0"/>
                <v:stroke weight="4.5pt" color="#E36C0A" linestyle="thinThick" joinstyle="round"/>
                <v:imagedata o:title=""/>
                <o:lock v:ext="edit" aspectratio="f"/>
              </v:line>
            </w:pict>
          </mc:Fallback>
        </mc:AlternateContent>
      </w:r>
    </w:p>
    <w:p>
      <w:pPr>
        <w:spacing w:line="360" w:lineRule="auto"/>
        <w:jc w:val="left"/>
        <w:rPr>
          <w:b/>
          <w:color w:val="FF3300"/>
          <w:szCs w:val="21"/>
        </w:rPr>
      </w:pPr>
      <w:r>
        <w:rPr>
          <w:rFonts w:hint="eastAsia"/>
          <w:b/>
          <w:color w:val="FF3300"/>
          <w:szCs w:val="21"/>
        </w:rPr>
        <w:t>课程介绍</w:t>
      </w:r>
    </w:p>
    <w:p>
      <w:pPr>
        <w:spacing w:line="360" w:lineRule="auto"/>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中国企业从国外采购的金额每年都在递增，众多跨国企业落户中国设立工厂或建立国际采购中心/IPO寻购，采购人员的日常工作中越来越多地涉及到国际贸易，物流及进出口实务等相关业务。国际贸易知识，进出口操作，物流通关及外汇结算等知识已经成为当今采购/贸易人员必备的基本技能。另外，国际贸易是高收益与高难度、高风险并存的，如何操作国际贸易、拓展国际业务、防范风险？如何选择交易币种？如何进行套期保值？仅凭以往似懂非懂的经验进行操作，已经不能满足时代的需要。仅凭以往的经验进行操作，还可以</w:t>
      </w:r>
      <w:r>
        <w:rPr>
          <w:rFonts w:asciiTheme="minorEastAsia" w:hAnsiTheme="minorEastAsia" w:eastAsiaTheme="minorEastAsia"/>
          <w:sz w:val="20"/>
          <w:szCs w:val="20"/>
        </w:rPr>
        <w:t>继续</w:t>
      </w:r>
      <w:r>
        <w:rPr>
          <w:rFonts w:hint="eastAsia" w:asciiTheme="minorEastAsia" w:hAnsiTheme="minorEastAsia" w:eastAsiaTheme="minorEastAsia"/>
          <w:sz w:val="20"/>
          <w:szCs w:val="20"/>
        </w:rPr>
        <w:t>吗？？参加</w:t>
      </w:r>
      <w:r>
        <w:rPr>
          <w:rFonts w:asciiTheme="minorEastAsia" w:hAnsiTheme="minorEastAsia" w:eastAsiaTheme="minorEastAsia"/>
          <w:sz w:val="20"/>
          <w:szCs w:val="20"/>
        </w:rPr>
        <w:t>此次培训能</w:t>
      </w:r>
      <w:r>
        <w:rPr>
          <w:rFonts w:hint="eastAsia" w:asciiTheme="minorEastAsia" w:hAnsiTheme="minorEastAsia" w:eastAsiaTheme="minorEastAsia"/>
          <w:sz w:val="20"/>
          <w:szCs w:val="20"/>
        </w:rPr>
        <w:t>让你的企业少交些学费！</w:t>
      </w:r>
    </w:p>
    <w:p>
      <w:pPr>
        <w:spacing w:line="360" w:lineRule="auto"/>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本课程精选了国际贸易的核心知识，并结合最新的国际贸易条款详实讲解分析国际贸易中的各环节风险及规避方法，通过讲师多年实际工作中总结的实际案例，同时辅以模拟演练旨在帮助学员培养务实的操作和管理能力，敏锐的风险分析和预防能力，及驾驭全局的战略性思维模式，使学员全面掌握解决贸易实务问题的办法，提高国贸人员在复杂的国内外经济、社会环境下进行进口/出口战略、参与国际竞争的知识和能力。</w:t>
      </w:r>
    </w:p>
    <w:p>
      <w:pPr>
        <w:spacing w:line="360" w:lineRule="auto"/>
        <w:ind w:firstLine="420" w:firstLineChars="200"/>
        <w:jc w:val="left"/>
        <w:rPr>
          <w:rFonts w:hint="eastAsia" w:ascii="宋体" w:hAnsi="宋体"/>
          <w:color w:val="000000"/>
          <w:szCs w:val="21"/>
        </w:rPr>
      </w:pPr>
    </w:p>
    <w:p>
      <w:pPr>
        <w:spacing w:line="360" w:lineRule="auto"/>
        <w:jc w:val="left"/>
        <w:rPr>
          <w:b/>
          <w:color w:val="FF3300"/>
          <w:szCs w:val="21"/>
        </w:rPr>
      </w:pPr>
      <w:r>
        <w:rPr>
          <w:rFonts w:hint="eastAsia"/>
          <w:b/>
          <w:color w:val="FF3300"/>
          <w:szCs w:val="21"/>
        </w:rPr>
        <w:t>课程收益</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学习并掌握国际贸易4组13个术语</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买卖双方应当如何选择应用国际贸易术语</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如何根据产品不同选择国际贸易术语</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进出口报关的流程</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如何提升企业的报关时效</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HS归类的一般准则</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修理品，退运品的处理</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国际贸易业务中交易货币的选择注意</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国际外汇结算的操作</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信用证操作要点</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国际物流成本控制方法</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国际货物运输方式的选择</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保险的重要性</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国际合同中的法律适用</w:t>
      </w:r>
    </w:p>
    <w:p>
      <w:pPr>
        <w:pStyle w:val="23"/>
        <w:numPr>
          <w:ilvl w:val="0"/>
          <w:numId w:val="1"/>
        </w:numPr>
        <w:spacing w:line="360" w:lineRule="auto"/>
        <w:ind w:firstLineChars="0"/>
        <w:rPr>
          <w:rFonts w:asciiTheme="minorEastAsia" w:hAnsiTheme="minorEastAsia" w:eastAsiaTheme="minorEastAsia"/>
          <w:sz w:val="20"/>
          <w:szCs w:val="20"/>
        </w:rPr>
      </w:pPr>
      <w:r>
        <w:rPr>
          <w:rFonts w:hint="eastAsia" w:asciiTheme="minorEastAsia" w:hAnsiTheme="minorEastAsia" w:eastAsiaTheme="minorEastAsia"/>
          <w:sz w:val="20"/>
          <w:szCs w:val="20"/>
        </w:rPr>
        <w:t>避免违约的几种方法</w:t>
      </w:r>
    </w:p>
    <w:p>
      <w:pPr>
        <w:pStyle w:val="23"/>
        <w:numPr>
          <w:ilvl w:val="0"/>
          <w:numId w:val="1"/>
        </w:numPr>
        <w:spacing w:line="360" w:lineRule="auto"/>
        <w:ind w:firstLineChars="0"/>
        <w:jc w:val="left"/>
        <w:rPr>
          <w:sz w:val="20"/>
          <w:szCs w:val="20"/>
        </w:rPr>
      </w:pPr>
      <w:r>
        <w:rPr>
          <w:rFonts w:hint="eastAsia" w:asciiTheme="minorEastAsia" w:hAnsiTheme="minorEastAsia" w:eastAsiaTheme="minorEastAsia"/>
          <w:sz w:val="20"/>
          <w:szCs w:val="20"/>
        </w:rPr>
        <w:t>纠纷预防的主要措施</w:t>
      </w:r>
    </w:p>
    <w:p>
      <w:pPr>
        <w:spacing w:line="360" w:lineRule="auto"/>
        <w:jc w:val="left"/>
        <w:rPr>
          <w:sz w:val="20"/>
          <w:szCs w:val="20"/>
        </w:rPr>
      </w:pPr>
    </w:p>
    <w:p>
      <w:pPr>
        <w:spacing w:line="360" w:lineRule="auto"/>
        <w:jc w:val="left"/>
        <w:rPr>
          <w:sz w:val="20"/>
          <w:szCs w:val="20"/>
        </w:rPr>
      </w:pPr>
    </w:p>
    <w:p>
      <w:pPr>
        <w:spacing w:line="360" w:lineRule="auto"/>
        <w:jc w:val="left"/>
        <w:rPr>
          <w:sz w:val="20"/>
          <w:szCs w:val="20"/>
        </w:rPr>
      </w:pPr>
    </w:p>
    <w:p>
      <w:pPr>
        <w:spacing w:line="360" w:lineRule="auto"/>
        <w:ind w:right="29" w:rightChars="14"/>
        <w:jc w:val="left"/>
        <w:rPr>
          <w:b/>
          <w:color w:val="FF3300"/>
          <w:szCs w:val="21"/>
        </w:rPr>
      </w:pPr>
      <w:r>
        <w:rPr>
          <w:rFonts w:hint="eastAsia"/>
          <w:b/>
          <w:color w:val="FF3300"/>
          <w:szCs w:val="21"/>
        </w:rPr>
        <w:t>课程大纲</w:t>
      </w:r>
    </w:p>
    <w:p>
      <w:pPr>
        <w:spacing w:line="360" w:lineRule="auto"/>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专题（一）国际贸易报价及贸易术语的使用（授课时间：</w:t>
      </w:r>
      <w:r>
        <w:rPr>
          <w:rFonts w:asciiTheme="minorEastAsia" w:hAnsiTheme="minorEastAsia" w:eastAsiaTheme="minorEastAsia"/>
          <w:b/>
          <w:bCs/>
          <w:color w:val="FF0000"/>
          <w:sz w:val="20"/>
          <w:szCs w:val="20"/>
        </w:rPr>
        <w:t>09:00-12:00</w:t>
      </w:r>
      <w:r>
        <w:rPr>
          <w:rFonts w:hint="eastAsia" w:asciiTheme="minorEastAsia" w:hAnsiTheme="minorEastAsia" w:eastAsiaTheme="minorEastAsia"/>
          <w:b/>
          <w:bCs/>
          <w:color w:val="FF0000"/>
          <w:sz w:val="20"/>
          <w:szCs w:val="20"/>
        </w:rPr>
        <w:t>）</w:t>
      </w:r>
    </w:p>
    <w:p>
      <w:pPr>
        <w:widowControl/>
        <w:spacing w:line="360" w:lineRule="auto"/>
        <w:jc w:val="left"/>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1．国际贸易惯例在国际贸易中的作用</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国际货物贸易中的合同的形式有哪些？</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国际贸易业务一定要签订书面合同吗？</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书面合同的形式有哪些？</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PI</w:t>
      </w:r>
      <w:r>
        <w:rPr>
          <w:rFonts w:hint="eastAsia" w:cs="楷体_GB2312" w:asciiTheme="minorEastAsia" w:hAnsiTheme="minorEastAsia" w:eastAsiaTheme="minorEastAsia"/>
          <w:sz w:val="20"/>
          <w:szCs w:val="20"/>
        </w:rPr>
        <w:t>可以代替合同吗？</w:t>
      </w:r>
      <w:r>
        <w:rPr>
          <w:rFonts w:cs="楷体_GB2312" w:asciiTheme="minorEastAsia" w:hAnsiTheme="minorEastAsia" w:eastAsiaTheme="minorEastAsia"/>
          <w:sz w:val="20"/>
          <w:szCs w:val="20"/>
        </w:rPr>
        <w:t>PO</w:t>
      </w:r>
      <w:r>
        <w:rPr>
          <w:rFonts w:hint="eastAsia" w:cs="楷体_GB2312" w:asciiTheme="minorEastAsia" w:hAnsiTheme="minorEastAsia" w:eastAsiaTheme="minorEastAsia"/>
          <w:sz w:val="20"/>
          <w:szCs w:val="20"/>
        </w:rPr>
        <w:t>可以代替合同吗？</w:t>
      </w:r>
    </w:p>
    <w:p>
      <w:pPr>
        <w:spacing w:line="360" w:lineRule="auto"/>
        <w:rPr>
          <w:rFonts w:asciiTheme="minorEastAsia" w:hAnsiTheme="minorEastAsia" w:eastAsiaTheme="minorEastAsia"/>
          <w:b/>
          <w:bCs/>
          <w:vanish/>
          <w:sz w:val="20"/>
          <w:szCs w:val="20"/>
        </w:rPr>
      </w:pPr>
      <w:r>
        <w:rPr>
          <w:rFonts w:hint="eastAsia" w:asciiTheme="minorEastAsia" w:hAnsiTheme="minorEastAsia" w:eastAsiaTheme="minorEastAsia"/>
          <w:b/>
          <w:bCs/>
          <w:sz w:val="20"/>
          <w:szCs w:val="20"/>
        </w:rPr>
        <w:t>2．国际货物买卖合同适用的规则</w:t>
      </w:r>
    </w:p>
    <w:p>
      <w:pPr>
        <w:spacing w:line="360" w:lineRule="auto"/>
        <w:rPr>
          <w:rFonts w:asciiTheme="minorEastAsia" w:hAnsiTheme="minorEastAsia" w:eastAsiaTheme="minorEastAsia"/>
          <w:vanish/>
          <w:sz w:val="20"/>
          <w:szCs w:val="20"/>
        </w:rPr>
      </w:pPr>
    </w:p>
    <w:p>
      <w:pPr>
        <w:spacing w:line="360" w:lineRule="auto"/>
        <w:ind w:left="1680" w:leftChars="800"/>
        <w:rPr>
          <w:rFonts w:asciiTheme="minorEastAsia" w:hAnsiTheme="minorEastAsia" w:eastAsiaTheme="minorEastAsia"/>
          <w:sz w:val="20"/>
          <w:szCs w:val="20"/>
        </w:rPr>
      </w:pP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相关的法律及其适用</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相关的国际惯例及其适用</w:t>
      </w:r>
    </w:p>
    <w:p>
      <w:pPr>
        <w:spacing w:line="360" w:lineRule="auto"/>
        <w:rPr>
          <w:rFonts w:asciiTheme="minorEastAsia" w:hAnsiTheme="minorEastAsia" w:eastAsiaTheme="minorEastAsia"/>
          <w:sz w:val="20"/>
          <w:szCs w:val="20"/>
        </w:rPr>
      </w:pPr>
      <w:r>
        <w:rPr>
          <w:rFonts w:hint="eastAsia" w:asciiTheme="minorEastAsia" w:hAnsiTheme="minorEastAsia" w:eastAsiaTheme="minorEastAsia"/>
          <w:b/>
          <w:bCs/>
          <w:sz w:val="20"/>
          <w:szCs w:val="20"/>
        </w:rPr>
        <w:t>3．国际贸易惯例之一</w:t>
      </w:r>
      <w:r>
        <w:rPr>
          <w:rFonts w:asciiTheme="minorEastAsia" w:hAnsiTheme="minorEastAsia" w:eastAsiaTheme="minorEastAsia"/>
          <w:b/>
          <w:bCs/>
          <w:sz w:val="20"/>
          <w:szCs w:val="20"/>
        </w:rPr>
        <w:t>——</w:t>
      </w:r>
      <w:r>
        <w:rPr>
          <w:rFonts w:hint="eastAsia" w:asciiTheme="minorEastAsia" w:hAnsiTheme="minorEastAsia" w:eastAsiaTheme="minorEastAsia"/>
          <w:b/>
          <w:bCs/>
          <w:sz w:val="20"/>
          <w:szCs w:val="20"/>
        </w:rPr>
        <w:t>国际贸易术语相关的相关国际惯例</w:t>
      </w:r>
    </w:p>
    <w:p>
      <w:pPr>
        <w:numPr>
          <w:ilvl w:val="2"/>
          <w:numId w:val="2"/>
        </w:numPr>
        <w:tabs>
          <w:tab w:val="left" w:pos="840"/>
          <w:tab w:val="clear" w:pos="1260"/>
        </w:tabs>
        <w:spacing w:line="360" w:lineRule="auto"/>
        <w:ind w:left="840" w:leftChars="200"/>
        <w:rPr>
          <w:rFonts w:asciiTheme="minorEastAsia" w:hAnsiTheme="minorEastAsia" w:eastAsiaTheme="minorEastAsia"/>
          <w:sz w:val="20"/>
          <w:szCs w:val="20"/>
        </w:rPr>
      </w:pPr>
      <w:r>
        <w:rPr>
          <w:rFonts w:hint="eastAsia" w:cs="楷体_GB2312" w:asciiTheme="minorEastAsia" w:hAnsiTheme="minorEastAsia" w:eastAsiaTheme="minorEastAsia"/>
          <w:sz w:val="20"/>
          <w:szCs w:val="20"/>
        </w:rPr>
        <w:t>《华沙——牛津规则》</w:t>
      </w:r>
      <w:r>
        <w:rPr>
          <w:rFonts w:asciiTheme="minorEastAsia" w:hAnsiTheme="minorEastAsia" w:eastAsiaTheme="minorEastAsia"/>
          <w:sz w:val="20"/>
          <w:szCs w:val="20"/>
        </w:rPr>
        <w:t xml:space="preserve"> </w:t>
      </w:r>
    </w:p>
    <w:p>
      <w:pPr>
        <w:widowControl/>
        <w:spacing w:line="360" w:lineRule="auto"/>
        <w:ind w:firstLine="1000" w:firstLineChars="500"/>
        <w:jc w:val="left"/>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asciiTheme="minorEastAsia" w:hAnsiTheme="minorEastAsia" w:eastAsiaTheme="minorEastAsia"/>
          <w:sz w:val="20"/>
          <w:szCs w:val="20"/>
        </w:rPr>
        <w:t>Warsaw-Oxford Rules</w:t>
      </w:r>
      <w:r>
        <w:rPr>
          <w:rFonts w:hint="eastAsia" w:asciiTheme="minorEastAsia" w:hAnsiTheme="minorEastAsia" w:eastAsiaTheme="minorEastAsia"/>
          <w:sz w:val="20"/>
          <w:szCs w:val="20"/>
        </w:rPr>
        <w:t>，简称</w:t>
      </w:r>
      <w:r>
        <w:rPr>
          <w:rFonts w:asciiTheme="minorEastAsia" w:hAnsiTheme="minorEastAsia" w:eastAsiaTheme="minorEastAsia"/>
          <w:sz w:val="20"/>
          <w:szCs w:val="20"/>
        </w:rPr>
        <w:t>W. O. Rules</w:t>
      </w:r>
      <w:r>
        <w:rPr>
          <w:rFonts w:hint="eastAsia" w:asciiTheme="minorEastAsia" w:hAnsiTheme="minorEastAsia" w:eastAsiaTheme="minorEastAsia"/>
          <w:sz w:val="20"/>
          <w:szCs w:val="20"/>
        </w:rPr>
        <w:t xml:space="preserve"> </w:t>
      </w:r>
      <w:r>
        <w:rPr>
          <w:rFonts w:asciiTheme="minorEastAsia" w:hAnsiTheme="minorEastAsia" w:eastAsiaTheme="minorEastAsia"/>
          <w:sz w:val="20"/>
          <w:szCs w:val="20"/>
        </w:rPr>
        <w:t xml:space="preserve">1932 </w:t>
      </w:r>
      <w:r>
        <w:rPr>
          <w:rFonts w:hint="eastAsia" w:asciiTheme="minorEastAsia" w:hAnsiTheme="minorEastAsia" w:eastAsiaTheme="minorEastAsia"/>
          <w:sz w:val="20"/>
          <w:szCs w:val="20"/>
        </w:rPr>
        <w:t>）</w:t>
      </w:r>
    </w:p>
    <w:p>
      <w:pPr>
        <w:numPr>
          <w:ilvl w:val="2"/>
          <w:numId w:val="2"/>
        </w:numPr>
        <w:spacing w:line="360" w:lineRule="auto"/>
        <w:ind w:left="840" w:leftChars="200"/>
        <w:rPr>
          <w:rFonts w:asciiTheme="minorEastAsia" w:hAnsiTheme="minorEastAsia" w:eastAsiaTheme="minorEastAsia"/>
          <w:sz w:val="20"/>
          <w:szCs w:val="20"/>
        </w:rPr>
      </w:pPr>
      <w:r>
        <w:rPr>
          <w:rFonts w:hint="eastAsia" w:cs="宋体" w:asciiTheme="minorEastAsia" w:hAnsiTheme="minorEastAsia" w:eastAsiaTheme="minorEastAsia"/>
          <w:sz w:val="20"/>
          <w:szCs w:val="20"/>
        </w:rPr>
        <w:t>•</w:t>
      </w:r>
      <w:r>
        <w:rPr>
          <w:rFonts w:hint="eastAsia" w:cs="楷体_GB2312" w:asciiTheme="minorEastAsia" w:hAnsiTheme="minorEastAsia" w:eastAsiaTheme="minorEastAsia"/>
          <w:sz w:val="20"/>
          <w:szCs w:val="20"/>
        </w:rPr>
        <w:t>《美国对外贸易定义修正本》</w:t>
      </w:r>
    </w:p>
    <w:p>
      <w:pPr>
        <w:spacing w:line="360" w:lineRule="auto"/>
        <w:ind w:left="420" w:leftChars="200"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asciiTheme="minorEastAsia" w:hAnsiTheme="minorEastAsia" w:eastAsiaTheme="minorEastAsia"/>
          <w:sz w:val="20"/>
          <w:szCs w:val="20"/>
        </w:rPr>
        <w:t>Revised American Foreign Trade Definitions 1919/1941/1990</w:t>
      </w:r>
      <w:r>
        <w:rPr>
          <w:rFonts w:hint="eastAsia" w:asciiTheme="minorEastAsia" w:hAnsiTheme="minorEastAsia" w:eastAsiaTheme="minorEastAsia"/>
          <w:sz w:val="20"/>
          <w:szCs w:val="20"/>
        </w:rPr>
        <w:t>）</w:t>
      </w:r>
    </w:p>
    <w:p>
      <w:pPr>
        <w:numPr>
          <w:ilvl w:val="2"/>
          <w:numId w:val="2"/>
        </w:numPr>
        <w:spacing w:line="360" w:lineRule="auto"/>
        <w:ind w:left="840" w:leftChars="200"/>
        <w:rPr>
          <w:rFonts w:asciiTheme="minorEastAsia" w:hAnsiTheme="minorEastAsia" w:eastAsiaTheme="minorEastAsia"/>
          <w:b/>
          <w:bCs/>
          <w:sz w:val="20"/>
          <w:szCs w:val="20"/>
        </w:rPr>
      </w:pPr>
      <w:r>
        <w:rPr>
          <w:rFonts w:hint="eastAsia" w:cs="宋体" w:asciiTheme="minorEastAsia" w:hAnsiTheme="minorEastAsia" w:eastAsiaTheme="minorEastAsia"/>
          <w:sz w:val="20"/>
          <w:szCs w:val="20"/>
        </w:rPr>
        <w:t>•</w:t>
      </w:r>
      <w:r>
        <w:rPr>
          <w:rFonts w:hint="eastAsia" w:cs="楷体_GB2312" w:asciiTheme="minorEastAsia" w:hAnsiTheme="minorEastAsia" w:eastAsiaTheme="minorEastAsia"/>
          <w:sz w:val="20"/>
          <w:szCs w:val="20"/>
        </w:rPr>
        <w:t>《国际贸易术语解释通则》</w:t>
      </w:r>
    </w:p>
    <w:p>
      <w:pPr>
        <w:widowControl/>
        <w:spacing w:line="360" w:lineRule="auto"/>
        <w:ind w:firstLine="1200" w:firstLineChars="600"/>
        <w:jc w:val="left"/>
        <w:rPr>
          <w:rFonts w:asciiTheme="minorEastAsia" w:hAnsiTheme="minorEastAsia" w:eastAsiaTheme="minorEastAsia"/>
          <w:vanish/>
          <w:color w:val="FFFFCC"/>
          <w:sz w:val="20"/>
          <w:szCs w:val="20"/>
        </w:rPr>
      </w:pPr>
      <w:r>
        <w:rPr>
          <w:rFonts w:hint="eastAsia" w:asciiTheme="minorEastAsia" w:hAnsiTheme="minorEastAsia" w:eastAsiaTheme="minorEastAsia"/>
          <w:sz w:val="20"/>
          <w:szCs w:val="20"/>
        </w:rPr>
        <w:t>（</w:t>
      </w:r>
      <w:r>
        <w:rPr>
          <w:rFonts w:asciiTheme="minorEastAsia" w:hAnsiTheme="minorEastAsia" w:eastAsiaTheme="minorEastAsia"/>
          <w:sz w:val="20"/>
          <w:szCs w:val="20"/>
        </w:rPr>
        <w:t>INCOTERMS 1936/1957/1967/1976/1980/1990/2000/2010</w:t>
      </w:r>
      <w:r>
        <w:rPr>
          <w:rFonts w:hint="eastAsia" w:asciiTheme="minorEastAsia" w:hAnsiTheme="minorEastAsia" w:eastAsiaTheme="minorEastAsia"/>
          <w:sz w:val="20"/>
          <w:szCs w:val="20"/>
        </w:rPr>
        <w:t>）</w:t>
      </w:r>
    </w:p>
    <w:p>
      <w:pPr>
        <w:widowControl/>
        <w:spacing w:line="360" w:lineRule="auto"/>
        <w:jc w:val="left"/>
        <w:rPr>
          <w:rFonts w:asciiTheme="minorEastAsia" w:hAnsiTheme="minorEastAsia" w:eastAsiaTheme="minorEastAsia"/>
          <w:vanish/>
          <w:color w:val="FFFFCC"/>
          <w:kern w:val="0"/>
          <w:sz w:val="20"/>
          <w:szCs w:val="20"/>
        </w:rPr>
      </w:pPr>
    </w:p>
    <w:p>
      <w:pPr>
        <w:widowControl/>
        <w:spacing w:line="360" w:lineRule="auto"/>
        <w:jc w:val="left"/>
        <w:rPr>
          <w:rFonts w:asciiTheme="minorEastAsia" w:hAnsiTheme="minorEastAsia" w:eastAsiaTheme="minorEastAsia"/>
          <w:vanish/>
          <w:color w:val="FFFFCC"/>
          <w:kern w:val="0"/>
          <w:sz w:val="20"/>
          <w:szCs w:val="20"/>
        </w:rPr>
      </w:pPr>
    </w:p>
    <w:p>
      <w:pPr>
        <w:widowControl/>
        <w:spacing w:line="360" w:lineRule="auto"/>
        <w:jc w:val="left"/>
        <w:rPr>
          <w:rFonts w:asciiTheme="minorEastAsia" w:hAnsiTheme="minorEastAsia" w:eastAsiaTheme="minorEastAsia"/>
          <w:vanish/>
          <w:color w:val="FFFFCC"/>
          <w:kern w:val="0"/>
          <w:sz w:val="20"/>
          <w:szCs w:val="20"/>
        </w:rPr>
      </w:pPr>
    </w:p>
    <w:p>
      <w:pPr>
        <w:widowControl/>
        <w:spacing w:line="360" w:lineRule="auto"/>
        <w:jc w:val="left"/>
        <w:rPr>
          <w:rFonts w:asciiTheme="minorEastAsia" w:hAnsiTheme="minorEastAsia" w:eastAsiaTheme="minorEastAsia"/>
          <w:vanish/>
          <w:color w:val="FFFFCC"/>
          <w:kern w:val="0"/>
          <w:sz w:val="20"/>
          <w:szCs w:val="20"/>
        </w:rPr>
      </w:pPr>
    </w:p>
    <w:p>
      <w:pPr>
        <w:widowControl/>
        <w:spacing w:line="360" w:lineRule="auto"/>
        <w:jc w:val="left"/>
        <w:rPr>
          <w:rFonts w:asciiTheme="minorEastAsia" w:hAnsiTheme="minorEastAsia" w:eastAsiaTheme="minorEastAsia"/>
          <w:vanish/>
          <w:color w:val="FFFFCC"/>
          <w:kern w:val="0"/>
          <w:sz w:val="20"/>
          <w:szCs w:val="20"/>
        </w:rPr>
      </w:pPr>
    </w:p>
    <w:p>
      <w:pPr>
        <w:spacing w:line="360" w:lineRule="auto"/>
        <w:rPr>
          <w:rFonts w:asciiTheme="minorEastAsia" w:hAnsiTheme="minorEastAsia" w:eastAsiaTheme="minorEastAsia"/>
          <w:b/>
          <w:bCs/>
          <w:vanish/>
          <w:color w:val="FFFFCC"/>
          <w:sz w:val="20"/>
          <w:szCs w:val="20"/>
        </w:rPr>
      </w:pPr>
    </w:p>
    <w:p>
      <w:pPr>
        <w:spacing w:line="360" w:lineRule="auto"/>
        <w:rPr>
          <w:rFonts w:asciiTheme="minorEastAsia" w:hAnsiTheme="minorEastAsia" w:eastAsiaTheme="minorEastAsia"/>
          <w:vanish/>
          <w:color w:val="FFFFCC"/>
          <w:sz w:val="20"/>
          <w:szCs w:val="20"/>
        </w:rPr>
      </w:pPr>
    </w:p>
    <w:p>
      <w:pPr>
        <w:widowControl/>
        <w:numPr>
          <w:ilvl w:val="0"/>
          <w:numId w:val="3"/>
        </w:numPr>
        <w:spacing w:line="360" w:lineRule="auto"/>
        <w:jc w:val="left"/>
        <w:rPr>
          <w:rFonts w:asciiTheme="minorEastAsia" w:hAnsiTheme="minorEastAsia" w:eastAsiaTheme="minorEastAsia"/>
          <w:vanish/>
          <w:color w:val="FFFFCC"/>
          <w:kern w:val="0"/>
          <w:sz w:val="20"/>
          <w:szCs w:val="20"/>
        </w:rPr>
      </w:pPr>
    </w:p>
    <w:p>
      <w:pPr>
        <w:spacing w:line="360" w:lineRule="auto"/>
        <w:rPr>
          <w:rFonts w:asciiTheme="minorEastAsia" w:hAnsiTheme="minorEastAsia" w:eastAsiaTheme="minorEastAsia"/>
          <w:vanish/>
          <w:color w:val="FFFFCC"/>
          <w:sz w:val="20"/>
          <w:szCs w:val="20"/>
        </w:rPr>
      </w:pPr>
    </w:p>
    <w:p>
      <w:pPr>
        <w:spacing w:line="360" w:lineRule="auto"/>
        <w:rPr>
          <w:rFonts w:asciiTheme="minorEastAsia" w:hAnsiTheme="minorEastAsia" w:eastAsiaTheme="minorEastAsia"/>
          <w:b/>
          <w:bCs/>
          <w:sz w:val="20"/>
          <w:szCs w:val="20"/>
        </w:rPr>
      </w:pP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4．新版</w:t>
      </w:r>
      <w:r>
        <w:rPr>
          <w:rFonts w:asciiTheme="minorEastAsia" w:hAnsiTheme="minorEastAsia" w:eastAsiaTheme="minorEastAsia"/>
          <w:b/>
          <w:bCs/>
          <w:sz w:val="20"/>
          <w:szCs w:val="20"/>
        </w:rPr>
        <w:t>INCOTERMS ® 2010</w:t>
      </w:r>
      <w:r>
        <w:rPr>
          <w:rFonts w:hint="eastAsia" w:asciiTheme="minorEastAsia" w:hAnsiTheme="minorEastAsia" w:eastAsiaTheme="minorEastAsia"/>
          <w:b/>
          <w:bCs/>
          <w:sz w:val="20"/>
          <w:szCs w:val="20"/>
        </w:rPr>
        <w:t>的主要变化及其使用和风险防控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 xml:space="preserve">INCOTERMS </w:t>
      </w:r>
      <w:r>
        <w:rPr>
          <w:rFonts w:hint="eastAsia" w:cs="楷体_GB2312" w:asciiTheme="minorEastAsia" w:hAnsiTheme="minorEastAsia" w:eastAsiaTheme="minorEastAsia"/>
          <w:sz w:val="20"/>
          <w:szCs w:val="20"/>
        </w:rPr>
        <w:t>®</w:t>
      </w:r>
      <w:r>
        <w:rPr>
          <w:rFonts w:cs="楷体_GB2312" w:asciiTheme="minorEastAsia" w:hAnsiTheme="minorEastAsia" w:eastAsiaTheme="minorEastAsia"/>
          <w:sz w:val="20"/>
          <w:szCs w:val="20"/>
        </w:rPr>
        <w:t xml:space="preserve"> 2010</w:t>
      </w:r>
      <w:r>
        <w:rPr>
          <w:rFonts w:hint="eastAsia" w:cs="楷体_GB2312" w:asciiTheme="minorEastAsia" w:hAnsiTheme="minorEastAsia" w:eastAsiaTheme="minorEastAsia"/>
          <w:sz w:val="20"/>
          <w:szCs w:val="20"/>
        </w:rPr>
        <w:t>的主要变化</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 xml:space="preserve"> INCOTERMS ®</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2010的11个贸易术语的内涵和特征</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INCOTERMS ® 201</w:t>
      </w:r>
      <w:r>
        <w:rPr>
          <w:rFonts w:hint="eastAsia" w:cs="楷体_GB2312" w:asciiTheme="minorEastAsia" w:hAnsiTheme="minorEastAsia" w:eastAsiaTheme="minorEastAsia"/>
          <w:sz w:val="20"/>
          <w:szCs w:val="20"/>
        </w:rPr>
        <w:t>0对国际贸易合同相关条款的影响：</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对价格条款的影响：价格构成</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对交货条款的影响：交货时间、交货地点</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对运输条款的影响：运输方式及运输单据</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对付款条款的影响：象征性交货与单据买卖</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对单据条款的影响：单据的种类</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对检验条款的影响：检验时间、地点、费用</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对装运通知条款影响：及时、合理、充分通知</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对风险分担、争议解决等条款的影响</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INCOTERMS ®</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 xml:space="preserve">2010的有效使用及风险防控 </w:t>
      </w:r>
    </w:p>
    <w:p>
      <w:pPr>
        <w:spacing w:line="360" w:lineRule="auto"/>
        <w:ind w:left="1260"/>
        <w:rPr>
          <w:rFonts w:cs="楷体_GB2312" w:asciiTheme="minorEastAsia" w:hAnsiTheme="minorEastAsia" w:eastAsiaTheme="minorEastAsia"/>
          <w:sz w:val="20"/>
          <w:szCs w:val="20"/>
        </w:rPr>
      </w:pPr>
    </w:p>
    <w:p>
      <w:pPr>
        <w:spacing w:line="360" w:lineRule="auto"/>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专题（二）国际金融票据及国际贸易结算方式（授课时间：13:00-16:30）</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1．金融票据汇票、本票、支票的使用</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国际金融票据的特性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汇票的定义、内容、种类及其使用</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本票、支票与汇票的区别</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2．国际贸易结算方式（汇款、托收、信用证）的内容及风险防控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汇款的种类（前T/T，后T/T，D/D，M/T）</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分析讨论：出口企业如何用好T/T结汇以降低风险（基于CWD为基础）？</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托收业务的特点</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D/P、D/A使用中应注意的问题</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申请书逐条解析</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托收统一规则URC522重要条款解析</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案例讨论：托收的特点及风险防范。</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当前金融危机背景下，贸易融资及新型国际结算方式的使用（保理、福费庭）。</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信用证实例解析：逐条解析信用证条款的拟定及风险防范</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信用证实务操作与常见误区分析及信用证业务处理原则，如对“沉默保兑”的剖析等。</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信用证在开立、通知、修改、撤销、转让、保兑、议付、偿付等环节产生的风险和纠纷应该如何防范和处理？</w:t>
      </w:r>
    </w:p>
    <w:p>
      <w:pPr>
        <w:spacing w:line="360" w:lineRule="auto"/>
        <w:ind w:left="840"/>
        <w:rPr>
          <w:rFonts w:cs="楷体_GB2312" w:asciiTheme="minorEastAsia" w:hAnsiTheme="minorEastAsia" w:eastAsiaTheme="minorEastAsia"/>
          <w:sz w:val="20"/>
          <w:szCs w:val="20"/>
        </w:rPr>
      </w:pPr>
    </w:p>
    <w:p>
      <w:pPr>
        <w:spacing w:line="360" w:lineRule="auto"/>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专题（三）国际贸易单据制作与审核（授课时间：</w:t>
      </w:r>
      <w:r>
        <w:rPr>
          <w:rFonts w:asciiTheme="minorEastAsia" w:hAnsiTheme="minorEastAsia" w:eastAsiaTheme="minorEastAsia"/>
          <w:b/>
          <w:bCs/>
          <w:color w:val="FF0000"/>
          <w:sz w:val="20"/>
          <w:szCs w:val="20"/>
        </w:rPr>
        <w:t>09:00-12:00</w:t>
      </w:r>
      <w:r>
        <w:rPr>
          <w:rFonts w:hint="eastAsia" w:asciiTheme="minorEastAsia" w:hAnsiTheme="minorEastAsia" w:eastAsiaTheme="minorEastAsia"/>
          <w:b/>
          <w:bCs/>
          <w:color w:val="FF0000"/>
          <w:sz w:val="20"/>
          <w:szCs w:val="20"/>
        </w:rPr>
        <w:t>）</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1． 国际贸易单据制作与审核依据：国际惯例UCP600条款解析</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UCP600对于出口单据的要求</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开证行的拒付及其处理</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ISBP与UCP600</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2．国际贸易单据制作与审核的实例分析</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国际贸易结算单据介绍：汇票、发票、提单、保险单、装箱单、产地证</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3信用证业务项下审证、制单和审单实例操作演示</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3．国际贸易单据制作与审核的实例分析</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当前形势下开证行的拒付及拒付后单据的处理办法</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企业如何处理开证行的无理拒付并百分百取回信用证款项及延付利息？</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如何利用国际商会的</w:t>
      </w:r>
      <w:r>
        <w:rPr>
          <w:rFonts w:cs="楷体_GB2312" w:asciiTheme="minorEastAsia" w:hAnsiTheme="minorEastAsia" w:eastAsiaTheme="minorEastAsia"/>
          <w:sz w:val="20"/>
          <w:szCs w:val="20"/>
        </w:rPr>
        <w:t>DOCDEX</w:t>
      </w:r>
      <w:r>
        <w:rPr>
          <w:rFonts w:hint="eastAsia" w:cs="楷体_GB2312" w:asciiTheme="minorEastAsia" w:hAnsiTheme="minorEastAsia" w:eastAsiaTheme="minorEastAsia"/>
          <w:sz w:val="20"/>
          <w:szCs w:val="20"/>
        </w:rPr>
        <w:t>保障你的合法权益</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提单签发与出具者名字不一样会否构成拒付理由</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“Partial shipment not allowed”</w:t>
      </w:r>
      <w:r>
        <w:rPr>
          <w:rFonts w:hint="eastAsia" w:cs="楷体_GB2312" w:asciiTheme="minorEastAsia" w:hAnsiTheme="minorEastAsia" w:eastAsiaTheme="minorEastAsia"/>
          <w:sz w:val="20"/>
          <w:szCs w:val="20"/>
        </w:rPr>
        <w:t>与</w:t>
      </w:r>
      <w:r>
        <w:rPr>
          <w:rFonts w:cs="楷体_GB2312" w:asciiTheme="minorEastAsia" w:hAnsiTheme="minorEastAsia" w:eastAsiaTheme="minorEastAsia"/>
          <w:sz w:val="20"/>
          <w:szCs w:val="20"/>
        </w:rPr>
        <w:t>“Multiple presentation not allowed”</w:t>
      </w:r>
      <w:r>
        <w:rPr>
          <w:rFonts w:hint="eastAsia" w:cs="楷体_GB2312" w:asciiTheme="minorEastAsia" w:hAnsiTheme="minorEastAsia" w:eastAsiaTheme="minorEastAsia"/>
          <w:sz w:val="20"/>
          <w:szCs w:val="20"/>
        </w:rPr>
        <w:t>的差异为何</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传真报告没有盖章签字会否违反信用证所有单据必须盖章签字的要求</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若第二受益人的单据完全符合转让信用证但却违反主信用证</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开证行会否承担付款责任</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如何正确处理第二受益人的单据若第一受益人拒绝换单</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如何保障申请人的利益若进口货明显存在重大质量问题</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但单据却没有不符点</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如何应付先出具子证而母证却不见踪影的问题</w:t>
      </w:r>
      <w:r>
        <w:rPr>
          <w:rFonts w:cs="楷体_GB2312" w:asciiTheme="minorEastAsia" w:hAnsiTheme="minorEastAsia" w:eastAsiaTheme="minorEastAsia"/>
          <w:sz w:val="20"/>
          <w:szCs w:val="20"/>
        </w:rPr>
        <w:t xml:space="preserve">? </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卖方虽然持有全套正本提单，但货物为何仍会被买方在未付款前全数提走？</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经典信用证案例分析。</w:t>
      </w:r>
    </w:p>
    <w:p>
      <w:pPr>
        <w:spacing w:line="360" w:lineRule="auto"/>
        <w:rPr>
          <w:rFonts w:asciiTheme="minorEastAsia" w:hAnsiTheme="minorEastAsia" w:eastAsiaTheme="minorEastAsia"/>
          <w:sz w:val="20"/>
          <w:szCs w:val="20"/>
        </w:rPr>
      </w:pPr>
    </w:p>
    <w:p>
      <w:pPr>
        <w:spacing w:line="360" w:lineRule="auto"/>
        <w:rPr>
          <w:rFonts w:asciiTheme="minorEastAsia" w:hAnsiTheme="minorEastAsia" w:eastAsiaTheme="minorEastAsia"/>
          <w:b/>
          <w:bCs/>
          <w:color w:val="FF0000"/>
          <w:sz w:val="20"/>
          <w:szCs w:val="20"/>
        </w:rPr>
      </w:pPr>
      <w:r>
        <w:rPr>
          <w:rFonts w:hint="eastAsia" w:asciiTheme="minorEastAsia" w:hAnsiTheme="minorEastAsia" w:eastAsiaTheme="minorEastAsia"/>
          <w:b/>
          <w:bCs/>
          <w:color w:val="FF0000"/>
          <w:sz w:val="20"/>
          <w:szCs w:val="20"/>
        </w:rPr>
        <w:t>专题（四）国际货物买卖合同签订和履行过程的风险控制及实例分析（授课时间：13:00-16:30）</w:t>
      </w:r>
    </w:p>
    <w:p>
      <w:pPr>
        <w:spacing w:line="360" w:lineRule="auto"/>
        <w:rPr>
          <w:rFonts w:asciiTheme="minorEastAsia" w:hAnsiTheme="minorEastAsia" w:eastAsiaTheme="minorEastAsia"/>
          <w:sz w:val="20"/>
          <w:szCs w:val="20"/>
        </w:rPr>
      </w:pPr>
      <w:r>
        <w:rPr>
          <w:rFonts w:hint="eastAsia" w:asciiTheme="minorEastAsia" w:hAnsiTheme="minorEastAsia" w:eastAsiaTheme="minorEastAsia"/>
          <w:b/>
          <w:bCs/>
          <w:sz w:val="20"/>
          <w:szCs w:val="20"/>
        </w:rPr>
        <w:t>1．关于国际货物买卖合同“标的条款”的风险防控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标的条款的风险源（品质表示方法、质量机动幅度；数量计量方式、溢短装；包装方式与包装标志）</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标的条款相关的案例分析</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2．关于国际货物买卖合同“价格条款”的风险防控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合同价格条款的构成（计价货币、单位金额、计量单位、贸易术语）</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案例分析如何有效使用</w:t>
      </w:r>
      <w:r>
        <w:rPr>
          <w:rFonts w:cs="楷体_GB2312" w:asciiTheme="minorEastAsia" w:hAnsiTheme="minorEastAsia" w:eastAsiaTheme="minorEastAsia"/>
          <w:sz w:val="20"/>
          <w:szCs w:val="20"/>
        </w:rPr>
        <w:t>INCOTERMS ®  2010</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INCOTERMS ®2010</w:t>
      </w:r>
      <w:r>
        <w:rPr>
          <w:rFonts w:hint="eastAsia" w:cs="楷体_GB2312" w:asciiTheme="minorEastAsia" w:hAnsiTheme="minorEastAsia" w:eastAsiaTheme="minorEastAsia"/>
          <w:sz w:val="20"/>
          <w:szCs w:val="20"/>
        </w:rPr>
        <w:t>是否自动适用？可否用于国内贸易？</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FOB/CFR/CIF</w:t>
      </w:r>
      <w:r>
        <w:rPr>
          <w:rFonts w:hint="eastAsia" w:cs="楷体_GB2312" w:asciiTheme="minorEastAsia" w:hAnsiTheme="minorEastAsia" w:eastAsiaTheme="minorEastAsia"/>
          <w:sz w:val="20"/>
          <w:szCs w:val="20"/>
        </w:rPr>
        <w:t>用于空运、集装箱运输妥当吗？</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CFR/CIF/CPT/CIP</w:t>
      </w:r>
      <w:r>
        <w:rPr>
          <w:rFonts w:hint="eastAsia" w:cs="楷体_GB2312" w:asciiTheme="minorEastAsia" w:hAnsiTheme="minorEastAsia" w:eastAsiaTheme="minorEastAsia"/>
          <w:sz w:val="20"/>
          <w:szCs w:val="20"/>
        </w:rPr>
        <w:t>合同中，需要约定交货地点吗？</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EXW</w:t>
      </w:r>
      <w:r>
        <w:rPr>
          <w:rFonts w:hint="eastAsia" w:cs="楷体_GB2312" w:asciiTheme="minorEastAsia" w:hAnsiTheme="minorEastAsia" w:eastAsiaTheme="minorEastAsia"/>
          <w:sz w:val="20"/>
          <w:szCs w:val="20"/>
        </w:rPr>
        <w:t>合同中卖方需要装货吗？卖方需要承担检验费吗？</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INCOTERMS ® 2010</w:t>
      </w:r>
      <w:r>
        <w:rPr>
          <w:rFonts w:hint="eastAsia" w:cs="楷体_GB2312" w:asciiTheme="minorEastAsia" w:hAnsiTheme="minorEastAsia" w:eastAsiaTheme="minorEastAsia"/>
          <w:sz w:val="20"/>
          <w:szCs w:val="20"/>
        </w:rPr>
        <w:t>可以解决</w:t>
      </w:r>
      <w:r>
        <w:rPr>
          <w:rFonts w:cs="楷体_GB2312" w:asciiTheme="minorEastAsia" w:hAnsiTheme="minorEastAsia" w:eastAsiaTheme="minorEastAsia"/>
          <w:sz w:val="20"/>
          <w:szCs w:val="20"/>
        </w:rPr>
        <w:t>THC</w:t>
      </w:r>
      <w:r>
        <w:rPr>
          <w:rFonts w:hint="eastAsia" w:cs="楷体_GB2312" w:asciiTheme="minorEastAsia" w:hAnsiTheme="minorEastAsia" w:eastAsiaTheme="minorEastAsia"/>
          <w:sz w:val="20"/>
          <w:szCs w:val="20"/>
        </w:rPr>
        <w:t>的问题吗</w:t>
      </w:r>
      <w:r>
        <w:rPr>
          <w:rFonts w:cs="楷体_GB2312" w:asciiTheme="minorEastAsia" w:hAnsiTheme="minorEastAsia" w:eastAsiaTheme="minorEastAsia"/>
          <w:sz w:val="20"/>
          <w:szCs w:val="20"/>
        </w:rPr>
        <w:t xml:space="preserve">? </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为何贸易术语后面指定的地点或港口越精确越奏效</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DAP、DAT、DDP合同中卖方需要卸货吗？</w:t>
      </w:r>
    </w:p>
    <w:p>
      <w:pPr>
        <w:spacing w:line="360" w:lineRule="auto"/>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3．关于国际货物买卖合同“交货条款”的风险防控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交货条款的风险源（装运港、卸货港、转运港、装运期、可否分批、可否转运、装卸率、滞期费、运输单据）</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交货条款相关的案例分析</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卖方完成装运是否完成交货？</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滞期费或空舱费谁来承担？买卖合同中是否需要约定装卸率？</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运输单据上出现多个装运时间和装运港是否构成分批装运？</w:t>
      </w:r>
    </w:p>
    <w:p>
      <w:pPr>
        <w:spacing w:line="360" w:lineRule="auto"/>
        <w:rPr>
          <w:rFonts w:asciiTheme="minorEastAsia" w:hAnsiTheme="minorEastAsia" w:eastAsiaTheme="minorEastAsia"/>
          <w:sz w:val="20"/>
          <w:szCs w:val="20"/>
        </w:rPr>
      </w:pPr>
      <w:r>
        <w:rPr>
          <w:rFonts w:hint="eastAsia" w:asciiTheme="minorEastAsia" w:hAnsiTheme="minorEastAsia" w:eastAsiaTheme="minorEastAsia"/>
          <w:b/>
          <w:bCs/>
          <w:sz w:val="20"/>
          <w:szCs w:val="20"/>
        </w:rPr>
        <w:t>4．关于国际货物买卖合同“保险条款”的风险防控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保险条款的风险源（投保金额、险别、保险单据）</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保险条款相关的案例分析</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CIF和CIP合同中购买平安险平安吗？</w:t>
      </w:r>
    </w:p>
    <w:p>
      <w:pPr>
        <w:spacing w:line="360" w:lineRule="auto"/>
        <w:ind w:left="840"/>
        <w:rPr>
          <w:rFonts w:cs="楷体_GB2312" w:asciiTheme="minorEastAsia" w:hAnsiTheme="minorEastAsia" w:eastAsiaTheme="minorEastAsia"/>
          <w:sz w:val="20"/>
          <w:szCs w:val="20"/>
        </w:rPr>
      </w:pPr>
      <w:r>
        <w:rPr>
          <w:rFonts w:cs="楷体_GB2312" w:asciiTheme="minorEastAsia" w:hAnsiTheme="minorEastAsia" w:eastAsiaTheme="minorEastAsia"/>
          <w:sz w:val="20"/>
          <w:szCs w:val="20"/>
        </w:rPr>
        <w:t>Insurance</w:t>
      </w:r>
      <w:r>
        <w:rPr>
          <w:rFonts w:hint="eastAsia" w:cs="楷体_GB2312" w:asciiTheme="minorEastAsia" w:hAnsiTheme="minorEastAsia" w:eastAsiaTheme="minorEastAsia"/>
          <w:sz w:val="20"/>
          <w:szCs w:val="20"/>
        </w:rPr>
        <w:t xml:space="preserve"> Certificate 能替代</w:t>
      </w:r>
      <w:r>
        <w:rPr>
          <w:rFonts w:cs="楷体_GB2312" w:asciiTheme="minorEastAsia" w:hAnsiTheme="minorEastAsia" w:eastAsiaTheme="minorEastAsia"/>
          <w:sz w:val="20"/>
          <w:szCs w:val="20"/>
        </w:rPr>
        <w:t>Insurance</w:t>
      </w:r>
      <w:r>
        <w:rPr>
          <w:rFonts w:hint="eastAsia" w:cs="楷体_GB2312" w:asciiTheme="minorEastAsia" w:hAnsiTheme="minorEastAsia" w:eastAsiaTheme="minorEastAsia"/>
          <w:sz w:val="20"/>
          <w:szCs w:val="20"/>
        </w:rPr>
        <w:t xml:space="preserve"> Policy吗？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如何有效选择保险险别？</w:t>
      </w:r>
    </w:p>
    <w:p>
      <w:pPr>
        <w:spacing w:line="360" w:lineRule="auto"/>
        <w:rPr>
          <w:rFonts w:asciiTheme="minorEastAsia" w:hAnsiTheme="minorEastAsia" w:eastAsiaTheme="minorEastAsia"/>
          <w:sz w:val="20"/>
          <w:szCs w:val="20"/>
        </w:rPr>
      </w:pPr>
      <w:r>
        <w:rPr>
          <w:rFonts w:hint="eastAsia" w:asciiTheme="minorEastAsia" w:hAnsiTheme="minorEastAsia" w:eastAsiaTheme="minorEastAsia"/>
          <w:b/>
          <w:bCs/>
          <w:sz w:val="20"/>
          <w:szCs w:val="20"/>
        </w:rPr>
        <w:t>5．关于国际货物买卖合同“货款支付条款”的风险防控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货款支付条款的风险源（付款时间、结算方式）</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不同结算方式项下的相关案例分析</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T/T预付30%就保险了吗？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空运方式下能接受托收结算货款吗？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企业如何处理开证行的无理拒付并百分百取回信用证款项及延付利息？</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如何利用国际商会的</w:t>
      </w:r>
      <w:r>
        <w:rPr>
          <w:rFonts w:cs="楷体_GB2312" w:asciiTheme="minorEastAsia" w:hAnsiTheme="minorEastAsia" w:eastAsiaTheme="minorEastAsia"/>
          <w:sz w:val="20"/>
          <w:szCs w:val="20"/>
        </w:rPr>
        <w:t>DOCDEX</w:t>
      </w:r>
      <w:r>
        <w:rPr>
          <w:rFonts w:hint="eastAsia" w:cs="楷体_GB2312" w:asciiTheme="minorEastAsia" w:hAnsiTheme="minorEastAsia" w:eastAsiaTheme="minorEastAsia"/>
          <w:sz w:val="20"/>
          <w:szCs w:val="20"/>
        </w:rPr>
        <w:t>保障你的合法权益</w:t>
      </w:r>
      <w:r>
        <w:rPr>
          <w:rFonts w:cs="楷体_GB2312" w:asciiTheme="minorEastAsia" w:hAnsiTheme="minorEastAsia" w:eastAsiaTheme="minorEastAsia"/>
          <w:sz w:val="20"/>
          <w:szCs w:val="20"/>
        </w:rPr>
        <w:t xml:space="preserve">? </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如何保障申请人的利益若进口货明显存在重大质量问题</w:t>
      </w:r>
      <w:r>
        <w:rPr>
          <w:rFonts w:cs="楷体_GB2312" w:asciiTheme="minorEastAsia" w:hAnsiTheme="minorEastAsia" w:eastAsiaTheme="minorEastAsia"/>
          <w:sz w:val="20"/>
          <w:szCs w:val="20"/>
        </w:rPr>
        <w:t xml:space="preserve">, </w:t>
      </w:r>
      <w:r>
        <w:rPr>
          <w:rFonts w:hint="eastAsia" w:cs="楷体_GB2312" w:asciiTheme="minorEastAsia" w:hAnsiTheme="minorEastAsia" w:eastAsiaTheme="minorEastAsia"/>
          <w:sz w:val="20"/>
          <w:szCs w:val="20"/>
        </w:rPr>
        <w:t>但单据却没有不符点</w:t>
      </w:r>
      <w:r>
        <w:rPr>
          <w:rFonts w:cs="楷体_GB2312" w:asciiTheme="minorEastAsia" w:hAnsiTheme="minorEastAsia" w:eastAsiaTheme="minorEastAsia"/>
          <w:sz w:val="20"/>
          <w:szCs w:val="20"/>
        </w:rPr>
        <w:t xml:space="preserve">? </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卖方虽然持有全套正本提单，但货物为何仍会被买方在未付款前全数提走？</w:t>
      </w:r>
    </w:p>
    <w:p>
      <w:pPr>
        <w:spacing w:line="360" w:lineRule="auto"/>
        <w:rPr>
          <w:rFonts w:asciiTheme="minorEastAsia" w:hAnsiTheme="minorEastAsia" w:eastAsiaTheme="minorEastAsia"/>
          <w:sz w:val="20"/>
          <w:szCs w:val="20"/>
        </w:rPr>
      </w:pPr>
      <w:r>
        <w:rPr>
          <w:rFonts w:hint="eastAsia" w:asciiTheme="minorEastAsia" w:hAnsiTheme="minorEastAsia" w:eastAsiaTheme="minorEastAsia"/>
          <w:b/>
          <w:bCs/>
          <w:sz w:val="20"/>
          <w:szCs w:val="20"/>
        </w:rPr>
        <w:t>6．关于国际货物买卖合同“争议预防和处理条款”的风险防控</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检验、索赔、不可抗力和仲裁条款在预防和处理争议中的作用</w:t>
      </w:r>
    </w:p>
    <w:p>
      <w:pPr>
        <w:numPr>
          <w:ilvl w:val="2"/>
          <w:numId w:val="2"/>
        </w:numPr>
        <w:tabs>
          <w:tab w:val="left" w:pos="840"/>
          <w:tab w:val="clear" w:pos="1260"/>
        </w:tabs>
        <w:spacing w:line="360" w:lineRule="auto"/>
        <w:ind w:left="840" w:leftChars="20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争议预防和处理条款相关的案例分析</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检验时间、地点如何选择使买卖双方比较容易接受？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惩罚性违约金条款能起到惩罚性作用吗？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对生产企业而言政府拉闸能构成不可抗力吗？</w:t>
      </w:r>
    </w:p>
    <w:p>
      <w:pPr>
        <w:spacing w:line="360" w:lineRule="auto"/>
        <w:ind w:left="840"/>
        <w:rPr>
          <w:rFonts w:cs="楷体_GB2312" w:asciiTheme="minorEastAsia" w:hAnsiTheme="minorEastAsia" w:eastAsiaTheme="minorEastAsia"/>
          <w:sz w:val="20"/>
          <w:szCs w:val="20"/>
        </w:rPr>
      </w:pPr>
      <w:r>
        <w:rPr>
          <w:rFonts w:hint="eastAsia" w:cs="楷体_GB2312" w:asciiTheme="minorEastAsia" w:hAnsiTheme="minorEastAsia" w:eastAsiaTheme="minorEastAsia"/>
          <w:sz w:val="20"/>
          <w:szCs w:val="20"/>
        </w:rPr>
        <w:t xml:space="preserve">面对法院的传票，卖方要去应诉吗？ </w:t>
      </w:r>
    </w:p>
    <w:p>
      <w:pPr>
        <w:spacing w:line="360" w:lineRule="auto"/>
        <w:rPr>
          <w:rFonts w:cs="楷体_GB2312" w:asciiTheme="minorEastAsia" w:hAnsiTheme="minorEastAsia" w:eastAsiaTheme="minorEastAsia"/>
          <w:sz w:val="20"/>
          <w:szCs w:val="20"/>
        </w:rPr>
      </w:pPr>
    </w:p>
    <w:p>
      <w:pPr>
        <w:spacing w:line="360" w:lineRule="auto"/>
        <w:ind w:right="29" w:rightChars="14"/>
        <w:jc w:val="left"/>
        <w:rPr>
          <w:rFonts w:ascii="宋体" w:hAnsi="宋体"/>
          <w:szCs w:val="21"/>
        </w:rPr>
      </w:pPr>
      <w:r>
        <w:rPr>
          <w:rFonts w:hint="eastAsia"/>
          <w:b/>
          <w:szCs w:val="21"/>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154940</wp:posOffset>
                </wp:positionV>
                <wp:extent cx="5714365" cy="0"/>
                <wp:effectExtent l="0" t="19050" r="19685" b="38100"/>
                <wp:wrapNone/>
                <wp:docPr id="2" name="Line 185"/>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7150" cmpd="thinThick">
                          <a:solidFill>
                            <a:srgbClr val="E36C0A"/>
                          </a:solidFill>
                          <a:round/>
                        </a:ln>
                        <a:effectLst/>
                      </wps:spPr>
                      <wps:bodyPr/>
                    </wps:wsp>
                  </a:graphicData>
                </a:graphic>
              </wp:anchor>
            </w:drawing>
          </mc:Choice>
          <mc:Fallback>
            <w:pict>
              <v:line id="Line 185" o:spid="_x0000_s1026" o:spt="20" style="position:absolute;left:0pt;margin-left:-1.95pt;margin-top:12.2pt;height:0pt;width:449.95pt;z-index:251658240;mso-width-relative:page;mso-height-relative:page;" filled="f" stroked="t" coordsize="21600,21600" o:gfxdata="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aoU6NkAAAAIAQAADwAAAAAAAAABACAAAAAiAAAAZHJzL2Rvd25y&#10;ZXYueG1sUEsBAhQAFAAAAAgAh07iQOOFomXEAQAAcwMAAA4AAAAAAAAAAQAgAAAAKAEAAGRycy9l&#10;Mm9Eb2MueG1sUEsFBgAAAAAGAAYAWQEAAF4FAAAAAA==&#10;">
                <v:fill on="f" focussize="0,0"/>
                <v:stroke weight="4.5pt" color="#E36C0A" linestyle="thinThick" joinstyle="round"/>
                <v:imagedata o:title=""/>
                <o:lock v:ext="edit" aspectratio="f"/>
              </v:line>
            </w:pict>
          </mc:Fallback>
        </mc:AlternateContent>
      </w:r>
    </w:p>
    <w:p>
      <w:pPr>
        <w:spacing w:line="360" w:lineRule="auto"/>
        <w:jc w:val="left"/>
        <w:rPr>
          <w:rFonts w:asciiTheme="minorEastAsia" w:hAnsiTheme="minorEastAsia" w:eastAsiaTheme="minorEastAsia"/>
          <w:b/>
          <w:szCs w:val="21"/>
        </w:rPr>
      </w:pPr>
    </w:p>
    <w:p>
      <w:pPr>
        <w:spacing w:line="360" w:lineRule="auto"/>
        <w:jc w:val="left"/>
        <w:rPr>
          <w:rFonts w:asciiTheme="minorEastAsia" w:hAnsiTheme="minorEastAsia" w:eastAsiaTheme="minorEastAsia"/>
          <w:b/>
          <w:color w:val="E46C0A" w:themeColor="accent6" w:themeShade="BF"/>
          <w:szCs w:val="21"/>
        </w:rPr>
      </w:pPr>
      <w:r>
        <w:rPr>
          <w:rFonts w:hint="eastAsia" w:asciiTheme="minorEastAsia" w:hAnsiTheme="minorEastAsia" w:eastAsiaTheme="minorEastAsia"/>
          <w:b/>
          <w:color w:val="E46C0A" w:themeColor="accent6" w:themeShade="BF"/>
          <w:szCs w:val="21"/>
        </w:rPr>
        <w:t xml:space="preserve">讲师介绍： </w:t>
      </w:r>
      <w:r>
        <w:rPr>
          <w:rFonts w:hint="eastAsia" w:cs="Arial" w:asciiTheme="minorEastAsia" w:hAnsiTheme="minorEastAsia" w:eastAsiaTheme="minorEastAsia"/>
          <w:b/>
          <w:sz w:val="32"/>
          <w:szCs w:val="20"/>
        </w:rPr>
        <w:t>Kathy Shen</w:t>
      </w: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行业资质：</w:t>
      </w:r>
    </w:p>
    <w:p>
      <w:pPr>
        <w:numPr>
          <w:ilvl w:val="0"/>
          <w:numId w:val="4"/>
        </w:numPr>
        <w:spacing w:line="360" w:lineRule="auto"/>
        <w:rPr>
          <w:rFonts w:asciiTheme="minorEastAsia" w:hAnsiTheme="minorEastAsia" w:eastAsiaTheme="minorEastAsia"/>
          <w:sz w:val="20"/>
          <w:szCs w:val="20"/>
        </w:rPr>
      </w:pPr>
      <w:r>
        <w:rPr>
          <w:rFonts w:hint="eastAsia" w:asciiTheme="minorEastAsia" w:hAnsiTheme="minorEastAsia" w:eastAsiaTheme="minorEastAsia"/>
          <w:bCs/>
          <w:sz w:val="20"/>
          <w:szCs w:val="20"/>
        </w:rPr>
        <w:t xml:space="preserve">上海对外经贸大学 世界经济专业 </w:t>
      </w:r>
      <w:r>
        <w:rPr>
          <w:rFonts w:hint="eastAsia" w:asciiTheme="minorEastAsia" w:hAnsiTheme="minorEastAsia" w:eastAsiaTheme="minorEastAsia"/>
          <w:sz w:val="20"/>
          <w:szCs w:val="20"/>
        </w:rPr>
        <w:t xml:space="preserve">博士 </w:t>
      </w:r>
    </w:p>
    <w:p>
      <w:pPr>
        <w:numPr>
          <w:ilvl w:val="0"/>
          <w:numId w:val="4"/>
        </w:numPr>
        <w:spacing w:line="360" w:lineRule="auto"/>
        <w:rPr>
          <w:rFonts w:asciiTheme="minorEastAsia" w:hAnsiTheme="minorEastAsia" w:eastAsiaTheme="minorEastAsia"/>
          <w:sz w:val="20"/>
          <w:szCs w:val="20"/>
        </w:rPr>
      </w:pPr>
      <w:r>
        <w:rPr>
          <w:rFonts w:hint="eastAsia" w:asciiTheme="minorEastAsia" w:hAnsiTheme="minorEastAsia" w:eastAsiaTheme="minorEastAsia"/>
          <w:bCs/>
          <w:sz w:val="20"/>
          <w:szCs w:val="20"/>
        </w:rPr>
        <w:t>上海对外经贸大学 国际贸易专业 硕士</w:t>
      </w:r>
    </w:p>
    <w:p>
      <w:pPr>
        <w:numPr>
          <w:ilvl w:val="0"/>
          <w:numId w:val="4"/>
        </w:numPr>
        <w:spacing w:line="360" w:lineRule="auto"/>
        <w:rPr>
          <w:rFonts w:asciiTheme="minorEastAsia" w:hAnsiTheme="minorEastAsia" w:eastAsiaTheme="minorEastAsia"/>
          <w:sz w:val="20"/>
          <w:szCs w:val="20"/>
        </w:rPr>
      </w:pPr>
      <w:r>
        <w:rPr>
          <w:rFonts w:hint="eastAsia" w:asciiTheme="minorEastAsia" w:hAnsiTheme="minorEastAsia" w:eastAsiaTheme="minorEastAsia"/>
          <w:sz w:val="20"/>
          <w:szCs w:val="20"/>
        </w:rPr>
        <w:t>曾任国际知名集团中国国际贸易&amp;供应链管理经理</w:t>
      </w:r>
    </w:p>
    <w:p>
      <w:pPr>
        <w:numPr>
          <w:ilvl w:val="0"/>
          <w:numId w:val="4"/>
        </w:numPr>
        <w:spacing w:line="360" w:lineRule="auto"/>
        <w:rPr>
          <w:rFonts w:asciiTheme="minorEastAsia" w:hAnsiTheme="minorEastAsia" w:eastAsiaTheme="minorEastAsia"/>
          <w:sz w:val="20"/>
          <w:szCs w:val="20"/>
        </w:rPr>
      </w:pPr>
      <w:r>
        <w:rPr>
          <w:rFonts w:hint="eastAsia" w:asciiTheme="minorEastAsia" w:hAnsiTheme="minorEastAsia" w:eastAsiaTheme="minorEastAsia"/>
          <w:sz w:val="20"/>
          <w:szCs w:val="20"/>
        </w:rPr>
        <w:t>世贸组织(WTO)亚太地区ITC国际贸易特聘讲师</w:t>
      </w:r>
    </w:p>
    <w:p>
      <w:pPr>
        <w:numPr>
          <w:ilvl w:val="0"/>
          <w:numId w:val="4"/>
        </w:numPr>
        <w:spacing w:line="360" w:lineRule="auto"/>
        <w:rPr>
          <w:rFonts w:asciiTheme="minorEastAsia" w:hAnsiTheme="minorEastAsia" w:eastAsiaTheme="minorEastAsia"/>
          <w:sz w:val="20"/>
          <w:szCs w:val="20"/>
        </w:rPr>
      </w:pPr>
      <w:r>
        <w:rPr>
          <w:rFonts w:hint="eastAsia" w:asciiTheme="minorEastAsia" w:hAnsiTheme="minorEastAsia" w:eastAsiaTheme="minorEastAsia"/>
          <w:sz w:val="20"/>
          <w:szCs w:val="20"/>
        </w:rPr>
        <w:t>德国商会，法国商会等行业协会国际贸易</w:t>
      </w:r>
      <w:r>
        <w:rPr>
          <w:rFonts w:asciiTheme="minorEastAsia" w:hAnsiTheme="minorEastAsia" w:eastAsiaTheme="minorEastAsia"/>
          <w:sz w:val="20"/>
          <w:szCs w:val="20"/>
        </w:rPr>
        <w:t>高级培训师</w:t>
      </w: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工作经历：</w:t>
      </w:r>
    </w:p>
    <w:p>
      <w:pPr>
        <w:spacing w:line="360" w:lineRule="auto"/>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沈老师长期致力于国际贸易实务领域知识总结和传播，她的培训亦是多年来不断学习和提炼的智慧凝结。沈老师坚持选择对国际贸易和企业有针对性的实用内容，在培训过程中，精心设计大量案例，用形象通俗的语言来阐明相对枯燥的实务操作，内容扎实，形式活泼，深受学员喜爱。沈老师利用自己的专业知识与实践经验</w:t>
      </w:r>
      <w:r>
        <w:rPr>
          <w:rFonts w:asciiTheme="minorEastAsia" w:hAnsiTheme="minorEastAsia" w:eastAsiaTheme="minorEastAsia"/>
          <w:sz w:val="20"/>
          <w:szCs w:val="20"/>
        </w:rPr>
        <w:t>为多家世界500强企业及国外商会提供</w:t>
      </w:r>
      <w:r>
        <w:rPr>
          <w:rFonts w:hint="eastAsia" w:asciiTheme="minorEastAsia" w:hAnsiTheme="minorEastAsia" w:eastAsiaTheme="minorEastAsia"/>
          <w:sz w:val="20"/>
          <w:szCs w:val="20"/>
        </w:rPr>
        <w:t>国际贸易领域</w:t>
      </w:r>
      <w:r>
        <w:rPr>
          <w:rFonts w:asciiTheme="minorEastAsia" w:hAnsiTheme="minorEastAsia" w:eastAsiaTheme="minorEastAsia"/>
          <w:sz w:val="20"/>
          <w:szCs w:val="20"/>
        </w:rPr>
        <w:t>培训与</w:t>
      </w:r>
      <w:r>
        <w:rPr>
          <w:rFonts w:hint="eastAsia" w:asciiTheme="minorEastAsia" w:hAnsiTheme="minorEastAsia" w:eastAsiaTheme="minorEastAsia"/>
          <w:sz w:val="20"/>
          <w:szCs w:val="20"/>
        </w:rPr>
        <w:t>贸易合规</w:t>
      </w:r>
      <w:r>
        <w:rPr>
          <w:rFonts w:asciiTheme="minorEastAsia" w:hAnsiTheme="minorEastAsia" w:eastAsiaTheme="minorEastAsia"/>
          <w:sz w:val="20"/>
          <w:szCs w:val="20"/>
        </w:rPr>
        <w:t>咨询</w:t>
      </w:r>
      <w:r>
        <w:rPr>
          <w:rFonts w:hint="eastAsia" w:asciiTheme="minorEastAsia" w:hAnsiTheme="minorEastAsia" w:eastAsiaTheme="minorEastAsia"/>
          <w:sz w:val="20"/>
          <w:szCs w:val="20"/>
        </w:rPr>
        <w:t>工作</w:t>
      </w:r>
      <w:r>
        <w:rPr>
          <w:rFonts w:asciiTheme="minorEastAsia" w:hAnsiTheme="minorEastAsia" w:eastAsiaTheme="minorEastAsia"/>
          <w:sz w:val="20"/>
          <w:szCs w:val="20"/>
        </w:rPr>
        <w:t>。</w:t>
      </w: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授课风格与特点：</w:t>
      </w:r>
    </w:p>
    <w:p>
      <w:pPr>
        <w:spacing w:line="360" w:lineRule="auto"/>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讲究互动性与参与性，深入浅出的将先进国际贸易理论和实践结合，注重培养解决实际问题的能力.同时，作为资深企业培训师，先后为几十家国际知名企业进行等方面的主题培训，将先进的管理理念融入到头脑风暴，案例分析，角色扮演等轻松且喜闻乐见的形式中。</w:t>
      </w:r>
    </w:p>
    <w:p>
      <w:pPr>
        <w:spacing w:line="360" w:lineRule="auto"/>
        <w:jc w:val="left"/>
        <w:rPr>
          <w:rFonts w:asciiTheme="minorEastAsia" w:hAnsiTheme="minorEastAsia" w:eastAsiaTheme="minorEastAsia"/>
          <w:b/>
          <w:sz w:val="20"/>
          <w:szCs w:val="20"/>
        </w:rPr>
      </w:pPr>
      <w:r>
        <w:rPr>
          <w:rFonts w:hint="eastAsia" w:asciiTheme="minorEastAsia" w:hAnsiTheme="minorEastAsia" w:eastAsiaTheme="minorEastAsia"/>
          <w:b/>
          <w:sz w:val="20"/>
          <w:szCs w:val="20"/>
        </w:rPr>
        <w:t>主要咨询项目：</w:t>
      </w:r>
    </w:p>
    <w:p>
      <w:pPr>
        <w:numPr>
          <w:ilvl w:val="0"/>
          <w:numId w:val="5"/>
        </w:numPr>
        <w:spacing w:line="360"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国际贸易报价与</w:t>
      </w:r>
      <w:r>
        <w:rPr>
          <w:rFonts w:asciiTheme="minorEastAsia" w:hAnsiTheme="minorEastAsia" w:eastAsiaTheme="minorEastAsia"/>
          <w:sz w:val="20"/>
          <w:szCs w:val="20"/>
        </w:rPr>
        <w:t xml:space="preserve"> INCOTERMS 2010</w:t>
      </w:r>
      <w:r>
        <w:rPr>
          <w:rFonts w:hint="eastAsia" w:asciiTheme="minorEastAsia" w:hAnsiTheme="minorEastAsia" w:eastAsiaTheme="minorEastAsia"/>
          <w:sz w:val="20"/>
          <w:szCs w:val="20"/>
        </w:rPr>
        <w:t>：</w:t>
      </w:r>
      <w:r>
        <w:rPr>
          <w:rFonts w:asciiTheme="minorEastAsia" w:hAnsiTheme="minorEastAsia" w:eastAsiaTheme="minorEastAsia"/>
          <w:sz w:val="20"/>
          <w:szCs w:val="20"/>
        </w:rPr>
        <w:t xml:space="preserve"> </w:t>
      </w:r>
      <w:r>
        <w:rPr>
          <w:rFonts w:hint="eastAsia" w:asciiTheme="minorEastAsia" w:hAnsiTheme="minorEastAsia" w:eastAsiaTheme="minorEastAsia"/>
          <w:sz w:val="20"/>
          <w:szCs w:val="20"/>
        </w:rPr>
        <w:t>上海兰生集团（现上海东浩兰生集团），上海电气集团</w:t>
      </w:r>
    </w:p>
    <w:p>
      <w:pPr>
        <w:numPr>
          <w:ilvl w:val="0"/>
          <w:numId w:val="5"/>
        </w:numPr>
        <w:spacing w:line="360" w:lineRule="auto"/>
        <w:jc w:val="left"/>
        <w:rPr>
          <w:rFonts w:asciiTheme="minorEastAsia" w:hAnsiTheme="minorEastAsia" w:eastAsiaTheme="minorEastAsia"/>
          <w:sz w:val="20"/>
          <w:szCs w:val="20"/>
        </w:rPr>
      </w:pPr>
      <w:r>
        <w:rPr>
          <w:rFonts w:asciiTheme="minorEastAsia" w:hAnsiTheme="minorEastAsia" w:eastAsiaTheme="minorEastAsia"/>
          <w:sz w:val="20"/>
          <w:szCs w:val="20"/>
        </w:rPr>
        <w:t xml:space="preserve"> L/C </w:t>
      </w:r>
      <w:r>
        <w:rPr>
          <w:rFonts w:hint="eastAsia" w:asciiTheme="minorEastAsia" w:hAnsiTheme="minorEastAsia" w:eastAsiaTheme="minorEastAsia"/>
          <w:sz w:val="20"/>
          <w:szCs w:val="20"/>
        </w:rPr>
        <w:t>业务与</w:t>
      </w:r>
      <w:r>
        <w:rPr>
          <w:rFonts w:asciiTheme="minorEastAsia" w:hAnsiTheme="minorEastAsia" w:eastAsiaTheme="minorEastAsia"/>
          <w:sz w:val="20"/>
          <w:szCs w:val="20"/>
        </w:rPr>
        <w:t xml:space="preserve"> UCP600 </w:t>
      </w:r>
      <w:r>
        <w:rPr>
          <w:rFonts w:hint="eastAsia" w:asciiTheme="minorEastAsia" w:hAnsiTheme="minorEastAsia" w:eastAsiaTheme="minorEastAsia"/>
          <w:sz w:val="20"/>
          <w:szCs w:val="20"/>
        </w:rPr>
        <w:t>：上海振华重工集团</w:t>
      </w:r>
    </w:p>
    <w:p>
      <w:pPr>
        <w:numPr>
          <w:ilvl w:val="0"/>
          <w:numId w:val="5"/>
        </w:numPr>
        <w:spacing w:line="360"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信用证业务中的单据制作和审核</w:t>
      </w:r>
      <w:r>
        <w:rPr>
          <w:rFonts w:asciiTheme="minorEastAsia" w:hAnsiTheme="minorEastAsia" w:eastAsiaTheme="minorEastAsia"/>
          <w:sz w:val="20"/>
          <w:szCs w:val="20"/>
        </w:rPr>
        <w:t xml:space="preserve"> </w:t>
      </w:r>
      <w:r>
        <w:rPr>
          <w:rFonts w:hint="eastAsia" w:asciiTheme="minorEastAsia" w:hAnsiTheme="minorEastAsia" w:eastAsiaTheme="minorEastAsia"/>
          <w:sz w:val="20"/>
          <w:szCs w:val="20"/>
        </w:rPr>
        <w:t>：浙江土畜集团</w:t>
      </w:r>
    </w:p>
    <w:p>
      <w:pPr>
        <w:numPr>
          <w:ilvl w:val="0"/>
          <w:numId w:val="5"/>
        </w:numPr>
        <w:spacing w:line="360"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国际货物运输与保险</w:t>
      </w:r>
      <w:r>
        <w:rPr>
          <w:rFonts w:asciiTheme="minorEastAsia" w:hAnsiTheme="minorEastAsia" w:eastAsiaTheme="minorEastAsia"/>
          <w:sz w:val="20"/>
          <w:szCs w:val="20"/>
        </w:rPr>
        <w:t xml:space="preserve"> </w:t>
      </w:r>
      <w:r>
        <w:rPr>
          <w:rFonts w:hint="eastAsia" w:asciiTheme="minorEastAsia" w:hAnsiTheme="minorEastAsia" w:eastAsiaTheme="minorEastAsia"/>
          <w:sz w:val="20"/>
          <w:szCs w:val="20"/>
        </w:rPr>
        <w:t>：中国出口信用保险上海分公司</w:t>
      </w:r>
    </w:p>
    <w:p>
      <w:pPr>
        <w:numPr>
          <w:ilvl w:val="0"/>
          <w:numId w:val="5"/>
        </w:numPr>
        <w:spacing w:line="360"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国际货物买卖合同风险防控与国际公约</w:t>
      </w:r>
      <w:r>
        <w:rPr>
          <w:rFonts w:asciiTheme="minorEastAsia" w:hAnsiTheme="minorEastAsia" w:eastAsiaTheme="minorEastAsia"/>
          <w:sz w:val="20"/>
          <w:szCs w:val="20"/>
        </w:rPr>
        <w:t xml:space="preserve">CISSG </w:t>
      </w:r>
      <w:r>
        <w:rPr>
          <w:rFonts w:hint="eastAsia" w:asciiTheme="minorEastAsia" w:hAnsiTheme="minorEastAsia" w:eastAsiaTheme="minorEastAsia"/>
          <w:sz w:val="20"/>
          <w:szCs w:val="20"/>
        </w:rPr>
        <w:t>：上海氯碱化工集团，长兴商务局</w:t>
      </w:r>
    </w:p>
    <w:p>
      <w:pPr>
        <w:spacing w:line="360" w:lineRule="auto"/>
        <w:rPr>
          <w:rFonts w:hint="eastAsia" w:asciiTheme="minorEastAsia" w:hAnsiTheme="minorEastAsia" w:eastAsiaTheme="minorEastAsia"/>
          <w:sz w:val="20"/>
          <w:szCs w:val="20"/>
        </w:rPr>
      </w:pPr>
      <w:r>
        <w:rPr>
          <w:rFonts w:hint="eastAsia" w:asciiTheme="minorEastAsia" w:hAnsiTheme="minorEastAsia" w:eastAsiaTheme="minorEastAsia"/>
          <w:sz w:val="20"/>
          <w:szCs w:val="20"/>
        </w:rPr>
        <w:t>离岸贸易与中国（上海）自由贸易区</w:t>
      </w:r>
      <w:r>
        <w:rPr>
          <w:rFonts w:asciiTheme="minorEastAsia" w:hAnsiTheme="minorEastAsia" w:eastAsiaTheme="minorEastAsia"/>
          <w:sz w:val="20"/>
          <w:szCs w:val="20"/>
        </w:rPr>
        <w:t xml:space="preserve"> ：</w:t>
      </w:r>
      <w:r>
        <w:rPr>
          <w:rFonts w:hint="eastAsia" w:asciiTheme="minorEastAsia" w:hAnsiTheme="minorEastAsia" w:eastAsiaTheme="minorEastAsia"/>
          <w:sz w:val="20"/>
          <w:szCs w:val="20"/>
        </w:rPr>
        <w:t>宝钢集团，中海电信集团</w:t>
      </w:r>
    </w:p>
    <w:p>
      <w:pPr>
        <w:spacing w:line="360" w:lineRule="auto"/>
        <w:rPr>
          <w:rFonts w:hint="eastAsia" w:asciiTheme="minorEastAsia" w:hAnsiTheme="minorEastAsia" w:eastAsiaTheme="minorEastAsia"/>
          <w:sz w:val="20"/>
          <w:szCs w:val="2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公开课报表</w:t>
      </w:r>
    </w:p>
    <w:p>
      <w:pPr>
        <w:rPr>
          <w:rFonts w:hint="eastAsia"/>
          <w:szCs w:val="22"/>
        </w:rPr>
      </w:pPr>
    </w:p>
    <w:tbl>
      <w:tblPr>
        <w:tblStyle w:val="12"/>
        <w:tblW w:w="11918" w:type="dxa"/>
        <w:tblInd w:w="112"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467"/>
        <w:gridCol w:w="743"/>
        <w:gridCol w:w="77"/>
        <w:gridCol w:w="1763"/>
        <w:gridCol w:w="925"/>
        <w:gridCol w:w="222"/>
        <w:gridCol w:w="508"/>
        <w:gridCol w:w="617"/>
        <w:gridCol w:w="483"/>
        <w:gridCol w:w="537"/>
        <w:gridCol w:w="525"/>
        <w:gridCol w:w="1433"/>
        <w:gridCol w:w="3618"/>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462"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ascii="宋体"/>
                <w:b w:val="0"/>
                <w:bCs w:val="0"/>
                <w:sz w:val="18"/>
                <w:szCs w:val="18"/>
              </w:rPr>
            </w:pPr>
            <w:r>
              <w:rPr>
                <w:rFonts w:hint="eastAsia" w:ascii="宋体" w:hAnsi="宋体"/>
                <w:sz w:val="18"/>
                <w:szCs w:val="18"/>
              </w:rPr>
              <w:t>单位名称</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880"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Style w:val="9"/>
                <w:rFonts w:hint="eastAsia"/>
                <w:b w:val="0"/>
                <w:bCs w:val="0"/>
                <w:sz w:val="18"/>
                <w:szCs w:val="18"/>
              </w:rPr>
              <w:t>发票抬头</w:t>
            </w:r>
          </w:p>
        </w:tc>
        <w:tc>
          <w:tcPr>
            <w:tcW w:w="34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p>
        </w:tc>
        <w:tc>
          <w:tcPr>
            <w:tcW w:w="359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bCs/>
                <w:sz w:val="18"/>
                <w:szCs w:val="18"/>
              </w:rPr>
            </w:pPr>
            <w:r>
              <w:rPr>
                <w:rStyle w:val="9"/>
                <w:rFonts w:hint="eastAsia"/>
                <w:b w:val="0"/>
                <w:bCs w:val="0"/>
                <w:sz w:val="18"/>
                <w:szCs w:val="18"/>
              </w:rPr>
              <w:t>发票内容：</w:t>
            </w:r>
            <w:r>
              <w:rPr>
                <w:rFonts w:hint="eastAsia"/>
                <w:bCs/>
                <w:sz w:val="18"/>
                <w:szCs w:val="18"/>
              </w:rPr>
              <w:t>□</w:t>
            </w:r>
            <w:r>
              <w:rPr>
                <w:bCs/>
                <w:sz w:val="18"/>
                <w:szCs w:val="18"/>
              </w:rPr>
              <w:t>1</w:t>
            </w:r>
            <w:r>
              <w:rPr>
                <w:rFonts w:hint="eastAsia"/>
                <w:bCs/>
                <w:sz w:val="18"/>
                <w:szCs w:val="18"/>
              </w:rPr>
              <w:t>、培训费</w:t>
            </w:r>
          </w:p>
          <w:p>
            <w:pPr>
              <w:spacing w:line="360" w:lineRule="auto"/>
              <w:jc w:val="center"/>
              <w:rPr>
                <w:rFonts w:hint="eastAsia"/>
                <w:bCs/>
                <w:sz w:val="18"/>
                <w:szCs w:val="18"/>
              </w:rPr>
            </w:pPr>
          </w:p>
          <w:p>
            <w:pPr>
              <w:spacing w:line="360" w:lineRule="auto"/>
              <w:jc w:val="center"/>
              <w:rPr>
                <w:rFonts w:ascii="宋体"/>
                <w:sz w:val="18"/>
                <w:szCs w:val="18"/>
              </w:rPr>
            </w:pPr>
            <w:r>
              <w:rPr>
                <w:rFonts w:hint="eastAsia"/>
                <w:bCs/>
                <w:sz w:val="18"/>
                <w:szCs w:val="18"/>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404"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Cs/>
                <w:sz w:val="18"/>
                <w:szCs w:val="18"/>
              </w:rPr>
            </w:pPr>
            <w:r>
              <w:rPr>
                <w:rFonts w:hint="eastAsia" w:ascii="宋体" w:hAnsi="宋体"/>
                <w:bCs/>
                <w:sz w:val="18"/>
                <w:szCs w:val="18"/>
              </w:rPr>
              <w:t>公司地址</w:t>
            </w:r>
          </w:p>
        </w:tc>
        <w:tc>
          <w:tcPr>
            <w:tcW w:w="70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450"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ascii="宋体" w:hAnsi="宋体"/>
                <w:sz w:val="18"/>
                <w:szCs w:val="18"/>
              </w:rPr>
              <w:t>联系人</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电话</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bCs/>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18"/>
                <w:szCs w:val="18"/>
              </w:rPr>
            </w:pPr>
            <w:r>
              <w:rPr>
                <w:rFonts w:hint="eastAsia" w:ascii="宋体" w:hAnsi="宋体"/>
                <w:sz w:val="18"/>
                <w:szCs w:val="18"/>
              </w:rPr>
              <w:t>手机</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496" w:hRule="exact"/>
        </w:trPr>
        <w:tc>
          <w:tcPr>
            <w:tcW w:w="12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szCs w:val="18"/>
              </w:rPr>
            </w:pPr>
            <w:r>
              <w:rPr>
                <w:rFonts w:hint="eastAsia" w:ascii="宋体" w:hAnsi="宋体"/>
                <w:sz w:val="18"/>
                <w:szCs w:val="18"/>
              </w:rPr>
              <w:t>职务</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r>
              <w:rPr>
                <w:rStyle w:val="9"/>
                <w:rFonts w:hint="eastAsia"/>
                <w:b w:val="0"/>
                <w:bCs w:val="0"/>
                <w:sz w:val="18"/>
                <w:szCs w:val="18"/>
              </w:rPr>
              <w:t>传真</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r>
              <w:rPr>
                <w:rStyle w:val="9"/>
                <w:b w:val="0"/>
                <w:bCs w:val="0"/>
                <w:sz w:val="18"/>
                <w:szCs w:val="18"/>
              </w:rPr>
              <w:t>E-mail</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61" w:hRule="exact"/>
        </w:trPr>
        <w:tc>
          <w:tcPr>
            <w:tcW w:w="8300" w:type="dxa"/>
            <w:gridSpan w:val="12"/>
            <w:tcBorders>
              <w:top w:val="single" w:color="auto" w:sz="4" w:space="0"/>
              <w:left w:val="single" w:color="auto" w:sz="4" w:space="0"/>
              <w:bottom w:val="single" w:color="auto" w:sz="4" w:space="0"/>
              <w:right w:val="single" w:color="auto" w:sz="4" w:space="0"/>
            </w:tcBorders>
            <w:vAlign w:val="center"/>
          </w:tcPr>
          <w:p>
            <w:pPr>
              <w:rPr>
                <w:rStyle w:val="9"/>
                <w:bCs w:val="0"/>
                <w:sz w:val="18"/>
                <w:szCs w:val="18"/>
              </w:rPr>
            </w:pPr>
            <w:r>
              <w:rPr>
                <w:rFonts w:hint="eastAsia"/>
                <w:bCs/>
                <w:sz w:val="18"/>
                <w:szCs w:val="18"/>
              </w:rPr>
              <w:t xml:space="preserve">   培训费用：       元                                  付款方式: □1、转帐</w:t>
            </w:r>
            <w:r>
              <w:rPr>
                <w:bCs/>
                <w:sz w:val="18"/>
                <w:szCs w:val="18"/>
              </w:rPr>
              <w:t xml:space="preserve"> </w:t>
            </w:r>
            <w:r>
              <w:rPr>
                <w:rFonts w:hint="eastAsia"/>
                <w:bCs/>
                <w:sz w:val="18"/>
                <w:szCs w:val="18"/>
              </w:rPr>
              <w:t xml:space="preserve">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64" w:hRule="exact"/>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sz w:val="18"/>
                <w:szCs w:val="18"/>
              </w:rPr>
            </w:pPr>
          </w:p>
          <w:p>
            <w:pPr>
              <w:jc w:val="center"/>
              <w:rPr>
                <w:rFonts w:hint="eastAsia"/>
                <w:b/>
                <w:sz w:val="18"/>
                <w:szCs w:val="18"/>
              </w:rPr>
            </w:pPr>
            <w:r>
              <w:rPr>
                <w:rFonts w:hint="eastAsia"/>
                <w:b/>
                <w:sz w:val="18"/>
                <w:szCs w:val="18"/>
              </w:rPr>
              <w:t>参</w:t>
            </w:r>
          </w:p>
          <w:p>
            <w:pPr>
              <w:jc w:val="center"/>
              <w:rPr>
                <w:b/>
                <w:sz w:val="18"/>
                <w:szCs w:val="18"/>
              </w:rPr>
            </w:pPr>
            <w:r>
              <w:rPr>
                <w:rFonts w:hint="eastAsia"/>
                <w:b/>
                <w:sz w:val="18"/>
                <w:szCs w:val="18"/>
              </w:rPr>
              <w:t>训</w:t>
            </w:r>
          </w:p>
          <w:p>
            <w:pPr>
              <w:jc w:val="center"/>
              <w:rPr>
                <w:rFonts w:hint="eastAsia"/>
                <w:b/>
                <w:sz w:val="18"/>
                <w:szCs w:val="18"/>
              </w:rPr>
            </w:pPr>
            <w:r>
              <w:rPr>
                <w:rFonts w:hint="eastAsia"/>
                <w:b/>
                <w:sz w:val="18"/>
                <w:szCs w:val="18"/>
              </w:rPr>
              <w:t>学</w:t>
            </w:r>
          </w:p>
          <w:p>
            <w:pPr>
              <w:jc w:val="center"/>
              <w:rPr>
                <w:b/>
                <w:sz w:val="18"/>
                <w:szCs w:val="18"/>
              </w:rPr>
            </w:pPr>
            <w:r>
              <w:rPr>
                <w:rFonts w:hint="eastAsia"/>
                <w:b/>
                <w:sz w:val="18"/>
                <w:szCs w:val="18"/>
              </w:rPr>
              <w:t>员</w:t>
            </w:r>
          </w:p>
          <w:p>
            <w:pPr>
              <w:jc w:val="center"/>
              <w:rPr>
                <w:rFonts w:hint="eastAsia"/>
                <w:b/>
                <w:sz w:val="18"/>
                <w:szCs w:val="18"/>
              </w:rPr>
            </w:pPr>
            <w:r>
              <w:rPr>
                <w:rFonts w:hint="eastAsia"/>
                <w:b/>
                <w:sz w:val="18"/>
                <w:szCs w:val="18"/>
              </w:rPr>
              <w:t>名</w:t>
            </w:r>
          </w:p>
          <w:p>
            <w:pPr>
              <w:jc w:val="center"/>
              <w:rPr>
                <w:b/>
                <w:sz w:val="18"/>
                <w:szCs w:val="18"/>
              </w:rPr>
            </w:pPr>
            <w:r>
              <w:rPr>
                <w:rFonts w:hint="eastAsia"/>
                <w:b/>
                <w:sz w:val="18"/>
                <w:szCs w:val="18"/>
              </w:rPr>
              <w:t>单</w:t>
            </w:r>
          </w:p>
          <w:p>
            <w:pPr>
              <w:rPr>
                <w:sz w:val="18"/>
                <w:szCs w:val="18"/>
              </w:rPr>
            </w:pPr>
          </w:p>
          <w:p>
            <w:pPr>
              <w:rPr>
                <w:sz w:val="18"/>
                <w:szCs w:val="18"/>
              </w:rPr>
            </w:pPr>
          </w:p>
          <w:p>
            <w:pPr>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姓 名</w:t>
            </w:r>
          </w:p>
        </w:tc>
        <w:tc>
          <w:tcPr>
            <w:tcW w:w="291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课 程 名 称</w:t>
            </w:r>
          </w:p>
        </w:tc>
        <w:tc>
          <w:tcPr>
            <w:tcW w:w="1125"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rFonts w:hint="eastAsia"/>
                <w:b w:val="0"/>
                <w:bCs w:val="0"/>
                <w:sz w:val="18"/>
                <w:szCs w:val="18"/>
              </w:rPr>
            </w:pPr>
            <w:r>
              <w:rPr>
                <w:rStyle w:val="9"/>
                <w:rFonts w:hint="eastAsia"/>
                <w:b w:val="0"/>
                <w:bCs w:val="0"/>
                <w:sz w:val="18"/>
                <w:szCs w:val="18"/>
              </w:rPr>
              <w:t>课程时间</w:t>
            </w:r>
          </w:p>
        </w:tc>
        <w:tc>
          <w:tcPr>
            <w:tcW w:w="1020"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b w:val="0"/>
                <w:bCs w:val="0"/>
                <w:sz w:val="18"/>
                <w:szCs w:val="18"/>
              </w:rPr>
            </w:pPr>
            <w:r>
              <w:rPr>
                <w:rStyle w:val="9"/>
                <w:rFonts w:hint="eastAsia"/>
                <w:b w:val="0"/>
                <w:bCs w:val="0"/>
                <w:sz w:val="18"/>
                <w:szCs w:val="18"/>
              </w:rPr>
              <w:t>课程地点</w:t>
            </w:r>
          </w:p>
        </w:tc>
        <w:tc>
          <w:tcPr>
            <w:tcW w:w="1958"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Style w:val="9"/>
                <w:rFonts w:hint="eastAsia"/>
                <w:b w:val="0"/>
                <w:bCs w:val="0"/>
                <w:sz w:val="18"/>
                <w:szCs w:val="18"/>
              </w:rPr>
            </w:pPr>
            <w:r>
              <w:rPr>
                <w:rStyle w:val="9"/>
                <w:rFonts w:hint="eastAsia"/>
                <w:b w:val="0"/>
                <w:bCs w:val="0"/>
                <w:sz w:val="18"/>
                <w:szCs w:val="18"/>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rFonts w:hint="eastAsia"/>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2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315"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90" w:hRule="atLeast"/>
        </w:trPr>
        <w:tc>
          <w:tcPr>
            <w:tcW w:w="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2910" w:type="dxa"/>
            <w:gridSpan w:val="3"/>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Style w:val="9"/>
                <w:b w:val="0"/>
                <w:bCs w:val="0"/>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467" w:type="dxa"/>
            <w:vMerge w:val="restart"/>
            <w:tcBorders>
              <w:top w:val="single" w:color="auto" w:sz="4" w:space="0"/>
              <w:left w:val="single" w:color="auto" w:sz="4" w:space="0"/>
              <w:right w:val="single" w:color="auto" w:sz="4" w:space="0"/>
            </w:tcBorders>
            <w:textDirection w:val="tbRlV"/>
            <w:vAlign w:val="center"/>
          </w:tcPr>
          <w:p>
            <w:pPr>
              <w:widowControl/>
              <w:ind w:left="113" w:right="113"/>
              <w:jc w:val="left"/>
              <w:rPr>
                <w:rFonts w:hint="eastAsia"/>
              </w:rPr>
            </w:pPr>
            <w:r>
              <w:rPr>
                <w:rFonts w:hint="eastAsia"/>
                <w:b/>
                <w:bCs/>
                <w:sz w:val="24"/>
              </w:rPr>
              <w:t>转  账   户</w:t>
            </w: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Pr>
                <w:rFonts w:hint="eastAsia"/>
                <w:b/>
                <w:color w:val="000000"/>
                <w:sz w:val="30"/>
                <w:szCs w:val="30"/>
              </w:rPr>
            </w:pPr>
            <w:r>
              <w:rPr>
                <w:b/>
                <w:color w:val="000000"/>
                <w:sz w:val="30"/>
                <w:szCs w:val="30"/>
              </w:rPr>
              <w:t>户</w:t>
            </w:r>
            <w:r>
              <w:rPr>
                <w:rFonts w:hint="eastAsia"/>
                <w:b/>
                <w:color w:val="000000"/>
                <w:sz w:val="30"/>
                <w:szCs w:val="30"/>
                <w:lang w:val="en-US" w:eastAsia="zh-CN"/>
              </w:rPr>
              <w:t xml:space="preserve"> </w:t>
            </w:r>
            <w:r>
              <w:rPr>
                <w:b/>
                <w:color w:val="000000"/>
                <w:sz w:val="30"/>
                <w:szCs w:val="30"/>
              </w:rPr>
              <w:t>名</w:t>
            </w:r>
            <w:r>
              <w:rPr>
                <w:rFonts w:hint="eastAsia"/>
                <w:b/>
                <w:color w:val="000000"/>
                <w:sz w:val="30"/>
                <w:szCs w:val="30"/>
                <w:lang w:eastAsia="zh-CN"/>
              </w:rPr>
              <w:t>：</w:t>
            </w:r>
            <w:r>
              <w:rPr>
                <w:b/>
                <w:color w:val="000000"/>
                <w:sz w:val="30"/>
                <w:szCs w:val="30"/>
              </w:rPr>
              <w:t>深圳市诺达实业有限公司</w:t>
            </w:r>
            <w:r>
              <w:rPr>
                <w:rFonts w:hint="eastAsia"/>
                <w:b/>
                <w:color w:val="000000"/>
                <w:sz w:val="30"/>
                <w:szCs w:val="30"/>
              </w:rPr>
              <w:t xml:space="preserve">      </w:t>
            </w:r>
          </w:p>
          <w:p>
            <w:pPr>
              <w:rPr>
                <w:b/>
                <w:color w:val="000000"/>
                <w:sz w:val="30"/>
                <w:szCs w:val="30"/>
              </w:rPr>
            </w:pPr>
            <w:r>
              <w:rPr>
                <w:rFonts w:hint="eastAsia"/>
                <w:b/>
                <w:color w:val="000000"/>
                <w:sz w:val="30"/>
                <w:szCs w:val="30"/>
              </w:rPr>
              <w:t xml:space="preserve">账 </w:t>
            </w:r>
            <w:r>
              <w:rPr>
                <w:b/>
                <w:color w:val="000000"/>
                <w:sz w:val="30"/>
                <w:szCs w:val="30"/>
              </w:rPr>
              <w:t>号</w:t>
            </w:r>
            <w:r>
              <w:rPr>
                <w:rFonts w:hint="eastAsia"/>
                <w:b/>
                <w:color w:val="000000"/>
                <w:sz w:val="30"/>
                <w:szCs w:val="30"/>
                <w:lang w:eastAsia="zh-CN"/>
              </w:rPr>
              <w:t>：</w:t>
            </w:r>
            <w:r>
              <w:rPr>
                <w:rFonts w:hint="eastAsia" w:ascii="Calibri" w:hAnsi="Calibri" w:cs="黑体"/>
                <w:b/>
                <w:color w:val="000000"/>
                <w:sz w:val="30"/>
                <w:szCs w:val="30"/>
              </w:rPr>
              <w:t>7559  0189  9610  902</w:t>
            </w:r>
          </w:p>
          <w:p>
            <w:pPr>
              <w:tabs>
                <w:tab w:val="left" w:pos="400"/>
              </w:tabs>
              <w:jc w:val="left"/>
              <w:rPr>
                <w:rStyle w:val="9"/>
                <w:rFonts w:hint="eastAsia"/>
                <w:b w:val="0"/>
                <w:bCs w:val="0"/>
                <w:szCs w:val="18"/>
              </w:rPr>
            </w:pPr>
          </w:p>
        </w:tc>
        <w:tc>
          <w:tcPr>
            <w:tcW w:w="3618" w:type="dxa"/>
            <w:vAlign w:val="center"/>
          </w:tcPr>
          <w:p>
            <w:pPr>
              <w:jc w:val="cente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3618" w:type="dxa"/>
          <w:cantSplit/>
          <w:trHeight w:val="567" w:hRule="atLeast"/>
        </w:trPr>
        <w:tc>
          <w:tcPr>
            <w:tcW w:w="467" w:type="dxa"/>
            <w:vMerge w:val="continue"/>
            <w:tcBorders>
              <w:left w:val="single" w:color="auto" w:sz="4" w:space="0"/>
              <w:bottom w:val="single" w:color="auto" w:sz="4" w:space="0"/>
              <w:right w:val="single" w:color="auto" w:sz="4" w:space="0"/>
            </w:tcBorders>
            <w:textDirection w:val="tbRlV"/>
            <w:vAlign w:val="center"/>
          </w:tcPr>
          <w:p>
            <w:pPr>
              <w:jc w:val="center"/>
            </w:pPr>
          </w:p>
        </w:tc>
        <w:tc>
          <w:tcPr>
            <w:tcW w:w="7833" w:type="dxa"/>
            <w:gridSpan w:val="11"/>
            <w:tcBorders>
              <w:top w:val="single" w:color="auto" w:sz="4" w:space="0"/>
              <w:left w:val="single" w:color="auto" w:sz="4" w:space="0"/>
              <w:bottom w:val="single" w:color="auto" w:sz="4" w:space="0"/>
              <w:right w:val="single" w:color="auto" w:sz="4" w:space="0"/>
            </w:tcBorders>
            <w:vAlign w:val="center"/>
          </w:tcPr>
          <w:p>
            <w:pPr/>
            <w:r>
              <w:rPr>
                <w:b/>
                <w:color w:val="000000"/>
                <w:sz w:val="28"/>
                <w:szCs w:val="28"/>
              </w:rPr>
              <w:t>开户行:</w:t>
            </w:r>
            <w:r>
              <w:rPr>
                <w:rFonts w:hint="eastAsia" w:ascii="Calibri" w:hAnsi="Calibri" w:cs="黑体"/>
                <w:b/>
                <w:bCs/>
                <w:color w:val="000000"/>
                <w:sz w:val="30"/>
                <w:szCs w:val="30"/>
              </w:rPr>
              <w:t>招商银行股份有限公司深圳源兴支行</w:t>
            </w:r>
          </w:p>
        </w:tc>
      </w:tr>
    </w:tbl>
    <w:p>
      <w:pPr>
        <w:rPr>
          <w:rFonts w:hint="eastAsia"/>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备注：为确保您的名额和及时参加，请提前将《报名表》填好后传真到我司0755-83654710，我们将有专人与您联系确认，并于开课前发出《开课邀请函》。培训时间、地点、住宿等详细信息请以《开课邀请函》书面通知为准，敬请留意。谢谢！详询热线：</w:t>
      </w:r>
      <w:r>
        <w:rPr>
          <w:rFonts w:hint="eastAsia" w:ascii="宋体" w:hAnsi="宋体" w:cs="宋体"/>
          <w:b w:val="0"/>
          <w:bCs w:val="0"/>
          <w:color w:val="000000"/>
          <w:sz w:val="21"/>
          <w:szCs w:val="21"/>
          <w:lang w:val="en-US" w:eastAsia="zh-CN"/>
        </w:rPr>
        <w:t>13955566155</w:t>
      </w:r>
      <w:r>
        <w:rPr>
          <w:rFonts w:hint="eastAsia" w:ascii="宋体" w:hAnsi="宋体" w:eastAsia="宋体" w:cs="宋体"/>
          <w:b w:val="0"/>
          <w:bCs w:val="0"/>
          <w:color w:val="000000"/>
          <w:sz w:val="21"/>
          <w:szCs w:val="21"/>
          <w:lang w:val="en-US" w:eastAsia="zh-CN"/>
        </w:rPr>
        <w:t>(</w:t>
      </w:r>
      <w:r>
        <w:rPr>
          <w:rFonts w:hint="eastAsia" w:ascii="宋体" w:hAnsi="宋体" w:cs="宋体"/>
          <w:b w:val="0"/>
          <w:bCs w:val="0"/>
          <w:color w:val="000000"/>
          <w:sz w:val="21"/>
          <w:szCs w:val="21"/>
          <w:lang w:val="en-US" w:eastAsia="zh-CN"/>
        </w:rPr>
        <w:t>朱</w:t>
      </w:r>
      <w:r>
        <w:rPr>
          <w:rFonts w:hint="eastAsia" w:ascii="宋体" w:hAnsi="宋体" w:eastAsia="宋体" w:cs="宋体"/>
          <w:b w:val="0"/>
          <w:bCs w:val="0"/>
          <w:color w:val="000000"/>
          <w:sz w:val="21"/>
          <w:szCs w:val="21"/>
          <w:lang w:val="en-US" w:eastAsia="zh-CN"/>
        </w:rPr>
        <w:t>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针对此次课程您希望解决哪些问题？（重要指数：★★★★★）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w:t>
      </w:r>
      <w:r>
        <w:rPr>
          <w:rFonts w:hint="eastAsia" w:ascii="宋体" w:hAnsi="宋体" w:cs="宋体"/>
          <w:b w:val="0"/>
          <w:bCs w:val="0"/>
          <w:color w:val="000000"/>
          <w:sz w:val="21"/>
          <w:szCs w:val="21"/>
          <w:u w:val="single"/>
          <w:lang w:val="en-US" w:eastAsia="zh-CN"/>
        </w:rPr>
        <w:t xml:space="preserve">                                                               </w:t>
      </w:r>
      <w:r>
        <w:rPr>
          <w:rFonts w:hint="eastAsia" w:ascii="宋体" w:hAnsi="宋体" w:eastAsia="宋体" w:cs="宋体"/>
          <w:b w:val="0"/>
          <w:bCs w:val="0"/>
          <w:color w:val="000000"/>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r>
        <w:rPr>
          <w:rFonts w:hint="eastAsia" w:ascii="宋体" w:hAnsi="宋体" w:cs="宋体"/>
          <w:b w:val="0"/>
          <w:bCs w:val="0"/>
          <w:color w:val="00000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温馨提醒：按问题重要性依次填写（最重要的请写在最前面），以增强培训的针对性，提升培训效果。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地址：深圳市南山区科技园中区科苑路15号科兴科学园B1-402室电话：0755-61608961</w:t>
      </w:r>
      <w:r>
        <w:rPr>
          <w:rFonts w:hint="eastAsia" w:ascii="宋体" w:hAnsi="宋体" w:cs="宋体"/>
          <w:b w:val="0"/>
          <w:bCs w:val="0"/>
          <w:color w:val="000000"/>
          <w:sz w:val="21"/>
          <w:szCs w:val="21"/>
          <w:lang w:val="en-US" w:eastAsia="zh-CN"/>
        </w:rPr>
        <w:t>；</w:t>
      </w:r>
      <w:r>
        <w:rPr>
          <w:rFonts w:hint="eastAsia" w:ascii="宋体" w:hAnsi="宋体" w:eastAsia="宋体" w:cs="宋体"/>
          <w:b w:val="0"/>
          <w:bCs w:val="0"/>
          <w:color w:val="000000"/>
          <w:sz w:val="21"/>
          <w:szCs w:val="21"/>
          <w:lang w:val="en-US" w:eastAsia="zh-CN"/>
        </w:rPr>
        <w:t>传真:0755-83654710</w:t>
      </w:r>
    </w:p>
    <w:p>
      <w:pPr>
        <w:spacing w:line="360" w:lineRule="auto"/>
        <w:rPr>
          <w:rFonts w:hint="eastAsia" w:asciiTheme="minorEastAsia" w:hAnsiTheme="minorEastAsia" w:eastAsiaTheme="minorEastAsia"/>
          <w:sz w:val="20"/>
          <w:szCs w:val="20"/>
        </w:rPr>
      </w:pPr>
    </w:p>
    <w:sectPr>
      <w:headerReference r:id="rId3" w:type="default"/>
      <w:footerReference r:id="rId4" w:type="default"/>
      <w:type w:val="continuous"/>
      <w:pgSz w:w="11906" w:h="16838"/>
      <w:pgMar w:top="1440" w:right="1800" w:bottom="1440" w:left="1800" w:header="851" w:footer="229"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找讲师、公开课，上诺达名师网，中国最大的培训平台  </w:t>
    </w:r>
    <w:r>
      <w:rPr>
        <w:rFonts w:hint="eastAsia" w:ascii="宋体" w:hAnsi="宋体" w:eastAsia="宋体" w:cs="宋体"/>
        <w:color w:val="000000"/>
        <w:sz w:val="21"/>
        <w:szCs w:val="21"/>
        <w:lang w:val="en-US" w:eastAsia="zh-CN"/>
      </w:rPr>
      <w:t>http://</w:t>
    </w:r>
    <w:r>
      <w:rPr>
        <w:rFonts w:hint="eastAsia" w:ascii="宋体" w:hAnsi="宋体" w:eastAsia="宋体" w:cs="宋体"/>
        <w:color w:val="000000"/>
        <w:sz w:val="21"/>
        <w:szCs w:val="21"/>
      </w:rPr>
      <w:t>qy.thea.cn</w:t>
    </w:r>
    <w:r>
      <w:rPr>
        <w:rFonts w:hint="eastAsia" w:ascii="宋体" w:hAnsi="宋体" w:eastAsia="宋体" w:cs="宋体"/>
        <w:color w:val="000000"/>
        <w:sz w:val="21"/>
        <w:szCs w:val="21"/>
        <w:lang w:val="en-US" w:eastAsia="zh-CN"/>
      </w:rPr>
      <w:t>/</w:t>
    </w:r>
  </w:p>
  <w:p>
    <w:pPr>
      <w:pStyle w:val="4"/>
      <w:jc w:val="center"/>
      <w:rPr>
        <w:rFonts w:ascii="宋体" w:hAnsi="宋体"/>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textAlignment w:val="center"/>
      <w:rPr>
        <w:rFonts w:ascii="微软雅黑" w:hAnsi="微软雅黑" w:eastAsia="微软雅黑"/>
        <w:b/>
        <w:color w:val="FD7B41"/>
      </w:rPr>
    </w:pPr>
    <w:bookmarkStart w:id="0" w:name="_GoBack"/>
    <w:r>
      <w:rPr>
        <w:rFonts w:hint="eastAsia"/>
      </w:rPr>
      <w:drawing>
        <wp:anchor distT="0" distB="0" distL="114300" distR="114300" simplePos="0" relativeHeight="251658240" behindDoc="0" locked="0" layoutInCell="1" allowOverlap="1">
          <wp:simplePos x="0" y="0"/>
          <wp:positionH relativeFrom="column">
            <wp:posOffset>-125095</wp:posOffset>
          </wp:positionH>
          <wp:positionV relativeFrom="paragraph">
            <wp:posOffset>-426720</wp:posOffset>
          </wp:positionV>
          <wp:extent cx="5430520" cy="756285"/>
          <wp:effectExtent l="0" t="0" r="17780" b="5715"/>
          <wp:wrapNone/>
          <wp:docPr id="1" name="图片 1" descr="QQ图片201412221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1222152215"/>
                  <pic:cNvPicPr>
                    <a:picLocks noChangeAspect="1"/>
                  </pic:cNvPicPr>
                </pic:nvPicPr>
                <pic:blipFill>
                  <a:blip r:embed="rId1"/>
                  <a:stretch>
                    <a:fillRect/>
                  </a:stretch>
                </pic:blipFill>
                <pic:spPr>
                  <a:xfrm>
                    <a:off x="0" y="0"/>
                    <a:ext cx="5430520" cy="756285"/>
                  </a:xfrm>
                  <a:prstGeom prst="rect">
                    <a:avLst/>
                  </a:prstGeom>
                  <a:noFill/>
                  <a:ln w="9525">
                    <a:noFill/>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B05"/>
    <w:multiLevelType w:val="multilevel"/>
    <w:tmpl w:val="05CD3B0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0"/>
      <w:numFmt w:val="bullet"/>
      <w:lvlText w:val="●"/>
      <w:lvlJc w:val="left"/>
      <w:pPr>
        <w:ind w:left="2460" w:hanging="360"/>
      </w:pPr>
      <w:rPr>
        <w:rFonts w:hint="eastAsia" w:ascii="宋体" w:hAnsi="宋体" w:eastAsia="宋体" w:cs="楷体_GB2312"/>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592BC2"/>
    <w:multiLevelType w:val="multilevel"/>
    <w:tmpl w:val="06592BC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7687E95"/>
    <w:multiLevelType w:val="multilevel"/>
    <w:tmpl w:val="27687E95"/>
    <w:lvl w:ilvl="0" w:tentative="0">
      <w:start w:val="1"/>
      <w:numFmt w:val="decimal"/>
      <w:lvlText w:val="%1."/>
      <w:lvlJc w:val="left"/>
      <w:pPr>
        <w:tabs>
          <w:tab w:val="left" w:pos="450"/>
        </w:tabs>
        <w:ind w:left="450" w:hanging="4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06D36"/>
    <w:multiLevelType w:val="multilevel"/>
    <w:tmpl w:val="36906D3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76737BF1"/>
    <w:multiLevelType w:val="multilevel"/>
    <w:tmpl w:val="76737BF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133C0"/>
    <w:rsid w:val="0001481B"/>
    <w:rsid w:val="00015B8C"/>
    <w:rsid w:val="0003098F"/>
    <w:rsid w:val="00031BBA"/>
    <w:rsid w:val="000436F4"/>
    <w:rsid w:val="00043B28"/>
    <w:rsid w:val="000445A9"/>
    <w:rsid w:val="00045A18"/>
    <w:rsid w:val="00047B63"/>
    <w:rsid w:val="0005482D"/>
    <w:rsid w:val="0005796D"/>
    <w:rsid w:val="00061426"/>
    <w:rsid w:val="0006227F"/>
    <w:rsid w:val="00062859"/>
    <w:rsid w:val="00066777"/>
    <w:rsid w:val="00070D9F"/>
    <w:rsid w:val="00071125"/>
    <w:rsid w:val="00077CB1"/>
    <w:rsid w:val="00080BF4"/>
    <w:rsid w:val="000810E4"/>
    <w:rsid w:val="000814D3"/>
    <w:rsid w:val="0008162D"/>
    <w:rsid w:val="00082D63"/>
    <w:rsid w:val="000872E5"/>
    <w:rsid w:val="0009026E"/>
    <w:rsid w:val="000A0D30"/>
    <w:rsid w:val="000A2BA2"/>
    <w:rsid w:val="000A3436"/>
    <w:rsid w:val="000A5DD7"/>
    <w:rsid w:val="000B21BF"/>
    <w:rsid w:val="000B7013"/>
    <w:rsid w:val="000C147F"/>
    <w:rsid w:val="000C5FC3"/>
    <w:rsid w:val="000C7FDD"/>
    <w:rsid w:val="000D1F9B"/>
    <w:rsid w:val="000D2D5F"/>
    <w:rsid w:val="000E1304"/>
    <w:rsid w:val="000E1376"/>
    <w:rsid w:val="000E3BD9"/>
    <w:rsid w:val="000F0234"/>
    <w:rsid w:val="000F4F31"/>
    <w:rsid w:val="000F5953"/>
    <w:rsid w:val="000F7635"/>
    <w:rsid w:val="00101244"/>
    <w:rsid w:val="001019E9"/>
    <w:rsid w:val="00103477"/>
    <w:rsid w:val="00110C41"/>
    <w:rsid w:val="00115466"/>
    <w:rsid w:val="001214C6"/>
    <w:rsid w:val="00126244"/>
    <w:rsid w:val="0012768C"/>
    <w:rsid w:val="00133D1D"/>
    <w:rsid w:val="00147C16"/>
    <w:rsid w:val="00151461"/>
    <w:rsid w:val="00162C95"/>
    <w:rsid w:val="001745BD"/>
    <w:rsid w:val="00176CF2"/>
    <w:rsid w:val="00181AE7"/>
    <w:rsid w:val="00194294"/>
    <w:rsid w:val="00194472"/>
    <w:rsid w:val="00195E06"/>
    <w:rsid w:val="001A2FC1"/>
    <w:rsid w:val="001A48C5"/>
    <w:rsid w:val="001B0171"/>
    <w:rsid w:val="001B0C54"/>
    <w:rsid w:val="001B1A66"/>
    <w:rsid w:val="001C0A06"/>
    <w:rsid w:val="001C0AEC"/>
    <w:rsid w:val="001C237B"/>
    <w:rsid w:val="001C6765"/>
    <w:rsid w:val="001C6F84"/>
    <w:rsid w:val="001E0CC6"/>
    <w:rsid w:val="001E3B26"/>
    <w:rsid w:val="001E59D9"/>
    <w:rsid w:val="001F4311"/>
    <w:rsid w:val="001F6FDE"/>
    <w:rsid w:val="002027AE"/>
    <w:rsid w:val="002028AF"/>
    <w:rsid w:val="002051A7"/>
    <w:rsid w:val="00213AAF"/>
    <w:rsid w:val="00214AE8"/>
    <w:rsid w:val="00215E13"/>
    <w:rsid w:val="00223AE2"/>
    <w:rsid w:val="00231590"/>
    <w:rsid w:val="0023193E"/>
    <w:rsid w:val="00234668"/>
    <w:rsid w:val="00235486"/>
    <w:rsid w:val="0024062A"/>
    <w:rsid w:val="002420F7"/>
    <w:rsid w:val="00247068"/>
    <w:rsid w:val="00250406"/>
    <w:rsid w:val="00251F92"/>
    <w:rsid w:val="0025547D"/>
    <w:rsid w:val="002566A4"/>
    <w:rsid w:val="0025779E"/>
    <w:rsid w:val="00260110"/>
    <w:rsid w:val="002609E7"/>
    <w:rsid w:val="00262085"/>
    <w:rsid w:val="002667FD"/>
    <w:rsid w:val="002677AD"/>
    <w:rsid w:val="002702DA"/>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2C71"/>
    <w:rsid w:val="002C33FF"/>
    <w:rsid w:val="002C58DB"/>
    <w:rsid w:val="002C7270"/>
    <w:rsid w:val="002D5646"/>
    <w:rsid w:val="002E5618"/>
    <w:rsid w:val="002F287C"/>
    <w:rsid w:val="002F4EC6"/>
    <w:rsid w:val="002F56BE"/>
    <w:rsid w:val="002F5CCE"/>
    <w:rsid w:val="00300A37"/>
    <w:rsid w:val="003011BB"/>
    <w:rsid w:val="00303DA9"/>
    <w:rsid w:val="00306493"/>
    <w:rsid w:val="003100A4"/>
    <w:rsid w:val="00310D71"/>
    <w:rsid w:val="003115FB"/>
    <w:rsid w:val="0031171A"/>
    <w:rsid w:val="00311D16"/>
    <w:rsid w:val="003166C2"/>
    <w:rsid w:val="003176DC"/>
    <w:rsid w:val="003203AF"/>
    <w:rsid w:val="00321BA5"/>
    <w:rsid w:val="00332BD3"/>
    <w:rsid w:val="00334292"/>
    <w:rsid w:val="003349B7"/>
    <w:rsid w:val="00336100"/>
    <w:rsid w:val="0033773D"/>
    <w:rsid w:val="00341F39"/>
    <w:rsid w:val="00352B4D"/>
    <w:rsid w:val="00364A01"/>
    <w:rsid w:val="00365D38"/>
    <w:rsid w:val="0036610F"/>
    <w:rsid w:val="003706EF"/>
    <w:rsid w:val="00370CC2"/>
    <w:rsid w:val="00372768"/>
    <w:rsid w:val="00372DF6"/>
    <w:rsid w:val="00375B80"/>
    <w:rsid w:val="00380817"/>
    <w:rsid w:val="00383423"/>
    <w:rsid w:val="00387BBA"/>
    <w:rsid w:val="00387FA5"/>
    <w:rsid w:val="00394097"/>
    <w:rsid w:val="00394666"/>
    <w:rsid w:val="0039591C"/>
    <w:rsid w:val="00397DE4"/>
    <w:rsid w:val="003A1019"/>
    <w:rsid w:val="003A1409"/>
    <w:rsid w:val="003B5DC8"/>
    <w:rsid w:val="003C19BC"/>
    <w:rsid w:val="003C3B64"/>
    <w:rsid w:val="003C5FAC"/>
    <w:rsid w:val="003D0D03"/>
    <w:rsid w:val="003D5064"/>
    <w:rsid w:val="003E42D0"/>
    <w:rsid w:val="003E572D"/>
    <w:rsid w:val="003F2F5A"/>
    <w:rsid w:val="004035A2"/>
    <w:rsid w:val="00407573"/>
    <w:rsid w:val="00411BDE"/>
    <w:rsid w:val="00414B98"/>
    <w:rsid w:val="00417448"/>
    <w:rsid w:val="00421A1A"/>
    <w:rsid w:val="00424AC6"/>
    <w:rsid w:val="0042579D"/>
    <w:rsid w:val="00425F04"/>
    <w:rsid w:val="00431B10"/>
    <w:rsid w:val="004437A8"/>
    <w:rsid w:val="00444298"/>
    <w:rsid w:val="00452C6B"/>
    <w:rsid w:val="00453411"/>
    <w:rsid w:val="0045357E"/>
    <w:rsid w:val="00455A8D"/>
    <w:rsid w:val="004568E3"/>
    <w:rsid w:val="00457034"/>
    <w:rsid w:val="0045732E"/>
    <w:rsid w:val="00460AEC"/>
    <w:rsid w:val="00463572"/>
    <w:rsid w:val="00464718"/>
    <w:rsid w:val="00470097"/>
    <w:rsid w:val="004739E7"/>
    <w:rsid w:val="0047507B"/>
    <w:rsid w:val="004777CE"/>
    <w:rsid w:val="00482F98"/>
    <w:rsid w:val="00485775"/>
    <w:rsid w:val="0049247C"/>
    <w:rsid w:val="00494D3F"/>
    <w:rsid w:val="004A7773"/>
    <w:rsid w:val="004B141F"/>
    <w:rsid w:val="004B37D3"/>
    <w:rsid w:val="004B391D"/>
    <w:rsid w:val="004B49BC"/>
    <w:rsid w:val="004B4B82"/>
    <w:rsid w:val="004C0558"/>
    <w:rsid w:val="004C074B"/>
    <w:rsid w:val="004C2D32"/>
    <w:rsid w:val="004C5628"/>
    <w:rsid w:val="004D0D45"/>
    <w:rsid w:val="004D1745"/>
    <w:rsid w:val="004D2DE2"/>
    <w:rsid w:val="004D5801"/>
    <w:rsid w:val="004D684C"/>
    <w:rsid w:val="004D6BCC"/>
    <w:rsid w:val="004D7A31"/>
    <w:rsid w:val="004D7A74"/>
    <w:rsid w:val="004F1007"/>
    <w:rsid w:val="004F1FFF"/>
    <w:rsid w:val="004F2BDD"/>
    <w:rsid w:val="004F38C1"/>
    <w:rsid w:val="004F4742"/>
    <w:rsid w:val="004F5E75"/>
    <w:rsid w:val="00500837"/>
    <w:rsid w:val="00503D82"/>
    <w:rsid w:val="005076B3"/>
    <w:rsid w:val="00507BDC"/>
    <w:rsid w:val="00512398"/>
    <w:rsid w:val="005128C5"/>
    <w:rsid w:val="00516C50"/>
    <w:rsid w:val="00521C44"/>
    <w:rsid w:val="00531173"/>
    <w:rsid w:val="00533E15"/>
    <w:rsid w:val="005347EF"/>
    <w:rsid w:val="00534DD6"/>
    <w:rsid w:val="005404B5"/>
    <w:rsid w:val="0054532C"/>
    <w:rsid w:val="00546864"/>
    <w:rsid w:val="00546B86"/>
    <w:rsid w:val="005531C5"/>
    <w:rsid w:val="005562A1"/>
    <w:rsid w:val="005638A0"/>
    <w:rsid w:val="00565818"/>
    <w:rsid w:val="00567C57"/>
    <w:rsid w:val="00571D69"/>
    <w:rsid w:val="005728ED"/>
    <w:rsid w:val="00574E94"/>
    <w:rsid w:val="00575664"/>
    <w:rsid w:val="00577D5A"/>
    <w:rsid w:val="005917A1"/>
    <w:rsid w:val="00592A09"/>
    <w:rsid w:val="00593EB7"/>
    <w:rsid w:val="005959F6"/>
    <w:rsid w:val="00596070"/>
    <w:rsid w:val="005A3A92"/>
    <w:rsid w:val="005A432E"/>
    <w:rsid w:val="005A4F1D"/>
    <w:rsid w:val="005A7D89"/>
    <w:rsid w:val="005B0CB4"/>
    <w:rsid w:val="005B6DA2"/>
    <w:rsid w:val="005B74B8"/>
    <w:rsid w:val="005C0CAD"/>
    <w:rsid w:val="005D0511"/>
    <w:rsid w:val="005D0CA1"/>
    <w:rsid w:val="005D390C"/>
    <w:rsid w:val="005D5877"/>
    <w:rsid w:val="005E2DB4"/>
    <w:rsid w:val="005F1BB3"/>
    <w:rsid w:val="005F31A7"/>
    <w:rsid w:val="00600963"/>
    <w:rsid w:val="00602D75"/>
    <w:rsid w:val="006044CE"/>
    <w:rsid w:val="00604FA0"/>
    <w:rsid w:val="00612194"/>
    <w:rsid w:val="00612984"/>
    <w:rsid w:val="00617BD7"/>
    <w:rsid w:val="00617D73"/>
    <w:rsid w:val="00623FA5"/>
    <w:rsid w:val="00626266"/>
    <w:rsid w:val="006277F5"/>
    <w:rsid w:val="00627A4C"/>
    <w:rsid w:val="00631276"/>
    <w:rsid w:val="0063130E"/>
    <w:rsid w:val="00636248"/>
    <w:rsid w:val="00636860"/>
    <w:rsid w:val="006415CB"/>
    <w:rsid w:val="006420B1"/>
    <w:rsid w:val="006424D6"/>
    <w:rsid w:val="00643F7D"/>
    <w:rsid w:val="00647E7B"/>
    <w:rsid w:val="006534B5"/>
    <w:rsid w:val="00654F17"/>
    <w:rsid w:val="00656CF1"/>
    <w:rsid w:val="006613EE"/>
    <w:rsid w:val="00665C2A"/>
    <w:rsid w:val="00670EC3"/>
    <w:rsid w:val="006722CF"/>
    <w:rsid w:val="00673EF1"/>
    <w:rsid w:val="00685873"/>
    <w:rsid w:val="006962CA"/>
    <w:rsid w:val="006A407A"/>
    <w:rsid w:val="006A47B6"/>
    <w:rsid w:val="006A5DF1"/>
    <w:rsid w:val="006B20B4"/>
    <w:rsid w:val="006B2B5F"/>
    <w:rsid w:val="006B511E"/>
    <w:rsid w:val="006C103E"/>
    <w:rsid w:val="006D6EC4"/>
    <w:rsid w:val="006D7F83"/>
    <w:rsid w:val="006E0CC4"/>
    <w:rsid w:val="006E11CB"/>
    <w:rsid w:val="006E18E1"/>
    <w:rsid w:val="006E548C"/>
    <w:rsid w:val="006E5C19"/>
    <w:rsid w:val="006E7250"/>
    <w:rsid w:val="006E7E15"/>
    <w:rsid w:val="006F24AA"/>
    <w:rsid w:val="006F2F56"/>
    <w:rsid w:val="006F3F03"/>
    <w:rsid w:val="006F4D84"/>
    <w:rsid w:val="006F7310"/>
    <w:rsid w:val="006F7B7A"/>
    <w:rsid w:val="00701DC7"/>
    <w:rsid w:val="0070491C"/>
    <w:rsid w:val="00705E8C"/>
    <w:rsid w:val="00710671"/>
    <w:rsid w:val="00716BD9"/>
    <w:rsid w:val="0072072C"/>
    <w:rsid w:val="00721244"/>
    <w:rsid w:val="00723233"/>
    <w:rsid w:val="00725A10"/>
    <w:rsid w:val="00725C04"/>
    <w:rsid w:val="00726406"/>
    <w:rsid w:val="007268E2"/>
    <w:rsid w:val="00727D7B"/>
    <w:rsid w:val="00732FF1"/>
    <w:rsid w:val="007330A0"/>
    <w:rsid w:val="00734371"/>
    <w:rsid w:val="00740AFE"/>
    <w:rsid w:val="00741C9B"/>
    <w:rsid w:val="00745686"/>
    <w:rsid w:val="00747C72"/>
    <w:rsid w:val="00763D49"/>
    <w:rsid w:val="00766722"/>
    <w:rsid w:val="00771E54"/>
    <w:rsid w:val="007759A9"/>
    <w:rsid w:val="0078266A"/>
    <w:rsid w:val="0078274F"/>
    <w:rsid w:val="00784923"/>
    <w:rsid w:val="00787A68"/>
    <w:rsid w:val="00792A90"/>
    <w:rsid w:val="00795D65"/>
    <w:rsid w:val="007A0DEB"/>
    <w:rsid w:val="007A2C78"/>
    <w:rsid w:val="007A2D21"/>
    <w:rsid w:val="007B19E6"/>
    <w:rsid w:val="007B275E"/>
    <w:rsid w:val="007B5A65"/>
    <w:rsid w:val="007C3F5B"/>
    <w:rsid w:val="007C4B64"/>
    <w:rsid w:val="007C511D"/>
    <w:rsid w:val="007D33F0"/>
    <w:rsid w:val="007D3FAB"/>
    <w:rsid w:val="007D4679"/>
    <w:rsid w:val="007D54D7"/>
    <w:rsid w:val="007D62D5"/>
    <w:rsid w:val="007D75AE"/>
    <w:rsid w:val="007E5218"/>
    <w:rsid w:val="007E70D2"/>
    <w:rsid w:val="007E7F88"/>
    <w:rsid w:val="007F26B2"/>
    <w:rsid w:val="007F5D04"/>
    <w:rsid w:val="007F79E0"/>
    <w:rsid w:val="0080037D"/>
    <w:rsid w:val="00800EF4"/>
    <w:rsid w:val="00801FED"/>
    <w:rsid w:val="00803CB5"/>
    <w:rsid w:val="0081453E"/>
    <w:rsid w:val="00814B03"/>
    <w:rsid w:val="00817D49"/>
    <w:rsid w:val="00823628"/>
    <w:rsid w:val="0082630A"/>
    <w:rsid w:val="008305B9"/>
    <w:rsid w:val="00841202"/>
    <w:rsid w:val="00841756"/>
    <w:rsid w:val="0084673B"/>
    <w:rsid w:val="00847CD0"/>
    <w:rsid w:val="00850F8A"/>
    <w:rsid w:val="00851668"/>
    <w:rsid w:val="00861FAF"/>
    <w:rsid w:val="00862620"/>
    <w:rsid w:val="00862AB5"/>
    <w:rsid w:val="00867C7B"/>
    <w:rsid w:val="008700D9"/>
    <w:rsid w:val="00876156"/>
    <w:rsid w:val="00877386"/>
    <w:rsid w:val="00881671"/>
    <w:rsid w:val="00884427"/>
    <w:rsid w:val="00884B3D"/>
    <w:rsid w:val="0088613E"/>
    <w:rsid w:val="00887C34"/>
    <w:rsid w:val="00891614"/>
    <w:rsid w:val="00891935"/>
    <w:rsid w:val="00897E4E"/>
    <w:rsid w:val="008A129E"/>
    <w:rsid w:val="008A2EF6"/>
    <w:rsid w:val="008A369A"/>
    <w:rsid w:val="008A7B49"/>
    <w:rsid w:val="008B350E"/>
    <w:rsid w:val="008C1F7A"/>
    <w:rsid w:val="008C2D08"/>
    <w:rsid w:val="008C303C"/>
    <w:rsid w:val="008C7188"/>
    <w:rsid w:val="008D1A82"/>
    <w:rsid w:val="008D23FD"/>
    <w:rsid w:val="008D67F7"/>
    <w:rsid w:val="008F0FA0"/>
    <w:rsid w:val="008F7A77"/>
    <w:rsid w:val="00902F28"/>
    <w:rsid w:val="00907A22"/>
    <w:rsid w:val="00913711"/>
    <w:rsid w:val="009148C5"/>
    <w:rsid w:val="009166CA"/>
    <w:rsid w:val="0091712D"/>
    <w:rsid w:val="009209E9"/>
    <w:rsid w:val="00921911"/>
    <w:rsid w:val="0092265E"/>
    <w:rsid w:val="00922D33"/>
    <w:rsid w:val="009277C9"/>
    <w:rsid w:val="00927897"/>
    <w:rsid w:val="00927FE5"/>
    <w:rsid w:val="00942DAE"/>
    <w:rsid w:val="00942E74"/>
    <w:rsid w:val="0094470B"/>
    <w:rsid w:val="00945479"/>
    <w:rsid w:val="00945504"/>
    <w:rsid w:val="00956A61"/>
    <w:rsid w:val="009579B2"/>
    <w:rsid w:val="009602EC"/>
    <w:rsid w:val="00963858"/>
    <w:rsid w:val="00971A6F"/>
    <w:rsid w:val="00971F15"/>
    <w:rsid w:val="009757E7"/>
    <w:rsid w:val="00982207"/>
    <w:rsid w:val="00985B86"/>
    <w:rsid w:val="00986738"/>
    <w:rsid w:val="00986E1B"/>
    <w:rsid w:val="00993C77"/>
    <w:rsid w:val="0099401B"/>
    <w:rsid w:val="00995686"/>
    <w:rsid w:val="009A0F47"/>
    <w:rsid w:val="009A2333"/>
    <w:rsid w:val="009A2855"/>
    <w:rsid w:val="009A2DC1"/>
    <w:rsid w:val="009A5E4A"/>
    <w:rsid w:val="009B1875"/>
    <w:rsid w:val="009B403C"/>
    <w:rsid w:val="009B42CD"/>
    <w:rsid w:val="009B7FB3"/>
    <w:rsid w:val="009C02BA"/>
    <w:rsid w:val="009D04C1"/>
    <w:rsid w:val="009D24D4"/>
    <w:rsid w:val="009D613B"/>
    <w:rsid w:val="009E4271"/>
    <w:rsid w:val="009E54D1"/>
    <w:rsid w:val="009E60C1"/>
    <w:rsid w:val="009F3B4C"/>
    <w:rsid w:val="009F4EA4"/>
    <w:rsid w:val="009F5A5B"/>
    <w:rsid w:val="009F631A"/>
    <w:rsid w:val="00A02085"/>
    <w:rsid w:val="00A02B0B"/>
    <w:rsid w:val="00A06469"/>
    <w:rsid w:val="00A07158"/>
    <w:rsid w:val="00A10412"/>
    <w:rsid w:val="00A11B14"/>
    <w:rsid w:val="00A13D86"/>
    <w:rsid w:val="00A174D1"/>
    <w:rsid w:val="00A17536"/>
    <w:rsid w:val="00A21F86"/>
    <w:rsid w:val="00A2215A"/>
    <w:rsid w:val="00A22AFD"/>
    <w:rsid w:val="00A24400"/>
    <w:rsid w:val="00A27438"/>
    <w:rsid w:val="00A340F2"/>
    <w:rsid w:val="00A37456"/>
    <w:rsid w:val="00A42C59"/>
    <w:rsid w:val="00A44EFE"/>
    <w:rsid w:val="00A50634"/>
    <w:rsid w:val="00A50A41"/>
    <w:rsid w:val="00A50A6D"/>
    <w:rsid w:val="00A53B00"/>
    <w:rsid w:val="00A573F0"/>
    <w:rsid w:val="00A57569"/>
    <w:rsid w:val="00A579A7"/>
    <w:rsid w:val="00A60903"/>
    <w:rsid w:val="00A60CD9"/>
    <w:rsid w:val="00A618A3"/>
    <w:rsid w:val="00A62DCF"/>
    <w:rsid w:val="00A64347"/>
    <w:rsid w:val="00A722D2"/>
    <w:rsid w:val="00A75630"/>
    <w:rsid w:val="00A81275"/>
    <w:rsid w:val="00A856E5"/>
    <w:rsid w:val="00A91D33"/>
    <w:rsid w:val="00A92626"/>
    <w:rsid w:val="00A94965"/>
    <w:rsid w:val="00AA22F2"/>
    <w:rsid w:val="00AA577C"/>
    <w:rsid w:val="00AB18BE"/>
    <w:rsid w:val="00AB74C7"/>
    <w:rsid w:val="00AC3081"/>
    <w:rsid w:val="00AC3A3E"/>
    <w:rsid w:val="00AC5D23"/>
    <w:rsid w:val="00AD0A7E"/>
    <w:rsid w:val="00AD32BE"/>
    <w:rsid w:val="00AD3499"/>
    <w:rsid w:val="00AD60C8"/>
    <w:rsid w:val="00AD72C0"/>
    <w:rsid w:val="00AE31D3"/>
    <w:rsid w:val="00AE3C5D"/>
    <w:rsid w:val="00AE7B36"/>
    <w:rsid w:val="00AF55B3"/>
    <w:rsid w:val="00B01DF7"/>
    <w:rsid w:val="00B04437"/>
    <w:rsid w:val="00B062F7"/>
    <w:rsid w:val="00B11076"/>
    <w:rsid w:val="00B13127"/>
    <w:rsid w:val="00B164A8"/>
    <w:rsid w:val="00B20517"/>
    <w:rsid w:val="00B206E1"/>
    <w:rsid w:val="00B20AA5"/>
    <w:rsid w:val="00B25817"/>
    <w:rsid w:val="00B262E8"/>
    <w:rsid w:val="00B26B0A"/>
    <w:rsid w:val="00B32212"/>
    <w:rsid w:val="00B357C6"/>
    <w:rsid w:val="00B4052F"/>
    <w:rsid w:val="00B427F9"/>
    <w:rsid w:val="00B43871"/>
    <w:rsid w:val="00B4421E"/>
    <w:rsid w:val="00B450CE"/>
    <w:rsid w:val="00B45881"/>
    <w:rsid w:val="00B516FB"/>
    <w:rsid w:val="00B5732E"/>
    <w:rsid w:val="00B57AF5"/>
    <w:rsid w:val="00B64678"/>
    <w:rsid w:val="00B64D49"/>
    <w:rsid w:val="00B656C4"/>
    <w:rsid w:val="00B67B39"/>
    <w:rsid w:val="00B824A6"/>
    <w:rsid w:val="00B92936"/>
    <w:rsid w:val="00BA19FF"/>
    <w:rsid w:val="00BA4878"/>
    <w:rsid w:val="00BA538D"/>
    <w:rsid w:val="00BA58F2"/>
    <w:rsid w:val="00BA680C"/>
    <w:rsid w:val="00BA6A52"/>
    <w:rsid w:val="00BA701A"/>
    <w:rsid w:val="00BA7FDA"/>
    <w:rsid w:val="00BB1733"/>
    <w:rsid w:val="00BB32FF"/>
    <w:rsid w:val="00BC10E3"/>
    <w:rsid w:val="00BC25C8"/>
    <w:rsid w:val="00BD2116"/>
    <w:rsid w:val="00BD4F7C"/>
    <w:rsid w:val="00BD6066"/>
    <w:rsid w:val="00BE0B10"/>
    <w:rsid w:val="00BE2627"/>
    <w:rsid w:val="00BF6866"/>
    <w:rsid w:val="00C13815"/>
    <w:rsid w:val="00C1435F"/>
    <w:rsid w:val="00C14539"/>
    <w:rsid w:val="00C14843"/>
    <w:rsid w:val="00C157C2"/>
    <w:rsid w:val="00C15B4C"/>
    <w:rsid w:val="00C17920"/>
    <w:rsid w:val="00C2118B"/>
    <w:rsid w:val="00C231E0"/>
    <w:rsid w:val="00C26684"/>
    <w:rsid w:val="00C27D52"/>
    <w:rsid w:val="00C33016"/>
    <w:rsid w:val="00C40355"/>
    <w:rsid w:val="00C4067F"/>
    <w:rsid w:val="00C45A06"/>
    <w:rsid w:val="00C46215"/>
    <w:rsid w:val="00C523BD"/>
    <w:rsid w:val="00C56018"/>
    <w:rsid w:val="00C724AC"/>
    <w:rsid w:val="00C86C83"/>
    <w:rsid w:val="00C918CE"/>
    <w:rsid w:val="00C9265A"/>
    <w:rsid w:val="00C93E7B"/>
    <w:rsid w:val="00C9666F"/>
    <w:rsid w:val="00C9698B"/>
    <w:rsid w:val="00CA1FA2"/>
    <w:rsid w:val="00CA50D3"/>
    <w:rsid w:val="00CA56BD"/>
    <w:rsid w:val="00CA5899"/>
    <w:rsid w:val="00CA6A71"/>
    <w:rsid w:val="00CB0A30"/>
    <w:rsid w:val="00CB69F3"/>
    <w:rsid w:val="00CB7F4F"/>
    <w:rsid w:val="00CC1405"/>
    <w:rsid w:val="00CC1EC9"/>
    <w:rsid w:val="00CC5ED2"/>
    <w:rsid w:val="00CD189F"/>
    <w:rsid w:val="00CD3FAA"/>
    <w:rsid w:val="00CD56FA"/>
    <w:rsid w:val="00CD624F"/>
    <w:rsid w:val="00CD7C71"/>
    <w:rsid w:val="00CE1089"/>
    <w:rsid w:val="00CE22F5"/>
    <w:rsid w:val="00CE28AA"/>
    <w:rsid w:val="00CE6224"/>
    <w:rsid w:val="00CE66B3"/>
    <w:rsid w:val="00CF1645"/>
    <w:rsid w:val="00CF3208"/>
    <w:rsid w:val="00D02CDC"/>
    <w:rsid w:val="00D04FE3"/>
    <w:rsid w:val="00D06E94"/>
    <w:rsid w:val="00D07924"/>
    <w:rsid w:val="00D20316"/>
    <w:rsid w:val="00D22A84"/>
    <w:rsid w:val="00D22F4E"/>
    <w:rsid w:val="00D23954"/>
    <w:rsid w:val="00D25889"/>
    <w:rsid w:val="00D2716B"/>
    <w:rsid w:val="00D323DB"/>
    <w:rsid w:val="00D32545"/>
    <w:rsid w:val="00D33B27"/>
    <w:rsid w:val="00D409B4"/>
    <w:rsid w:val="00D40A82"/>
    <w:rsid w:val="00D416D2"/>
    <w:rsid w:val="00D4177E"/>
    <w:rsid w:val="00D508C5"/>
    <w:rsid w:val="00D508EF"/>
    <w:rsid w:val="00D567FA"/>
    <w:rsid w:val="00D5710C"/>
    <w:rsid w:val="00D601E7"/>
    <w:rsid w:val="00D60D7C"/>
    <w:rsid w:val="00D619FD"/>
    <w:rsid w:val="00D63AA3"/>
    <w:rsid w:val="00D67DD3"/>
    <w:rsid w:val="00D771E9"/>
    <w:rsid w:val="00D811B4"/>
    <w:rsid w:val="00D82C18"/>
    <w:rsid w:val="00D838DB"/>
    <w:rsid w:val="00D8778D"/>
    <w:rsid w:val="00D975F4"/>
    <w:rsid w:val="00DA33F6"/>
    <w:rsid w:val="00DA667E"/>
    <w:rsid w:val="00DB0C1A"/>
    <w:rsid w:val="00DB14A8"/>
    <w:rsid w:val="00DB44DC"/>
    <w:rsid w:val="00DB4F35"/>
    <w:rsid w:val="00DE11CF"/>
    <w:rsid w:val="00DE2ED8"/>
    <w:rsid w:val="00DE5971"/>
    <w:rsid w:val="00DE6DE9"/>
    <w:rsid w:val="00DF1AC2"/>
    <w:rsid w:val="00DF20C1"/>
    <w:rsid w:val="00DF24CE"/>
    <w:rsid w:val="00DF26DC"/>
    <w:rsid w:val="00DF69A3"/>
    <w:rsid w:val="00DF77B3"/>
    <w:rsid w:val="00E00127"/>
    <w:rsid w:val="00E00D25"/>
    <w:rsid w:val="00E016BB"/>
    <w:rsid w:val="00E04FF8"/>
    <w:rsid w:val="00E11F09"/>
    <w:rsid w:val="00E15178"/>
    <w:rsid w:val="00E20783"/>
    <w:rsid w:val="00E23F87"/>
    <w:rsid w:val="00E2583B"/>
    <w:rsid w:val="00E30512"/>
    <w:rsid w:val="00E31580"/>
    <w:rsid w:val="00E317F1"/>
    <w:rsid w:val="00E32742"/>
    <w:rsid w:val="00E37659"/>
    <w:rsid w:val="00E406CC"/>
    <w:rsid w:val="00E41F14"/>
    <w:rsid w:val="00E43876"/>
    <w:rsid w:val="00E43B98"/>
    <w:rsid w:val="00E502D6"/>
    <w:rsid w:val="00E52A05"/>
    <w:rsid w:val="00E5468A"/>
    <w:rsid w:val="00E560B0"/>
    <w:rsid w:val="00E60703"/>
    <w:rsid w:val="00E613F4"/>
    <w:rsid w:val="00E61CDA"/>
    <w:rsid w:val="00E6757E"/>
    <w:rsid w:val="00E71E21"/>
    <w:rsid w:val="00E7252D"/>
    <w:rsid w:val="00E731B5"/>
    <w:rsid w:val="00E7322D"/>
    <w:rsid w:val="00E74E68"/>
    <w:rsid w:val="00E86D0C"/>
    <w:rsid w:val="00E941B9"/>
    <w:rsid w:val="00E947DA"/>
    <w:rsid w:val="00EA0BE7"/>
    <w:rsid w:val="00EA3C68"/>
    <w:rsid w:val="00EA60B2"/>
    <w:rsid w:val="00EB0886"/>
    <w:rsid w:val="00EB1E0C"/>
    <w:rsid w:val="00EC129B"/>
    <w:rsid w:val="00EC40CB"/>
    <w:rsid w:val="00EC56B7"/>
    <w:rsid w:val="00EC664D"/>
    <w:rsid w:val="00ED04C3"/>
    <w:rsid w:val="00ED753A"/>
    <w:rsid w:val="00EE25C8"/>
    <w:rsid w:val="00EE2DBF"/>
    <w:rsid w:val="00EE3961"/>
    <w:rsid w:val="00EE5202"/>
    <w:rsid w:val="00EE5EE0"/>
    <w:rsid w:val="00EE779E"/>
    <w:rsid w:val="00EF3504"/>
    <w:rsid w:val="00EF3646"/>
    <w:rsid w:val="00EF560E"/>
    <w:rsid w:val="00F02A23"/>
    <w:rsid w:val="00F043C2"/>
    <w:rsid w:val="00F0552C"/>
    <w:rsid w:val="00F100A2"/>
    <w:rsid w:val="00F202E1"/>
    <w:rsid w:val="00F221D9"/>
    <w:rsid w:val="00F264ED"/>
    <w:rsid w:val="00F37754"/>
    <w:rsid w:val="00F45439"/>
    <w:rsid w:val="00F5189F"/>
    <w:rsid w:val="00F614BE"/>
    <w:rsid w:val="00F6247E"/>
    <w:rsid w:val="00F6344B"/>
    <w:rsid w:val="00F66CEE"/>
    <w:rsid w:val="00F7059C"/>
    <w:rsid w:val="00F705B1"/>
    <w:rsid w:val="00F70FA1"/>
    <w:rsid w:val="00F82D97"/>
    <w:rsid w:val="00F83CD8"/>
    <w:rsid w:val="00F860C0"/>
    <w:rsid w:val="00F868A4"/>
    <w:rsid w:val="00F8698D"/>
    <w:rsid w:val="00F91C3F"/>
    <w:rsid w:val="00F92984"/>
    <w:rsid w:val="00F9335B"/>
    <w:rsid w:val="00F9375C"/>
    <w:rsid w:val="00F953C4"/>
    <w:rsid w:val="00F95D6E"/>
    <w:rsid w:val="00FA25A9"/>
    <w:rsid w:val="00FA70CE"/>
    <w:rsid w:val="00FA7953"/>
    <w:rsid w:val="00FA7E49"/>
    <w:rsid w:val="00FB2BEA"/>
    <w:rsid w:val="00FB5AC0"/>
    <w:rsid w:val="00FB6654"/>
    <w:rsid w:val="00FC0971"/>
    <w:rsid w:val="00FC3B4B"/>
    <w:rsid w:val="00FC3DB9"/>
    <w:rsid w:val="00FC3EC3"/>
    <w:rsid w:val="00FC62E5"/>
    <w:rsid w:val="00FD1C0D"/>
    <w:rsid w:val="00FD503E"/>
    <w:rsid w:val="00FD69A0"/>
    <w:rsid w:val="00FE2DCF"/>
    <w:rsid w:val="00FE65F2"/>
    <w:rsid w:val="00FF0D14"/>
    <w:rsid w:val="00FF587B"/>
    <w:rsid w:val="00FF6FAC"/>
    <w:rsid w:val="2FA70D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9900"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unhideWhenUsed/>
    <w:uiPriority w:val="1"/>
    <w:rPr>
      <w:sz w:val="21"/>
      <w:szCs w:val="24"/>
    </w:rPr>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Body Text Indent 2"/>
    <w:basedOn w:val="1"/>
    <w:uiPriority w:val="0"/>
    <w:pPr>
      <w:spacing w:line="360" w:lineRule="auto"/>
      <w:ind w:firstLine="630" w:firstLineChars="300"/>
    </w:pPr>
    <w:rPr>
      <w:rFonts w:ascii="仿宋_GB2312" w:hAnsi="宋体" w:eastAsia="仿宋_GB2312"/>
    </w:rPr>
  </w:style>
  <w:style w:type="paragraph" w:styleId="3">
    <w:name w:val="Balloon Text"/>
    <w:basedOn w:val="1"/>
    <w:link w:val="22"/>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8">
    <w:name w:val="Char Char1"/>
    <w:basedOn w:val="1"/>
    <w:link w:val="7"/>
    <w:uiPriority w:val="0"/>
    <w:rPr>
      <w:sz w:val="21"/>
      <w:szCs w:val="24"/>
    </w:rPr>
  </w:style>
  <w:style w:type="character" w:styleId="9">
    <w:name w:val="Strong"/>
    <w:qFormat/>
    <w:uiPriority w:val="22"/>
    <w:rPr>
      <w:b/>
      <w:bCs/>
    </w:rPr>
  </w:style>
  <w:style w:type="character" w:styleId="10">
    <w:name w:val="page number"/>
    <w:basedOn w:val="7"/>
    <w:uiPriority w:val="0"/>
  </w:style>
  <w:style w:type="character" w:styleId="11">
    <w:name w:val="Hyperlink"/>
    <w:uiPriority w:val="0"/>
    <w:rPr>
      <w:color w:val="0000FF"/>
      <w:u w:val="single"/>
    </w:rPr>
  </w:style>
  <w:style w:type="paragraph" w:customStyle="1" w:styleId="13">
    <w:name w:val="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uiPriority w:val="0"/>
    <w:rPr>
      <w:kern w:val="2"/>
      <w:sz w:val="18"/>
      <w:szCs w:val="18"/>
    </w:rPr>
  </w:style>
  <w:style w:type="paragraph" w:customStyle="1" w:styleId="23">
    <w:name w:val="List Paragraph"/>
    <w:basedOn w:val="1"/>
    <w:qFormat/>
    <w:uiPriority w:val="34"/>
    <w:pPr>
      <w:ind w:firstLine="420" w:firstLineChars="200"/>
    </w:pPr>
  </w:style>
  <w:style w:type="character" w:customStyle="1" w:styleId="24">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5D60C-6F34-48DE-90B3-7118DDB1318D}">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631</Words>
  <Characters>3597</Characters>
  <Lines>29</Lines>
  <Paragraphs>8</Paragraphs>
  <TotalTime>0</TotalTime>
  <ScaleCrop>false</ScaleCrop>
  <LinksUpToDate>false</LinksUpToDate>
  <CharactersWithSpaces>4220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2016-07-29T09:17:10Z</dcterms:modified>
  <dc:title>帕迪课程</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