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A3" w:rsidRPr="00DF69A3" w:rsidRDefault="00DF69A3" w:rsidP="00954A25">
      <w:pPr>
        <w:ind w:firstLineChars="50" w:firstLine="105"/>
        <w:rPr>
          <w:rFonts w:ascii="楷体_GB2312" w:eastAsia="楷体_GB2312" w:hAnsi="宋体"/>
          <w:b/>
          <w:bCs/>
          <w:color w:val="000000" w:themeColor="text1"/>
          <w:szCs w:val="36"/>
        </w:rPr>
      </w:pPr>
    </w:p>
    <w:p w:rsidR="00DF69A3" w:rsidRDefault="00A03922" w:rsidP="007344D6">
      <w:pPr>
        <w:spacing w:line="360" w:lineRule="auto"/>
        <w:ind w:firstLineChars="50" w:firstLine="160"/>
        <w:jc w:val="center"/>
        <w:rPr>
          <w:rFonts w:ascii="微软雅黑" w:eastAsia="微软雅黑" w:hAnsi="微软雅黑"/>
          <w:b/>
          <w:bCs/>
          <w:color w:val="FF0000"/>
          <w:sz w:val="22"/>
          <w:szCs w:val="22"/>
        </w:rPr>
      </w:pPr>
      <w:r w:rsidRPr="00A03922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模块二：高绩效的供应管理</w:t>
      </w:r>
      <w:r w:rsidR="00C610AB" w:rsidRPr="00C610AB">
        <w:rPr>
          <w:rFonts w:ascii="微软雅黑" w:eastAsia="微软雅黑" w:hAnsi="微软雅黑" w:hint="eastAsia"/>
          <w:b/>
          <w:bCs/>
          <w:color w:val="FF0000"/>
          <w:sz w:val="22"/>
          <w:szCs w:val="22"/>
        </w:rPr>
        <w:t>（</w:t>
      </w:r>
      <w:r w:rsidR="007344D6">
        <w:rPr>
          <w:rFonts w:ascii="微软雅黑" w:eastAsia="微软雅黑" w:hAnsi="微软雅黑" w:hint="eastAsia"/>
          <w:b/>
          <w:bCs/>
          <w:color w:val="FF0000"/>
          <w:sz w:val="22"/>
          <w:szCs w:val="22"/>
        </w:rPr>
        <w:t>3</w:t>
      </w:r>
      <w:r w:rsidR="00C610AB" w:rsidRPr="00C610AB">
        <w:rPr>
          <w:rFonts w:ascii="微软雅黑" w:eastAsia="微软雅黑" w:hAnsi="微软雅黑" w:hint="eastAsia"/>
          <w:b/>
          <w:bCs/>
          <w:color w:val="FF0000"/>
          <w:sz w:val="22"/>
          <w:szCs w:val="22"/>
        </w:rPr>
        <w:t>天）</w:t>
      </w:r>
    </w:p>
    <w:p w:rsidR="00D81B5C" w:rsidRPr="00D81B5C" w:rsidRDefault="00D81B5C" w:rsidP="007344D6">
      <w:pPr>
        <w:spacing w:line="360" w:lineRule="auto"/>
        <w:ind w:firstLineChars="50" w:firstLine="160"/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 w:rsidRPr="00D81B5C">
        <w:rPr>
          <w:rFonts w:ascii="微软雅黑" w:eastAsia="微软雅黑" w:hAnsi="微软雅黑"/>
          <w:b/>
          <w:bCs/>
          <w:color w:val="FF0000"/>
          <w:sz w:val="32"/>
          <w:szCs w:val="32"/>
        </w:rPr>
        <w:t>Effective Supply Management Performance</w:t>
      </w:r>
    </w:p>
    <w:p w:rsidR="0059218E" w:rsidRPr="002F3891" w:rsidRDefault="0039685A" w:rsidP="00DC00EA">
      <w:pPr>
        <w:jc w:val="left"/>
        <w:rPr>
          <w:b/>
          <w:color w:val="FF3300"/>
          <w:sz w:val="20"/>
          <w:szCs w:val="20"/>
        </w:rPr>
      </w:pPr>
      <w:r w:rsidRPr="00954A25">
        <w:rPr>
          <w:rFonts w:hint="eastAsia"/>
          <w:b/>
          <w:color w:val="FF0000"/>
          <w:sz w:val="20"/>
          <w:szCs w:val="20"/>
        </w:rPr>
        <w:t>培训时间：</w:t>
      </w:r>
      <w:r w:rsidRPr="001A258B">
        <w:rPr>
          <w:b/>
          <w:color w:val="000000" w:themeColor="text1"/>
          <w:sz w:val="20"/>
          <w:szCs w:val="20"/>
        </w:rPr>
        <w:t>201</w:t>
      </w:r>
      <w:r w:rsidR="00DC00EA" w:rsidRPr="001A258B">
        <w:rPr>
          <w:b/>
          <w:color w:val="000000" w:themeColor="text1"/>
          <w:sz w:val="20"/>
          <w:szCs w:val="20"/>
        </w:rPr>
        <w:t>6</w:t>
      </w:r>
      <w:r w:rsidRPr="001A258B">
        <w:rPr>
          <w:rFonts w:hint="eastAsia"/>
          <w:b/>
          <w:color w:val="000000" w:themeColor="text1"/>
          <w:sz w:val="20"/>
          <w:szCs w:val="20"/>
        </w:rPr>
        <w:t>年</w:t>
      </w:r>
      <w:bookmarkStart w:id="0" w:name="_GoBack"/>
      <w:r w:rsidR="00A03922">
        <w:rPr>
          <w:b/>
          <w:color w:val="000000" w:themeColor="text1"/>
          <w:sz w:val="20"/>
          <w:szCs w:val="20"/>
        </w:rPr>
        <w:t>8</w:t>
      </w:r>
      <w:r w:rsidR="00001618">
        <w:rPr>
          <w:rFonts w:hint="eastAsia"/>
          <w:b/>
          <w:color w:val="000000" w:themeColor="text1"/>
          <w:sz w:val="20"/>
          <w:szCs w:val="20"/>
        </w:rPr>
        <w:t>月</w:t>
      </w:r>
      <w:r w:rsidR="00A03922">
        <w:rPr>
          <w:rFonts w:hint="eastAsia"/>
          <w:b/>
          <w:color w:val="000000" w:themeColor="text1"/>
          <w:sz w:val="20"/>
          <w:szCs w:val="20"/>
        </w:rPr>
        <w:t>19-21</w:t>
      </w:r>
      <w:r w:rsidR="00001618">
        <w:rPr>
          <w:rFonts w:hint="eastAsia"/>
          <w:b/>
          <w:color w:val="000000" w:themeColor="text1"/>
          <w:sz w:val="20"/>
          <w:szCs w:val="20"/>
        </w:rPr>
        <w:t>日</w:t>
      </w:r>
      <w:bookmarkEnd w:id="0"/>
      <w:r w:rsidR="005E4783">
        <w:rPr>
          <w:b/>
          <w:color w:val="000000" w:themeColor="text1"/>
          <w:sz w:val="20"/>
          <w:szCs w:val="20"/>
        </w:rPr>
        <w:t xml:space="preserve">   </w:t>
      </w:r>
      <w:r w:rsidR="007344D6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="00001618">
        <w:rPr>
          <w:b/>
          <w:color w:val="000000" w:themeColor="text1"/>
          <w:sz w:val="20"/>
          <w:szCs w:val="20"/>
        </w:rPr>
        <w:t xml:space="preserve"> </w:t>
      </w:r>
      <w:r w:rsidR="007344D6" w:rsidRPr="007344D6">
        <w:rPr>
          <w:rFonts w:hint="eastAsia"/>
          <w:b/>
          <w:color w:val="000000" w:themeColor="text1"/>
          <w:sz w:val="20"/>
          <w:szCs w:val="20"/>
        </w:rPr>
        <w:t>1</w:t>
      </w:r>
      <w:r w:rsidR="00A03922">
        <w:rPr>
          <w:rFonts w:hint="eastAsia"/>
          <w:b/>
          <w:color w:val="000000" w:themeColor="text1"/>
          <w:sz w:val="20"/>
          <w:szCs w:val="20"/>
        </w:rPr>
        <w:t>2</w:t>
      </w:r>
      <w:r w:rsidR="007344D6" w:rsidRPr="007344D6">
        <w:rPr>
          <w:rFonts w:hint="eastAsia"/>
          <w:b/>
          <w:color w:val="000000" w:themeColor="text1"/>
          <w:sz w:val="20"/>
          <w:szCs w:val="20"/>
        </w:rPr>
        <w:t>月</w:t>
      </w:r>
      <w:r w:rsidR="00A03922">
        <w:rPr>
          <w:rFonts w:hint="eastAsia"/>
          <w:b/>
          <w:color w:val="000000" w:themeColor="text1"/>
          <w:sz w:val="20"/>
          <w:szCs w:val="20"/>
        </w:rPr>
        <w:t>16-18</w:t>
      </w:r>
      <w:r w:rsidR="007344D6">
        <w:rPr>
          <w:rFonts w:hint="eastAsia"/>
          <w:b/>
          <w:color w:val="000000" w:themeColor="text1"/>
          <w:sz w:val="20"/>
          <w:szCs w:val="20"/>
        </w:rPr>
        <w:t>日</w:t>
      </w:r>
      <w:r w:rsidR="007344D6">
        <w:rPr>
          <w:rFonts w:hint="eastAsia"/>
          <w:b/>
          <w:color w:val="000000" w:themeColor="text1"/>
          <w:sz w:val="20"/>
          <w:szCs w:val="20"/>
        </w:rPr>
        <w:t xml:space="preserve">   </w:t>
      </w:r>
      <w:r w:rsidRPr="001A258B">
        <w:rPr>
          <w:rFonts w:hint="eastAsia"/>
          <w:b/>
          <w:color w:val="000000" w:themeColor="text1"/>
          <w:sz w:val="20"/>
          <w:szCs w:val="20"/>
        </w:rPr>
        <w:t>上海</w:t>
      </w:r>
    </w:p>
    <w:p w:rsidR="0039685A" w:rsidRPr="003F472B" w:rsidRDefault="0039685A" w:rsidP="0039685A">
      <w:pPr>
        <w:jc w:val="left"/>
        <w:rPr>
          <w:b/>
          <w:color w:val="FF3300"/>
          <w:sz w:val="20"/>
          <w:szCs w:val="20"/>
        </w:rPr>
      </w:pPr>
      <w:r w:rsidRPr="003F472B">
        <w:rPr>
          <w:rFonts w:hint="eastAsia"/>
          <w:b/>
          <w:color w:val="FF3300"/>
          <w:sz w:val="20"/>
          <w:szCs w:val="20"/>
        </w:rPr>
        <w:t>培训费用：</w:t>
      </w:r>
      <w:r w:rsidRPr="001A258B">
        <w:rPr>
          <w:b/>
          <w:color w:val="000000" w:themeColor="text1"/>
          <w:sz w:val="20"/>
          <w:szCs w:val="20"/>
        </w:rPr>
        <w:t>3</w:t>
      </w:r>
      <w:r w:rsidR="000E4826">
        <w:rPr>
          <w:rFonts w:hint="eastAsia"/>
          <w:b/>
          <w:color w:val="000000" w:themeColor="text1"/>
          <w:sz w:val="20"/>
          <w:szCs w:val="20"/>
        </w:rPr>
        <w:t>6</w:t>
      </w:r>
      <w:r w:rsidRPr="001A258B">
        <w:rPr>
          <w:rFonts w:hint="eastAsia"/>
          <w:b/>
          <w:color w:val="000000" w:themeColor="text1"/>
          <w:sz w:val="20"/>
          <w:szCs w:val="20"/>
        </w:rPr>
        <w:t>0</w:t>
      </w:r>
      <w:r w:rsidRPr="001A258B">
        <w:rPr>
          <w:b/>
          <w:color w:val="000000" w:themeColor="text1"/>
          <w:sz w:val="20"/>
          <w:szCs w:val="20"/>
        </w:rPr>
        <w:t>0</w:t>
      </w:r>
      <w:r w:rsidRPr="001A258B">
        <w:rPr>
          <w:rFonts w:hint="eastAsia"/>
          <w:b/>
          <w:color w:val="000000" w:themeColor="text1"/>
          <w:sz w:val="20"/>
          <w:szCs w:val="20"/>
        </w:rPr>
        <w:t>元</w:t>
      </w:r>
      <w:r w:rsidRPr="001A258B">
        <w:rPr>
          <w:b/>
          <w:color w:val="000000" w:themeColor="text1"/>
          <w:sz w:val="20"/>
          <w:szCs w:val="20"/>
        </w:rPr>
        <w:t>/</w:t>
      </w:r>
      <w:r w:rsidR="00DC00EA" w:rsidRPr="001A258B">
        <w:rPr>
          <w:rFonts w:hint="eastAsia"/>
          <w:b/>
          <w:color w:val="000000" w:themeColor="text1"/>
          <w:sz w:val="20"/>
          <w:szCs w:val="20"/>
        </w:rPr>
        <w:t>人</w:t>
      </w:r>
      <w:r w:rsidR="00DC00EA" w:rsidRPr="001A258B">
        <w:rPr>
          <w:rFonts w:hint="eastAsia"/>
          <w:color w:val="000000" w:themeColor="text1"/>
          <w:sz w:val="20"/>
          <w:szCs w:val="20"/>
        </w:rPr>
        <w:t>（</w:t>
      </w:r>
      <w:r w:rsidRPr="001A258B">
        <w:rPr>
          <w:rFonts w:hint="eastAsia"/>
          <w:color w:val="000000" w:themeColor="text1"/>
          <w:sz w:val="20"/>
          <w:szCs w:val="20"/>
        </w:rPr>
        <w:t>授课费、</w:t>
      </w:r>
      <w:r w:rsidR="00DC00EA" w:rsidRPr="001A258B">
        <w:rPr>
          <w:rFonts w:hint="eastAsia"/>
          <w:color w:val="000000" w:themeColor="text1"/>
          <w:sz w:val="20"/>
          <w:szCs w:val="20"/>
        </w:rPr>
        <w:t>教材费</w:t>
      </w:r>
      <w:r w:rsidRPr="001A258B">
        <w:rPr>
          <w:rFonts w:hint="eastAsia"/>
          <w:color w:val="000000" w:themeColor="text1"/>
          <w:sz w:val="20"/>
          <w:szCs w:val="20"/>
        </w:rPr>
        <w:t>、培训证书、发票、午餐及茶点等）</w:t>
      </w:r>
    </w:p>
    <w:p w:rsidR="00A03922" w:rsidRPr="00A03922" w:rsidRDefault="002F3891" w:rsidP="00A03922">
      <w:pPr>
        <w:adjustRightInd w:val="0"/>
        <w:snapToGrid w:val="0"/>
        <w:ind w:left="1004" w:hangingChars="500" w:hanging="1004"/>
        <w:rPr>
          <w:rFonts w:ascii="宋体" w:hAnsi="宋体" w:cs="宋体"/>
          <w:color w:val="000000"/>
          <w:kern w:val="0"/>
          <w:szCs w:val="21"/>
        </w:rPr>
      </w:pPr>
      <w:r w:rsidRPr="001A258B">
        <w:rPr>
          <w:rFonts w:hint="eastAsia"/>
          <w:b/>
          <w:color w:val="FF3300"/>
          <w:sz w:val="20"/>
          <w:szCs w:val="20"/>
        </w:rPr>
        <w:t>培训对象：</w:t>
      </w:r>
      <w:r w:rsidR="00A03922" w:rsidRPr="00A03922">
        <w:rPr>
          <w:rFonts w:ascii="Arial" w:hAnsi="Arial" w:cs="Arial"/>
          <w:color w:val="000000"/>
          <w:kern w:val="0"/>
          <w:szCs w:val="21"/>
        </w:rPr>
        <w:t>Professional practioners at all levels who aspire to broaden and raise the level of  their Supply Chain skill sets in the topics listed below.</w:t>
      </w:r>
    </w:p>
    <w:p w:rsidR="00A03922" w:rsidRPr="00A03922" w:rsidRDefault="00A03922" w:rsidP="00A03922">
      <w:pPr>
        <w:adjustRightInd w:val="0"/>
        <w:snapToGrid w:val="0"/>
        <w:ind w:leftChars="500" w:left="1050"/>
        <w:rPr>
          <w:rFonts w:ascii="宋体" w:hAnsi="宋体"/>
          <w:sz w:val="20"/>
          <w:szCs w:val="20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希望提升和扩展如下供应链管理技能的各个层面专业人士。</w:t>
      </w:r>
    </w:p>
    <w:p w:rsidR="007F75F1" w:rsidRPr="007344D6" w:rsidRDefault="007344D6" w:rsidP="007344D6">
      <w:pPr>
        <w:spacing w:line="360" w:lineRule="auto"/>
        <w:rPr>
          <w:rFonts w:ascii="宋体" w:hAnsi="宋体"/>
          <w:sz w:val="20"/>
          <w:szCs w:val="20"/>
        </w:rPr>
        <w:sectPr w:rsidR="007F75F1" w:rsidRPr="007344D6" w:rsidSect="00954A25">
          <w:headerReference w:type="default" r:id="rId8"/>
          <w:footerReference w:type="default" r:id="rId9"/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pace="720"/>
          <w:docGrid w:type="linesAndChars" w:linePitch="312"/>
        </w:sect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5EB91" wp14:editId="10AAFA90">
                <wp:simplePos x="0" y="0"/>
                <wp:positionH relativeFrom="column">
                  <wp:posOffset>-46355</wp:posOffset>
                </wp:positionH>
                <wp:positionV relativeFrom="paragraph">
                  <wp:posOffset>145415</wp:posOffset>
                </wp:positionV>
                <wp:extent cx="5876290" cy="0"/>
                <wp:effectExtent l="0" t="19050" r="10160" b="38100"/>
                <wp:wrapNone/>
                <wp:docPr id="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A522C" id="Line 18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1.45pt" to="459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" strokecolor="#e36c0a" strokeweight="4.5pt">
                <v:stroke linestyle="thinThick"/>
                <v:shadow color="#205867" opacity=".5" offset="1pt"/>
              </v:line>
            </w:pict>
          </mc:Fallback>
        </mc:AlternateContent>
      </w:r>
    </w:p>
    <w:p w:rsidR="007F75F1" w:rsidRDefault="007F75F1" w:rsidP="00C27D52">
      <w:pPr>
        <w:spacing w:line="360" w:lineRule="auto"/>
        <w:rPr>
          <w:rFonts w:hAnsi="宋体" w:cs="Calibri"/>
          <w:b/>
          <w:color w:val="990000"/>
          <w:sz w:val="20"/>
        </w:rPr>
      </w:pPr>
    </w:p>
    <w:p w:rsidR="00954A25" w:rsidRPr="005E4783" w:rsidRDefault="005E4783" w:rsidP="005E4783">
      <w:pPr>
        <w:jc w:val="left"/>
        <w:rPr>
          <w:rFonts w:asciiTheme="minorEastAsia" w:eastAsiaTheme="minorEastAsia" w:hAnsiTheme="minorEastAsia"/>
          <w:b/>
          <w:color w:val="FF0000"/>
          <w:sz w:val="20"/>
          <w:szCs w:val="20"/>
        </w:rPr>
        <w:sectPr w:rsidR="00954A25" w:rsidRPr="005E4783" w:rsidSect="00954A2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  <w:r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课程背景</w:t>
      </w:r>
    </w:p>
    <w:p w:rsidR="00A03922" w:rsidRPr="00A03922" w:rsidRDefault="00A03922" w:rsidP="00A03922">
      <w:pPr>
        <w:widowControl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This CPSM course focuses on leadership in supply management world class best practices and includes a comprehensive body of knowledge in Effective Supply Management Performance in Supply Chain Management.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本课程注重世界级供应管理领导力的最佳实践，并包含了供应链管理中高绩效的供应管理的知识体系。</w:t>
      </w:r>
    </w:p>
    <w:p w:rsidR="00A03922" w:rsidRDefault="00A03922" w:rsidP="00954A25">
      <w:pPr>
        <w:ind w:rightChars="14" w:right="29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</w:p>
    <w:p w:rsidR="00954A25" w:rsidRPr="00954A25" w:rsidRDefault="00954A25" w:rsidP="00954A25">
      <w:pPr>
        <w:ind w:rightChars="14" w:right="29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 w:rsidRPr="00954A25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课程大纲：</w:t>
      </w:r>
    </w:p>
    <w:p w:rsidR="00954A25" w:rsidRDefault="00954A25" w:rsidP="00954A25">
      <w:pPr>
        <w:numPr>
          <w:ilvl w:val="0"/>
          <w:numId w:val="5"/>
        </w:numPr>
        <w:spacing w:line="340" w:lineRule="exact"/>
        <w:rPr>
          <w:rFonts w:asciiTheme="minorEastAsia" w:eastAsiaTheme="minorEastAsia" w:hAnsiTheme="minorEastAsia" w:cs="Verdana"/>
          <w:b/>
          <w:bCs/>
          <w:kern w:val="0"/>
          <w:sz w:val="20"/>
          <w:szCs w:val="20"/>
        </w:rPr>
        <w:sectPr w:rsidR="00954A25" w:rsidSect="00954A2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>Forecasting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Perform analysis and provide data for global and domestic conditions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Develop supply forecast and manage forecasts with suppliers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Manage forecast with suppliers</w:t>
      </w:r>
    </w:p>
    <w:p w:rsidR="00A03922" w:rsidRPr="00A03922" w:rsidRDefault="00A03922" w:rsidP="00A03922">
      <w:pPr>
        <w:widowControl/>
        <w:rPr>
          <w:rFonts w:ascii="Arial" w:hAnsi="Arial" w:cs="Arial"/>
          <w:color w:val="808080"/>
          <w:kern w:val="0"/>
          <w:szCs w:val="21"/>
        </w:rPr>
      </w:pPr>
      <w:r w:rsidRPr="00A03922">
        <w:rPr>
          <w:rFonts w:ascii="Arial" w:hAnsi="Arial" w:cs="Arial"/>
          <w:color w:val="808080"/>
          <w:kern w:val="0"/>
          <w:szCs w:val="21"/>
        </w:rPr>
        <w:t xml:space="preserve">　</w:t>
      </w:r>
    </w:p>
    <w:p w:rsidR="00A03922" w:rsidRPr="00A03922" w:rsidRDefault="00A03922" w:rsidP="00A03922">
      <w:pPr>
        <w:widowControl/>
        <w:rPr>
          <w:rFonts w:ascii="宋体" w:hAnsi="宋体" w:cs="宋体"/>
          <w:b/>
          <w:bCs/>
          <w:color w:val="FF9900"/>
          <w:kern w:val="0"/>
          <w:szCs w:val="21"/>
        </w:rPr>
      </w:pPr>
      <w:r w:rsidRPr="00A03922">
        <w:rPr>
          <w:rFonts w:ascii="宋体" w:hAnsi="宋体" w:cs="宋体" w:hint="eastAsia"/>
          <w:b/>
          <w:bCs/>
          <w:color w:val="FF9900"/>
          <w:kern w:val="0"/>
          <w:szCs w:val="21"/>
        </w:rPr>
        <w:t>预测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分析当前、未来的国际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国内市场条件、行业最佳水平（</w:t>
      </w:r>
      <w:r w:rsidRPr="00A03922">
        <w:rPr>
          <w:rFonts w:ascii="Arial" w:hAnsi="Arial" w:cs="Arial"/>
          <w:color w:val="000000"/>
          <w:kern w:val="0"/>
          <w:szCs w:val="21"/>
        </w:rPr>
        <w:t>benchmarks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）以及行业发展趋势，提供数据给管理层和使用部门。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基于经济、竞争力、技术、市场和汇率趋势等影响采购的因素，制定供应预测。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跟供应商一起管理预测数据。</w:t>
      </w:r>
    </w:p>
    <w:p w:rsidR="00A03922" w:rsidRPr="00A03922" w:rsidRDefault="00A03922" w:rsidP="00A03922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A0392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>Logistics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Layout facilities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Traffic/Distribution policies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International transportation and hazardous materials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Management of receiving and delivery to include damage claims</w:t>
      </w:r>
    </w:p>
    <w:p w:rsidR="00A03922" w:rsidRPr="00A03922" w:rsidRDefault="00A03922" w:rsidP="00A03922">
      <w:pPr>
        <w:widowControl/>
        <w:rPr>
          <w:rFonts w:ascii="宋体" w:hAnsi="宋体" w:cs="宋体"/>
          <w:b/>
          <w:bCs/>
          <w:color w:val="FF9900"/>
          <w:kern w:val="0"/>
          <w:szCs w:val="21"/>
        </w:rPr>
      </w:pPr>
      <w:r w:rsidRPr="00A03922">
        <w:rPr>
          <w:rFonts w:ascii="宋体" w:hAnsi="宋体" w:cs="宋体" w:hint="eastAsia"/>
          <w:b/>
          <w:bCs/>
          <w:color w:val="FF9900"/>
          <w:kern w:val="0"/>
          <w:szCs w:val="21"/>
        </w:rPr>
        <w:t>物流</w:t>
      </w:r>
    </w:p>
    <w:p w:rsidR="00A03922" w:rsidRPr="00A03922" w:rsidRDefault="00A03922" w:rsidP="00A03922">
      <w:pPr>
        <w:widowControl/>
        <w:rPr>
          <w:rFonts w:ascii="Arial" w:hAnsi="Arial" w:cs="Arial"/>
          <w:color w:val="808080"/>
          <w:kern w:val="0"/>
          <w:szCs w:val="21"/>
        </w:rPr>
      </w:pPr>
      <w:r w:rsidRPr="00A03922">
        <w:rPr>
          <w:rFonts w:ascii="Arial" w:hAnsi="Arial" w:cs="Arial"/>
          <w:color w:val="808080"/>
          <w:kern w:val="0"/>
          <w:szCs w:val="21"/>
        </w:rPr>
        <w:t xml:space="preserve">  </w:t>
      </w:r>
      <w:r w:rsidRPr="00A03922">
        <w:rPr>
          <w:rFonts w:ascii="Arial" w:hAnsi="Arial" w:cs="Arial"/>
          <w:color w:val="000000"/>
          <w:kern w:val="0"/>
          <w:szCs w:val="21"/>
        </w:rPr>
        <w:t xml:space="preserve">  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设计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修改物流设施的布局和设备设计，用以支持商业模式，提高生产力并降低运营成本。</w:t>
      </w:r>
    </w:p>
    <w:p w:rsidR="00A03922" w:rsidRPr="00A03922" w:rsidRDefault="00A03922" w:rsidP="00A03922">
      <w:pPr>
        <w:widowControl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 xml:space="preserve">  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指导运输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分销政策和流程，确保材料流动通畅和货物运输的最佳整合。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管理国际运输、收据和文件，以确保所有政府进口、出口、危险材料和空运管制条例。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解决交付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接收中出现的问题，包括货物丢失和损坏的索赔。</w:t>
      </w:r>
    </w:p>
    <w:p w:rsidR="00A03922" w:rsidRPr="00A03922" w:rsidRDefault="00A03922" w:rsidP="00A03922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A0392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>Materials &amp; Inventory Management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Standardization Program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Warehouse &amp; Inventory Management system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The movement of equipment and assets within the organization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Oversee multi-channel plans for excess inventory and finished goods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808080"/>
          <w:kern w:val="0"/>
          <w:szCs w:val="21"/>
        </w:rPr>
      </w:pPr>
      <w:r w:rsidRPr="00A03922">
        <w:rPr>
          <w:rFonts w:ascii="Arial" w:hAnsi="Arial" w:cs="Arial"/>
          <w:color w:val="808080"/>
          <w:kern w:val="0"/>
          <w:szCs w:val="21"/>
        </w:rPr>
        <w:t xml:space="preserve">　</w:t>
      </w:r>
    </w:p>
    <w:p w:rsidR="00A03922" w:rsidRPr="00A03922" w:rsidRDefault="00A03922" w:rsidP="00A03922">
      <w:pPr>
        <w:widowControl/>
        <w:rPr>
          <w:rFonts w:ascii="宋体" w:hAnsi="宋体" w:cs="宋体"/>
          <w:b/>
          <w:bCs/>
          <w:color w:val="FF9900"/>
          <w:kern w:val="0"/>
          <w:szCs w:val="21"/>
        </w:rPr>
      </w:pPr>
      <w:r w:rsidRPr="00A03922">
        <w:rPr>
          <w:rFonts w:ascii="宋体" w:hAnsi="宋体" w:cs="宋体" w:hint="eastAsia"/>
          <w:b/>
          <w:bCs/>
          <w:color w:val="FF9900"/>
          <w:kern w:val="0"/>
          <w:szCs w:val="21"/>
        </w:rPr>
        <w:lastRenderedPageBreak/>
        <w:t>材料和库存管理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开发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实施材料和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或服务的标准化方案。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开发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实施仓库和库存管理系统。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协调和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或监察组织内的设备和资产的流动。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对于过剩品和成品，制定、监督和执行多渠道处置方案。</w:t>
      </w: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>Organization/Department Assessment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Business Planning and plan monitoring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Performance Criteria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Tools to measure, report and improve compliance with supply management practices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Analyze supply management audit reports</w:t>
      </w: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 xml:space="preserve">　</w:t>
      </w:r>
    </w:p>
    <w:p w:rsidR="00A03922" w:rsidRPr="00A03922" w:rsidRDefault="00A03922" w:rsidP="00A03922">
      <w:pPr>
        <w:widowControl/>
        <w:rPr>
          <w:rFonts w:ascii="宋体" w:hAnsi="宋体" w:cs="宋体"/>
          <w:b/>
          <w:bCs/>
          <w:color w:val="FF9900"/>
          <w:kern w:val="0"/>
          <w:szCs w:val="21"/>
        </w:rPr>
      </w:pPr>
      <w:r w:rsidRPr="00A03922">
        <w:rPr>
          <w:rFonts w:ascii="宋体" w:hAnsi="宋体" w:cs="宋体" w:hint="eastAsia"/>
          <w:b/>
          <w:bCs/>
          <w:color w:val="FF9900"/>
          <w:kern w:val="0"/>
          <w:szCs w:val="21"/>
        </w:rPr>
        <w:t>组织</w:t>
      </w: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>/</w:t>
      </w:r>
      <w:r w:rsidRPr="00A03922">
        <w:rPr>
          <w:rFonts w:ascii="宋体" w:hAnsi="宋体" w:cs="宋体" w:hint="eastAsia"/>
          <w:b/>
          <w:bCs/>
          <w:color w:val="FF9900"/>
          <w:kern w:val="0"/>
          <w:szCs w:val="21"/>
        </w:rPr>
        <w:t>部门评估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监督对业务计划的执行工作情况，并采取行动来解决差异和或对计划做适当调整。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制定业绩评估标准并考核供应管理人员的业绩。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开发工具和流程，以统计、汇报和改善对供应管理政策的合规。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分析并解决供应管理审计中出现的问题</w:t>
      </w:r>
    </w:p>
    <w:p w:rsidR="00A03922" w:rsidRPr="00A03922" w:rsidRDefault="00A03922" w:rsidP="00A03922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A0392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>Planning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Implement requirements planning (MRP)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Develop, implement and monitor forecasting and operations planning</w:t>
      </w: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 xml:space="preserve">　</w:t>
      </w:r>
    </w:p>
    <w:p w:rsidR="00A03922" w:rsidRPr="00A03922" w:rsidRDefault="00A03922" w:rsidP="00A03922">
      <w:pPr>
        <w:widowControl/>
        <w:rPr>
          <w:rFonts w:ascii="宋体" w:hAnsi="宋体" w:cs="宋体"/>
          <w:b/>
          <w:bCs/>
          <w:color w:val="FF9900"/>
          <w:kern w:val="0"/>
          <w:szCs w:val="21"/>
        </w:rPr>
      </w:pPr>
      <w:r w:rsidRPr="00A03922">
        <w:rPr>
          <w:rFonts w:ascii="宋体" w:hAnsi="宋体" w:cs="宋体" w:hint="eastAsia"/>
          <w:b/>
          <w:bCs/>
          <w:color w:val="FF9900"/>
          <w:kern w:val="0"/>
          <w:szCs w:val="21"/>
        </w:rPr>
        <w:t>计划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实施或利用需求计划（如</w:t>
      </w:r>
      <w:r w:rsidRPr="00A03922">
        <w:rPr>
          <w:rFonts w:ascii="Arial" w:hAnsi="Arial" w:cs="Arial"/>
          <w:color w:val="000000"/>
          <w:kern w:val="0"/>
          <w:szCs w:val="21"/>
        </w:rPr>
        <w:t>ERP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A03922">
        <w:rPr>
          <w:rFonts w:ascii="Arial" w:hAnsi="Arial" w:cs="Arial"/>
          <w:color w:val="000000"/>
          <w:kern w:val="0"/>
          <w:szCs w:val="21"/>
        </w:rPr>
        <w:t>MRP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A03922">
        <w:rPr>
          <w:rFonts w:ascii="Arial" w:hAnsi="Arial" w:cs="Arial"/>
          <w:color w:val="000000"/>
          <w:kern w:val="0"/>
          <w:szCs w:val="21"/>
        </w:rPr>
        <w:t>MRP II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A03922">
        <w:rPr>
          <w:rFonts w:ascii="Arial" w:hAnsi="Arial" w:cs="Arial"/>
          <w:color w:val="000000"/>
          <w:kern w:val="0"/>
          <w:szCs w:val="21"/>
        </w:rPr>
        <w:t>DRP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A03922">
        <w:rPr>
          <w:rFonts w:ascii="Arial" w:hAnsi="Arial" w:cs="Arial"/>
          <w:color w:val="000000"/>
          <w:kern w:val="0"/>
          <w:szCs w:val="21"/>
        </w:rPr>
        <w:t>DRP II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A03922">
        <w:rPr>
          <w:rFonts w:ascii="Arial" w:hAnsi="Arial" w:cs="Arial"/>
          <w:color w:val="000000"/>
          <w:kern w:val="0"/>
          <w:szCs w:val="21"/>
        </w:rPr>
        <w:t>WMS</w:t>
      </w:r>
      <w:r w:rsidRPr="00A03922">
        <w:rPr>
          <w:rFonts w:ascii="宋体" w:hAnsi="宋体" w:cs="宋体" w:hint="eastAsia"/>
          <w:color w:val="000000"/>
          <w:kern w:val="0"/>
          <w:szCs w:val="21"/>
        </w:rPr>
        <w:t>），来协调供应管理和公司业务运作，以支持组织战略。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制定、实施、维护并监控预测、业务计划，调度和库存控制功能，以确保产能和资源的最佳利用。</w:t>
      </w:r>
    </w:p>
    <w:p w:rsidR="00A03922" w:rsidRPr="00A03922" w:rsidRDefault="00A03922" w:rsidP="00A03922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A0392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>Product and Service Development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Participate in product/service development that support marketing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Manage ramp-up strategy to full scale production</w:t>
      </w:r>
    </w:p>
    <w:p w:rsidR="00A03922" w:rsidRPr="00A03922" w:rsidRDefault="00A03922" w:rsidP="00A03922">
      <w:pPr>
        <w:widowControl/>
        <w:ind w:firstLineChars="200" w:firstLine="420"/>
        <w:jc w:val="left"/>
        <w:rPr>
          <w:rFonts w:ascii="Arial" w:hAnsi="Arial" w:cs="Arial"/>
          <w:color w:val="808080"/>
          <w:kern w:val="0"/>
          <w:szCs w:val="21"/>
        </w:rPr>
      </w:pPr>
      <w:r w:rsidRPr="00A03922">
        <w:rPr>
          <w:rFonts w:ascii="Arial" w:hAnsi="Arial" w:cs="Arial"/>
          <w:color w:val="808080"/>
          <w:kern w:val="0"/>
          <w:szCs w:val="21"/>
        </w:rPr>
        <w:t xml:space="preserve">　</w:t>
      </w:r>
    </w:p>
    <w:p w:rsidR="00A03922" w:rsidRPr="00A03922" w:rsidRDefault="00A03922" w:rsidP="00A03922">
      <w:pPr>
        <w:widowControl/>
        <w:rPr>
          <w:rFonts w:ascii="宋体" w:hAnsi="宋体" w:cs="宋体"/>
          <w:b/>
          <w:bCs/>
          <w:color w:val="FF9900"/>
          <w:kern w:val="0"/>
          <w:szCs w:val="21"/>
        </w:rPr>
      </w:pPr>
      <w:r w:rsidRPr="00A03922">
        <w:rPr>
          <w:rFonts w:ascii="宋体" w:hAnsi="宋体" w:cs="宋体" w:hint="eastAsia"/>
          <w:b/>
          <w:bCs/>
          <w:color w:val="FF9900"/>
          <w:kern w:val="0"/>
          <w:szCs w:val="21"/>
        </w:rPr>
        <w:t>产品与服务开发</w:t>
      </w:r>
    </w:p>
    <w:p w:rsidR="00A03922" w:rsidRPr="00A03922" w:rsidRDefault="00A03922" w:rsidP="00A03922">
      <w:pPr>
        <w:widowControl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 xml:space="preserve"> 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参与产品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服务开发或改变规范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要求，来支持公司的销售和营销活动，以满足客户需求。</w:t>
      </w:r>
    </w:p>
    <w:p w:rsidR="00A03922" w:rsidRPr="00A03922" w:rsidRDefault="00A03922" w:rsidP="00A03922">
      <w:pPr>
        <w:widowControl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 xml:space="preserve"> 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管理新产品</w:t>
      </w:r>
      <w:r w:rsidRPr="00A03922">
        <w:rPr>
          <w:rFonts w:ascii="Arial" w:hAnsi="Arial" w:cs="Arial"/>
          <w:color w:val="000000"/>
          <w:kern w:val="0"/>
          <w:szCs w:val="21"/>
        </w:rPr>
        <w:t>/</w:t>
      </w:r>
      <w:r w:rsidRPr="00A03922">
        <w:rPr>
          <w:rFonts w:ascii="宋体" w:hAnsi="宋体" w:cs="Arial" w:hint="eastAsia"/>
          <w:color w:val="000000"/>
          <w:kern w:val="0"/>
          <w:szCs w:val="21"/>
        </w:rPr>
        <w:t>服务初始阶段的热身战略，实施规模化生产。</w:t>
      </w:r>
    </w:p>
    <w:p w:rsidR="00A03922" w:rsidRPr="00A03922" w:rsidRDefault="00A03922" w:rsidP="00A03922"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  <w:r w:rsidRPr="00A03922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</w:p>
    <w:p w:rsidR="00A03922" w:rsidRPr="00A03922" w:rsidRDefault="00A03922" w:rsidP="00A03922">
      <w:pPr>
        <w:widowControl/>
        <w:rPr>
          <w:rFonts w:ascii="Arial" w:hAnsi="Arial" w:cs="Arial"/>
          <w:b/>
          <w:bCs/>
          <w:color w:val="FF9900"/>
          <w:kern w:val="0"/>
          <w:szCs w:val="21"/>
        </w:rPr>
      </w:pPr>
      <w:r w:rsidRPr="00A03922">
        <w:rPr>
          <w:rFonts w:ascii="Arial" w:hAnsi="Arial" w:cs="Arial"/>
          <w:b/>
          <w:bCs/>
          <w:color w:val="FF9900"/>
          <w:kern w:val="0"/>
          <w:szCs w:val="21"/>
        </w:rPr>
        <w:t>Project Management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>Perform project management activities representing supply management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Arial" w:hAnsi="Arial" w:cs="Arial"/>
          <w:color w:val="000000"/>
          <w:kern w:val="0"/>
          <w:szCs w:val="21"/>
        </w:rPr>
      </w:pPr>
      <w:r w:rsidRPr="00A03922">
        <w:rPr>
          <w:rFonts w:ascii="Arial" w:hAnsi="Arial" w:cs="Arial"/>
          <w:color w:val="000000"/>
          <w:kern w:val="0"/>
          <w:szCs w:val="21"/>
        </w:rPr>
        <w:t xml:space="preserve">Implement a continuous improvement process </w:t>
      </w:r>
    </w:p>
    <w:p w:rsidR="00A03922" w:rsidRPr="00A03922" w:rsidRDefault="00A03922" w:rsidP="00A03922">
      <w:pPr>
        <w:widowControl/>
        <w:jc w:val="left"/>
        <w:rPr>
          <w:rFonts w:ascii="Arial" w:hAnsi="Arial" w:cs="Arial"/>
          <w:color w:val="808080"/>
          <w:kern w:val="0"/>
          <w:szCs w:val="21"/>
        </w:rPr>
      </w:pPr>
      <w:r w:rsidRPr="00A03922">
        <w:rPr>
          <w:rFonts w:ascii="Arial" w:hAnsi="Arial" w:cs="Arial"/>
          <w:color w:val="808080"/>
          <w:kern w:val="0"/>
          <w:szCs w:val="21"/>
        </w:rPr>
        <w:t xml:space="preserve">　</w:t>
      </w:r>
    </w:p>
    <w:p w:rsidR="00A03922" w:rsidRPr="00A03922" w:rsidRDefault="00A03922" w:rsidP="00A03922">
      <w:pPr>
        <w:widowControl/>
        <w:jc w:val="left"/>
        <w:rPr>
          <w:rFonts w:ascii="宋体" w:hAnsi="宋体" w:cs="宋体"/>
          <w:b/>
          <w:bCs/>
          <w:color w:val="FF9900"/>
          <w:kern w:val="0"/>
          <w:szCs w:val="21"/>
        </w:rPr>
      </w:pPr>
      <w:r w:rsidRPr="00A03922">
        <w:rPr>
          <w:rFonts w:ascii="宋体" w:hAnsi="宋体" w:cs="宋体" w:hint="eastAsia"/>
          <w:b/>
          <w:bCs/>
          <w:color w:val="FF9900"/>
          <w:kern w:val="0"/>
          <w:szCs w:val="21"/>
        </w:rPr>
        <w:t>项目管理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代表供应管理组织，进行项目管理活动。</w:t>
      </w:r>
    </w:p>
    <w:p w:rsidR="00A03922" w:rsidRPr="00A03922" w:rsidRDefault="00A03922" w:rsidP="00A03922">
      <w:pPr>
        <w:widowControl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 w:rsidRPr="00A03922">
        <w:rPr>
          <w:rFonts w:ascii="宋体" w:hAnsi="宋体" w:cs="宋体" w:hint="eastAsia"/>
          <w:color w:val="000000"/>
          <w:kern w:val="0"/>
          <w:szCs w:val="21"/>
        </w:rPr>
        <w:t>根据公司目标，在供应链管理领域实施持续提高流程。</w:t>
      </w:r>
    </w:p>
    <w:p w:rsidR="00A03922" w:rsidRDefault="00A03922" w:rsidP="00954A25">
      <w:pPr>
        <w:spacing w:line="340" w:lineRule="exact"/>
        <w:rPr>
          <w:rFonts w:asciiTheme="minorEastAsia" w:eastAsiaTheme="minorEastAsia" w:hAnsiTheme="minorEastAsia" w:cs="Verdana"/>
          <w:bCs/>
          <w:kern w:val="0"/>
          <w:sz w:val="20"/>
          <w:szCs w:val="20"/>
        </w:rPr>
        <w:sectPr w:rsidR="00A03922" w:rsidSect="00A03922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sep="1" w:space="425"/>
          <w:docGrid w:type="linesAndChars" w:linePitch="312"/>
        </w:sectPr>
      </w:pPr>
    </w:p>
    <w:p w:rsidR="00954A25" w:rsidRPr="00A03922" w:rsidRDefault="00954A25" w:rsidP="00954A25">
      <w:pPr>
        <w:spacing w:line="340" w:lineRule="exact"/>
        <w:rPr>
          <w:rFonts w:asciiTheme="minorEastAsia" w:eastAsiaTheme="minorEastAsia" w:hAnsiTheme="minorEastAsia" w:cs="Verdana"/>
          <w:bCs/>
          <w:kern w:val="0"/>
          <w:sz w:val="20"/>
          <w:szCs w:val="20"/>
        </w:rPr>
      </w:pPr>
    </w:p>
    <w:p w:rsidR="00954A25" w:rsidRPr="00954A25" w:rsidRDefault="00954A25" w:rsidP="00C27D52">
      <w:pPr>
        <w:spacing w:line="360" w:lineRule="auto"/>
        <w:rPr>
          <w:rFonts w:asciiTheme="minorEastAsia" w:eastAsiaTheme="minorEastAsia" w:hAnsiTheme="minorEastAsia" w:cs="Calibri"/>
          <w:b/>
          <w:color w:val="990000"/>
          <w:sz w:val="20"/>
          <w:szCs w:val="20"/>
        </w:rPr>
        <w:sectPr w:rsidR="00954A25" w:rsidRPr="00954A25" w:rsidSect="00535335">
          <w:type w:val="continuous"/>
          <w:pgSz w:w="11906" w:h="16838" w:code="9"/>
          <w:pgMar w:top="1134" w:right="1286" w:bottom="851" w:left="1588" w:header="851" w:footer="229" w:gutter="0"/>
          <w:pgNumType w:fmt="numberInDash"/>
          <w:cols w:num="2" w:sep="1" w:space="425"/>
          <w:docGrid w:type="linesAndChars" w:linePitch="312"/>
        </w:sectPr>
      </w:pPr>
    </w:p>
    <w:p w:rsidR="005E2160" w:rsidRPr="005E2160" w:rsidRDefault="00954A25" w:rsidP="005E2160">
      <w:pPr>
        <w:spacing w:line="360" w:lineRule="auto"/>
        <w:rPr>
          <w:rFonts w:ascii="新宋体" w:eastAsia="新宋体" w:hAnsi="新宋体" w:cs="宋体"/>
          <w:color w:val="000000"/>
          <w:kern w:val="0"/>
          <w:sz w:val="20"/>
          <w:szCs w:val="20"/>
        </w:rPr>
      </w:pPr>
      <w:r w:rsidRPr="00E2016E">
        <w:rPr>
          <w:rFonts w:asciiTheme="minorEastAsia" w:eastAsiaTheme="minorEastAsia" w:hAnsiTheme="minorEastAsia" w:cs="Calibri" w:hint="eastAsia"/>
          <w:b/>
          <w:color w:val="FF0000"/>
          <w:sz w:val="20"/>
          <w:szCs w:val="20"/>
        </w:rPr>
        <w:t>讲师</w:t>
      </w:r>
      <w:r w:rsidRPr="00E2016E">
        <w:rPr>
          <w:rFonts w:asciiTheme="minorEastAsia" w:eastAsiaTheme="minorEastAsia" w:hAnsiTheme="minorEastAsia" w:cs="Calibri"/>
          <w:b/>
          <w:color w:val="FF0000"/>
          <w:sz w:val="20"/>
          <w:szCs w:val="20"/>
        </w:rPr>
        <w:t>介绍：</w:t>
      </w:r>
      <w:r w:rsidR="005E2160" w:rsidRPr="005E2160">
        <w:rPr>
          <w:rFonts w:ascii="宋体" w:hAnsi="宋体" w:cs="宋体" w:hint="eastAsia"/>
          <w:b/>
          <w:bCs/>
          <w:color w:val="FF3300"/>
          <w:kern w:val="0"/>
          <w:szCs w:val="21"/>
        </w:rPr>
        <w:t xml:space="preserve"> Sam Wang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中国物流采购联合会（CFLP）采购专家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美国供应管理学会职业认证培训CPM/CPSM授权讲师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南京大学国际MBA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lastRenderedPageBreak/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注册经济师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注册质量工程师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注册采购经理人(C.P.M.)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注册需求预测规划师(CDMP)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拥有二十年在知名中资、台资和美资企业的从业经历。在包括原化工部直属南京化工厂、美国ADC电讯（南京工厂及上海办事处）、多佛集团（南京工厂）、捷普科技（全球供应链）等企业中，担任过物流主管、生产经理、运营经理及全球供应与采购经理等职务。专于采购与供应管理，及生产计划与运营管理。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为中国铁路物资天津分公司、上海宝钢、芜湖奇瑞、盐城东风悦达起亚、上海延锋江森、南京金三力、金陵拜耳、法国洁福、蓝星安迪苏（中法合资）、瑞典阿特拉斯科普柯、瑞士喜利得、荷兰阿斯麦、美国赛默飞世尔、大唐电讯、长春一汽、山东鸿鑫、深圳浩方、法国佛吉亚、法国阿尔卡特朗讯、苏泊尔、深圳仕瑞达、大猫电商、壳牌统一等外资、合资、国资及私营企业进行过内训与咨询服务。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在《中国采购发展报告》及《全球采购》专业杂志上发表过“E 采购与电子商务的发展”、“是加强供应链风险管理的时候了”、“关于构建与选择信息化采购系统的一点建议”、“供应基库合理化”、“2013年采购人力资源与绩效调查报告” 、“化工行业采购中的HSE” 、“电子元器件采购面临的挑战与应对”等专业文章。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北京“2013年中国跨境电商供应链峰会” 之“掘金跨境电商供应链”主题论坛的嘉宾主持（中国物流与采购联合会物联网技术与应用专业委员会主办）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深圳“2014年中国供应链计划与库存管控论坛”嘉宾主持（深圳工业总会供应链委员会主办）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上海“2014企业价值协同规划管理论坛”嘉宾主持。（上海大学需求链研究院主办）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广州“第四届珠三角物流发展合作论坛”嘉宾主持（中国物流与采购联合会物联网技术与应用专业委员会主办）</w:t>
      </w: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</w:p>
    <w:p w:rsidR="005E2160" w:rsidRPr="005E2160" w:rsidRDefault="005E2160" w:rsidP="005E2160">
      <w:pPr>
        <w:widowControl/>
        <w:ind w:firstLineChars="100" w:firstLine="200"/>
        <w:jc w:val="left"/>
        <w:rPr>
          <w:rFonts w:ascii="Wingdings" w:hAnsi="Wingdings" w:cs="宋体"/>
          <w:color w:val="000000"/>
          <w:kern w:val="0"/>
          <w:sz w:val="20"/>
          <w:szCs w:val="20"/>
        </w:rPr>
      </w:pPr>
      <w:r w:rsidRPr="005E2160">
        <w:rPr>
          <w:rFonts w:ascii="Wingdings" w:hAnsi="Wingdings" w:cs="宋体"/>
          <w:color w:val="000000"/>
          <w:kern w:val="0"/>
          <w:sz w:val="20"/>
          <w:szCs w:val="20"/>
        </w:rPr>
        <w:t></w:t>
      </w:r>
      <w:r w:rsidRPr="005E2160">
        <w:rPr>
          <w:color w:val="000000"/>
          <w:kern w:val="0"/>
          <w:sz w:val="14"/>
          <w:szCs w:val="14"/>
        </w:rPr>
        <w:t xml:space="preserve">  </w:t>
      </w:r>
      <w:r w:rsidRPr="005E2160">
        <w:rPr>
          <w:rFonts w:ascii="宋体" w:hAnsi="宋体" w:cs="宋体" w:hint="eastAsia"/>
          <w:color w:val="000000"/>
          <w:kern w:val="0"/>
          <w:sz w:val="20"/>
          <w:szCs w:val="20"/>
        </w:rPr>
        <w:t>上海“2014中国电子供应链高峰论坛”演讲嘉宾（中国物流与采购联合会采购与供应链管理专业委员会主办）</w:t>
      </w:r>
    </w:p>
    <w:p w:rsidR="005E4783" w:rsidRPr="005E2160" w:rsidRDefault="005E4783" w:rsidP="00390B6E">
      <w:pPr>
        <w:spacing w:line="360" w:lineRule="auto"/>
        <w:rPr>
          <w:rFonts w:asciiTheme="minorEastAsia" w:eastAsiaTheme="minorEastAsia" w:hAnsiTheme="minorEastAsia"/>
          <w:sz w:val="20"/>
          <w:szCs w:val="20"/>
        </w:rPr>
      </w:pPr>
    </w:p>
    <w:sectPr w:rsidR="005E4783" w:rsidRPr="005E2160" w:rsidSect="00954A25">
      <w:type w:val="continuous"/>
      <w:pgSz w:w="11906" w:h="16838" w:code="9"/>
      <w:pgMar w:top="1134" w:right="1286" w:bottom="851" w:left="1588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7C" w:rsidRDefault="00F8197C">
      <w:r>
        <w:separator/>
      </w:r>
    </w:p>
  </w:endnote>
  <w:endnote w:type="continuationSeparator" w:id="0">
    <w:p w:rsidR="00F8197C" w:rsidRDefault="00F8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F" w:rsidRDefault="00B4052F" w:rsidP="005D051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6505C5" wp14:editId="7A9B4D40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2E936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G6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Z4vpUzbFiA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"/>
          </w:pict>
        </mc:Fallback>
      </mc:AlternateContent>
    </w:r>
  </w:p>
  <w:p w:rsidR="005D0511" w:rsidRDefault="005D0511" w:rsidP="005D0511">
    <w:pPr>
      <w:pStyle w:val="a4"/>
      <w:jc w:val="center"/>
      <w:rPr>
        <w:rFonts w:ascii="宋体" w:hAnsi="宋体"/>
      </w:rPr>
    </w:pPr>
    <w:r>
      <w:rPr>
        <w:rFonts w:hint="eastAsia"/>
      </w:rPr>
      <w:t>上海帕迪企业管理咨询有限公司</w:t>
    </w:r>
    <w:r>
      <w:t xml:space="preserve"> </w:t>
    </w:r>
    <w:r>
      <w:rPr>
        <w:rFonts w:ascii="宋体" w:hAnsi="宋体" w:hint="eastAsia"/>
      </w:rPr>
      <w:t xml:space="preserve">021-51036580   </w:t>
    </w:r>
    <w:r w:rsidR="00975A9F">
      <w:rPr>
        <w:rFonts w:ascii="宋体" w:hAnsi="宋体"/>
      </w:rPr>
      <w:t xml:space="preserve">13817659211  </w:t>
    </w:r>
  </w:p>
  <w:p w:rsidR="005D0511" w:rsidRPr="00B4052F" w:rsidRDefault="005D0511" w:rsidP="00B4052F">
    <w:pPr>
      <w:pStyle w:val="a4"/>
      <w:jc w:val="center"/>
      <w:rPr>
        <w:rFonts w:ascii="宋体" w:hAnsi="宋体"/>
        <w:lang w:val="fr-FR"/>
      </w:rPr>
    </w:pPr>
    <w:r>
      <w:rPr>
        <w:rFonts w:ascii="宋体" w:hAnsi="宋体" w:hint="eastAsia"/>
        <w:lang w:val="fr-FR"/>
      </w:rPr>
      <w:t xml:space="preserve">Email: </w:t>
    </w:r>
    <w:r w:rsidR="000810E4">
      <w:rPr>
        <w:rFonts w:ascii="宋体" w:hAnsi="宋体" w:hint="eastAsia"/>
        <w:lang w:val="fr-FR"/>
      </w:rPr>
      <w:t>Training</w:t>
    </w:r>
    <w:r>
      <w:rPr>
        <w:rFonts w:ascii="宋体" w:hAnsi="宋体" w:hint="eastAsia"/>
        <w:lang w:val="fr-FR"/>
      </w:rPr>
      <w:t>@021px.com   www.021px.com  www.sino-pardi.com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7C" w:rsidRDefault="00F8197C">
      <w:r>
        <w:separator/>
      </w:r>
    </w:p>
  </w:footnote>
  <w:footnote w:type="continuationSeparator" w:id="0">
    <w:p w:rsidR="00F8197C" w:rsidRDefault="00F8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8" w:rsidRPr="00B835C4" w:rsidRDefault="00577D5A" w:rsidP="00B835C4">
    <w:pPr>
      <w:pStyle w:val="a3"/>
      <w:jc w:val="right"/>
      <w:textAlignment w:val="center"/>
      <w:rPr>
        <w:rFonts w:ascii="微软雅黑" w:eastAsia="微软雅黑" w:hAnsi="微软雅黑"/>
        <w:b/>
        <w:color w:val="FD7B4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2B4B5" wp14:editId="186B6DEE">
          <wp:simplePos x="0" y="0"/>
          <wp:positionH relativeFrom="column">
            <wp:posOffset>19685</wp:posOffset>
          </wp:positionH>
          <wp:positionV relativeFrom="paragraph">
            <wp:posOffset>-138430</wp:posOffset>
          </wp:positionV>
          <wp:extent cx="1304925" cy="317584"/>
          <wp:effectExtent l="0" t="0" r="0" b="6350"/>
          <wp:wrapNone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6BB">
      <w:rPr>
        <w:rFonts w:hint="eastAsia"/>
      </w:rPr>
      <w:t xml:space="preserve">       </w:t>
    </w:r>
    <w:r w:rsidR="00877386">
      <w:rPr>
        <w:rFonts w:hint="eastAsia"/>
      </w:rPr>
      <w:t xml:space="preserve">                          </w:t>
    </w:r>
    <w:r w:rsidR="00E016BB">
      <w:rPr>
        <w:rFonts w:hint="eastAsia"/>
      </w:rPr>
      <w:t xml:space="preserve">         </w:t>
    </w:r>
    <w:r w:rsidR="00E016BB" w:rsidRPr="0054532C">
      <w:rPr>
        <w:rFonts w:hint="eastAsia"/>
        <w:i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   </w:t>
    </w:r>
    <w:r w:rsidR="00E016BB" w:rsidRPr="00B835C4">
      <w:rPr>
        <w:rFonts w:hint="eastAsia"/>
        <w:color w:val="000000" w:themeColor="text1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B835C4" w:rsidRPr="00B835C4">
      <w:rPr>
        <w:rFonts w:hint="eastAsia"/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专注采购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与供应链培训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&amp;CPSM</w:t>
    </w:r>
    <w:r w:rsidR="00B835C4" w:rsidRPr="00B835C4">
      <w:rPr>
        <w:rFonts w:hint="eastAsia"/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认证</w:t>
    </w:r>
    <w:r w:rsidR="00B835C4" w:rsidRPr="00B835C4">
      <w:rPr>
        <w:color w:val="000000" w:themeColor="text1"/>
        <w:sz w:val="2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培训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8886DCD"/>
    <w:multiLevelType w:val="multilevel"/>
    <w:tmpl w:val="00000005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0443E"/>
    <w:multiLevelType w:val="multilevel"/>
    <w:tmpl w:val="18B67A36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5" w15:restartNumberingAfterBreak="0">
    <w:nsid w:val="27546E03"/>
    <w:multiLevelType w:val="multilevel"/>
    <w:tmpl w:val="C7E8C6C6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7C5DE7"/>
    <w:multiLevelType w:val="multilevel"/>
    <w:tmpl w:val="6452337A"/>
    <w:lvl w:ilvl="0">
      <w:start w:val="2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30BE31C9"/>
    <w:multiLevelType w:val="hybridMultilevel"/>
    <w:tmpl w:val="56C43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2D5DE9"/>
    <w:multiLevelType w:val="hybridMultilevel"/>
    <w:tmpl w:val="F594E7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00FF3"/>
    <w:multiLevelType w:val="hybridMultilevel"/>
    <w:tmpl w:val="0FACB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C605C9"/>
    <w:multiLevelType w:val="multilevel"/>
    <w:tmpl w:val="8B829EDA"/>
    <w:lvl w:ilvl="0">
      <w:start w:val="7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" w15:restartNumberingAfterBreak="0">
    <w:nsid w:val="60B00178"/>
    <w:multiLevelType w:val="multilevel"/>
    <w:tmpl w:val="FAE4B77C"/>
    <w:lvl w:ilvl="0">
      <w:start w:val="5"/>
      <w:numFmt w:val="chi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2" w15:restartNumberingAfterBreak="0">
    <w:nsid w:val="63B1434B"/>
    <w:multiLevelType w:val="hybridMultilevel"/>
    <w:tmpl w:val="A9A463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DF6048"/>
    <w:multiLevelType w:val="multilevel"/>
    <w:tmpl w:val="88940C72"/>
    <w:lvl w:ilvl="0">
      <w:start w:val="3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4" w15:restartNumberingAfterBreak="0">
    <w:nsid w:val="764D3226"/>
    <w:multiLevelType w:val="multilevel"/>
    <w:tmpl w:val="768C5E1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5" w15:restartNumberingAfterBreak="0">
    <w:nsid w:val="770C681C"/>
    <w:multiLevelType w:val="hybridMultilevel"/>
    <w:tmpl w:val="73E45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711CB"/>
    <w:multiLevelType w:val="hybridMultilevel"/>
    <w:tmpl w:val="AA7A90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F97B3D"/>
    <w:multiLevelType w:val="multilevel"/>
    <w:tmpl w:val="B0B0CFAE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8" w15:restartNumberingAfterBreak="0">
    <w:nsid w:val="7F802F43"/>
    <w:multiLevelType w:val="hybridMultilevel"/>
    <w:tmpl w:val="B07618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1"/>
    <w:lvlOverride w:ilvl="1">
      <w:startOverride w:val="1"/>
    </w:lvlOverride>
  </w:num>
  <w:num w:numId="7">
    <w:abstractNumId w:val="1"/>
  </w:num>
  <w:num w:numId="8">
    <w:abstractNumId w:val="3"/>
  </w:num>
  <w:num w:numId="9">
    <w:abstractNumId w:val="17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14"/>
  </w:num>
  <w:num w:numId="15">
    <w:abstractNumId w:val="9"/>
  </w:num>
  <w:num w:numId="16">
    <w:abstractNumId w:val="11"/>
  </w:num>
  <w:num w:numId="17">
    <w:abstractNumId w:val="18"/>
  </w:num>
  <w:num w:numId="18">
    <w:abstractNumId w:val="2"/>
  </w:num>
  <w:num w:numId="19">
    <w:abstractNumId w:val="0"/>
  </w:num>
  <w:num w:numId="20">
    <w:abstractNumId w:val="15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B"/>
    <w:rsid w:val="00000EC9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7CB1"/>
    <w:rsid w:val="00080BF4"/>
    <w:rsid w:val="000810E4"/>
    <w:rsid w:val="000814D3"/>
    <w:rsid w:val="0008162D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B21BF"/>
    <w:rsid w:val="000B7013"/>
    <w:rsid w:val="000C5FC3"/>
    <w:rsid w:val="000C7FDD"/>
    <w:rsid w:val="000D03CC"/>
    <w:rsid w:val="000D1F9B"/>
    <w:rsid w:val="000D2D5F"/>
    <w:rsid w:val="000D2E0A"/>
    <w:rsid w:val="000E1304"/>
    <w:rsid w:val="000E1376"/>
    <w:rsid w:val="000E3BD9"/>
    <w:rsid w:val="000E4826"/>
    <w:rsid w:val="000F0234"/>
    <w:rsid w:val="000F4F31"/>
    <w:rsid w:val="000F5953"/>
    <w:rsid w:val="000F7635"/>
    <w:rsid w:val="001019E9"/>
    <w:rsid w:val="00103477"/>
    <w:rsid w:val="0010747E"/>
    <w:rsid w:val="00110C41"/>
    <w:rsid w:val="001140EC"/>
    <w:rsid w:val="00115466"/>
    <w:rsid w:val="001214C6"/>
    <w:rsid w:val="00126244"/>
    <w:rsid w:val="0012768C"/>
    <w:rsid w:val="0013155D"/>
    <w:rsid w:val="00133D1D"/>
    <w:rsid w:val="00135B5D"/>
    <w:rsid w:val="00137DD0"/>
    <w:rsid w:val="00147C16"/>
    <w:rsid w:val="00151461"/>
    <w:rsid w:val="00162C95"/>
    <w:rsid w:val="001745BD"/>
    <w:rsid w:val="00176CF2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F84"/>
    <w:rsid w:val="001E3B26"/>
    <w:rsid w:val="001E59D9"/>
    <w:rsid w:val="001F4311"/>
    <w:rsid w:val="001F477E"/>
    <w:rsid w:val="001F6FDE"/>
    <w:rsid w:val="002051A7"/>
    <w:rsid w:val="00213AAF"/>
    <w:rsid w:val="00214AE8"/>
    <w:rsid w:val="0022029A"/>
    <w:rsid w:val="00223AE2"/>
    <w:rsid w:val="00231590"/>
    <w:rsid w:val="0023193E"/>
    <w:rsid w:val="00234668"/>
    <w:rsid w:val="00235486"/>
    <w:rsid w:val="00240518"/>
    <w:rsid w:val="00250406"/>
    <w:rsid w:val="00251F92"/>
    <w:rsid w:val="00260110"/>
    <w:rsid w:val="002609E7"/>
    <w:rsid w:val="002667FD"/>
    <w:rsid w:val="002677AD"/>
    <w:rsid w:val="00270794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891"/>
    <w:rsid w:val="002F4EC6"/>
    <w:rsid w:val="002F56BE"/>
    <w:rsid w:val="002F5CCE"/>
    <w:rsid w:val="00300A37"/>
    <w:rsid w:val="003011BB"/>
    <w:rsid w:val="00306493"/>
    <w:rsid w:val="003100A4"/>
    <w:rsid w:val="00310D71"/>
    <w:rsid w:val="003115FB"/>
    <w:rsid w:val="0031171A"/>
    <w:rsid w:val="00311D16"/>
    <w:rsid w:val="003166C2"/>
    <w:rsid w:val="003203AF"/>
    <w:rsid w:val="00332BD3"/>
    <w:rsid w:val="00334292"/>
    <w:rsid w:val="00336100"/>
    <w:rsid w:val="00337A9E"/>
    <w:rsid w:val="00341F39"/>
    <w:rsid w:val="00352B4D"/>
    <w:rsid w:val="00365D38"/>
    <w:rsid w:val="0036610F"/>
    <w:rsid w:val="003706EF"/>
    <w:rsid w:val="00370CC2"/>
    <w:rsid w:val="00372DF6"/>
    <w:rsid w:val="00375B80"/>
    <w:rsid w:val="00380817"/>
    <w:rsid w:val="00383423"/>
    <w:rsid w:val="00387BBA"/>
    <w:rsid w:val="00387FA5"/>
    <w:rsid w:val="00390B6E"/>
    <w:rsid w:val="00394097"/>
    <w:rsid w:val="00394666"/>
    <w:rsid w:val="0039685A"/>
    <w:rsid w:val="00397DE4"/>
    <w:rsid w:val="003A1019"/>
    <w:rsid w:val="003A1409"/>
    <w:rsid w:val="003A32F1"/>
    <w:rsid w:val="003B5DC8"/>
    <w:rsid w:val="003C19BC"/>
    <w:rsid w:val="003C32B1"/>
    <w:rsid w:val="003C3B64"/>
    <w:rsid w:val="003C5FAC"/>
    <w:rsid w:val="003D0D03"/>
    <w:rsid w:val="003D5064"/>
    <w:rsid w:val="003E42D0"/>
    <w:rsid w:val="003E572D"/>
    <w:rsid w:val="003F2F5A"/>
    <w:rsid w:val="003F472B"/>
    <w:rsid w:val="003F73EC"/>
    <w:rsid w:val="004035A2"/>
    <w:rsid w:val="00407573"/>
    <w:rsid w:val="00411BDE"/>
    <w:rsid w:val="00414B98"/>
    <w:rsid w:val="00417448"/>
    <w:rsid w:val="00424AC6"/>
    <w:rsid w:val="0042579D"/>
    <w:rsid w:val="00425F04"/>
    <w:rsid w:val="00431B10"/>
    <w:rsid w:val="004404DA"/>
    <w:rsid w:val="004437A8"/>
    <w:rsid w:val="00444298"/>
    <w:rsid w:val="00452C6B"/>
    <w:rsid w:val="00453411"/>
    <w:rsid w:val="0045357E"/>
    <w:rsid w:val="00455A8D"/>
    <w:rsid w:val="004568E3"/>
    <w:rsid w:val="00457034"/>
    <w:rsid w:val="0045732E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37D3"/>
    <w:rsid w:val="004B391D"/>
    <w:rsid w:val="004B4B82"/>
    <w:rsid w:val="004C0558"/>
    <w:rsid w:val="004C074B"/>
    <w:rsid w:val="004C2D32"/>
    <w:rsid w:val="004C5628"/>
    <w:rsid w:val="004D1745"/>
    <w:rsid w:val="004D2DE2"/>
    <w:rsid w:val="004D684C"/>
    <w:rsid w:val="004D6BCC"/>
    <w:rsid w:val="004D7A31"/>
    <w:rsid w:val="004F1007"/>
    <w:rsid w:val="004F1FFF"/>
    <w:rsid w:val="004F2BDD"/>
    <w:rsid w:val="004F38C1"/>
    <w:rsid w:val="004F4742"/>
    <w:rsid w:val="004F5E75"/>
    <w:rsid w:val="00503D82"/>
    <w:rsid w:val="005076B3"/>
    <w:rsid w:val="00512398"/>
    <w:rsid w:val="005128C5"/>
    <w:rsid w:val="00516C50"/>
    <w:rsid w:val="00521C44"/>
    <w:rsid w:val="00531173"/>
    <w:rsid w:val="005323B5"/>
    <w:rsid w:val="00533E15"/>
    <w:rsid w:val="00534DD6"/>
    <w:rsid w:val="00535335"/>
    <w:rsid w:val="00540285"/>
    <w:rsid w:val="005404B5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632C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E2160"/>
    <w:rsid w:val="005E4783"/>
    <w:rsid w:val="005F31A7"/>
    <w:rsid w:val="00600963"/>
    <w:rsid w:val="00602D75"/>
    <w:rsid w:val="00604FA0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4F17"/>
    <w:rsid w:val="006613EE"/>
    <w:rsid w:val="00665C2A"/>
    <w:rsid w:val="006722CF"/>
    <w:rsid w:val="00673EF1"/>
    <w:rsid w:val="00685873"/>
    <w:rsid w:val="006962CA"/>
    <w:rsid w:val="006A407A"/>
    <w:rsid w:val="006A47B6"/>
    <w:rsid w:val="006A5DF1"/>
    <w:rsid w:val="006B20B4"/>
    <w:rsid w:val="006B2B5F"/>
    <w:rsid w:val="006B511E"/>
    <w:rsid w:val="006C103E"/>
    <w:rsid w:val="006C7E48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44D6"/>
    <w:rsid w:val="007353E7"/>
    <w:rsid w:val="00740AFE"/>
    <w:rsid w:val="00741C9B"/>
    <w:rsid w:val="00745686"/>
    <w:rsid w:val="00747C72"/>
    <w:rsid w:val="00763D49"/>
    <w:rsid w:val="00766722"/>
    <w:rsid w:val="00771E54"/>
    <w:rsid w:val="007759A9"/>
    <w:rsid w:val="0078266A"/>
    <w:rsid w:val="0078274F"/>
    <w:rsid w:val="00787A68"/>
    <w:rsid w:val="00792A90"/>
    <w:rsid w:val="00795D65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D33F0"/>
    <w:rsid w:val="007D3FAB"/>
    <w:rsid w:val="007D4679"/>
    <w:rsid w:val="007D62D5"/>
    <w:rsid w:val="007D75AE"/>
    <w:rsid w:val="007E5218"/>
    <w:rsid w:val="007E70D2"/>
    <w:rsid w:val="007E7F88"/>
    <w:rsid w:val="007F75F1"/>
    <w:rsid w:val="007F79E0"/>
    <w:rsid w:val="0080037D"/>
    <w:rsid w:val="00800EF4"/>
    <w:rsid w:val="00803CB5"/>
    <w:rsid w:val="0081453E"/>
    <w:rsid w:val="00814B03"/>
    <w:rsid w:val="00817D49"/>
    <w:rsid w:val="00823628"/>
    <w:rsid w:val="008305B9"/>
    <w:rsid w:val="00841202"/>
    <w:rsid w:val="00841756"/>
    <w:rsid w:val="0084673B"/>
    <w:rsid w:val="00850F8A"/>
    <w:rsid w:val="00851668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B350E"/>
    <w:rsid w:val="008C1F7A"/>
    <w:rsid w:val="008C2D08"/>
    <w:rsid w:val="008C303C"/>
    <w:rsid w:val="008C7188"/>
    <w:rsid w:val="008D1A82"/>
    <w:rsid w:val="008D67F7"/>
    <w:rsid w:val="008F0889"/>
    <w:rsid w:val="008F0FA0"/>
    <w:rsid w:val="008F7A77"/>
    <w:rsid w:val="00902F28"/>
    <w:rsid w:val="00913711"/>
    <w:rsid w:val="009148C5"/>
    <w:rsid w:val="009166CA"/>
    <w:rsid w:val="0091712D"/>
    <w:rsid w:val="009209E9"/>
    <w:rsid w:val="00921911"/>
    <w:rsid w:val="0092265E"/>
    <w:rsid w:val="00922D33"/>
    <w:rsid w:val="009277C9"/>
    <w:rsid w:val="00927897"/>
    <w:rsid w:val="00927FE5"/>
    <w:rsid w:val="009315D5"/>
    <w:rsid w:val="009339B7"/>
    <w:rsid w:val="00942DAE"/>
    <w:rsid w:val="00942E74"/>
    <w:rsid w:val="0094470B"/>
    <w:rsid w:val="00945479"/>
    <w:rsid w:val="00954A25"/>
    <w:rsid w:val="00956A61"/>
    <w:rsid w:val="009579B2"/>
    <w:rsid w:val="009602EC"/>
    <w:rsid w:val="00963858"/>
    <w:rsid w:val="00971F15"/>
    <w:rsid w:val="009757E7"/>
    <w:rsid w:val="00975A9F"/>
    <w:rsid w:val="00982207"/>
    <w:rsid w:val="00985B86"/>
    <w:rsid w:val="00986E1B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613B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3922"/>
    <w:rsid w:val="00A06469"/>
    <w:rsid w:val="00A07158"/>
    <w:rsid w:val="00A10412"/>
    <w:rsid w:val="00A11B14"/>
    <w:rsid w:val="00A13D86"/>
    <w:rsid w:val="00A17536"/>
    <w:rsid w:val="00A21F86"/>
    <w:rsid w:val="00A2215A"/>
    <w:rsid w:val="00A22AFD"/>
    <w:rsid w:val="00A24400"/>
    <w:rsid w:val="00A27438"/>
    <w:rsid w:val="00A340F2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22D2"/>
    <w:rsid w:val="00A75630"/>
    <w:rsid w:val="00A81275"/>
    <w:rsid w:val="00A856E5"/>
    <w:rsid w:val="00A91158"/>
    <w:rsid w:val="00A92626"/>
    <w:rsid w:val="00A93794"/>
    <w:rsid w:val="00A94965"/>
    <w:rsid w:val="00AA2597"/>
    <w:rsid w:val="00AA577C"/>
    <w:rsid w:val="00AB18BE"/>
    <w:rsid w:val="00AB74C7"/>
    <w:rsid w:val="00AC3081"/>
    <w:rsid w:val="00AC3A3E"/>
    <w:rsid w:val="00AC5D23"/>
    <w:rsid w:val="00AD0A7E"/>
    <w:rsid w:val="00AD1C98"/>
    <w:rsid w:val="00AD32BE"/>
    <w:rsid w:val="00AD3499"/>
    <w:rsid w:val="00AD60C8"/>
    <w:rsid w:val="00AD6761"/>
    <w:rsid w:val="00AD72C0"/>
    <w:rsid w:val="00AE31D3"/>
    <w:rsid w:val="00AE3C5D"/>
    <w:rsid w:val="00AE7B36"/>
    <w:rsid w:val="00AF55B3"/>
    <w:rsid w:val="00B01DF7"/>
    <w:rsid w:val="00B04437"/>
    <w:rsid w:val="00B062F7"/>
    <w:rsid w:val="00B13127"/>
    <w:rsid w:val="00B164A8"/>
    <w:rsid w:val="00B20517"/>
    <w:rsid w:val="00B206E1"/>
    <w:rsid w:val="00B20AA5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64678"/>
    <w:rsid w:val="00B64D49"/>
    <w:rsid w:val="00B656C4"/>
    <w:rsid w:val="00B67B39"/>
    <w:rsid w:val="00B824A6"/>
    <w:rsid w:val="00B835C4"/>
    <w:rsid w:val="00B92936"/>
    <w:rsid w:val="00BA19FF"/>
    <w:rsid w:val="00BA4878"/>
    <w:rsid w:val="00BA538D"/>
    <w:rsid w:val="00BA58F2"/>
    <w:rsid w:val="00BA680C"/>
    <w:rsid w:val="00BA6A52"/>
    <w:rsid w:val="00BA701A"/>
    <w:rsid w:val="00BB1733"/>
    <w:rsid w:val="00BB32FF"/>
    <w:rsid w:val="00BC10E3"/>
    <w:rsid w:val="00BC25C8"/>
    <w:rsid w:val="00BD2116"/>
    <w:rsid w:val="00BD4F7C"/>
    <w:rsid w:val="00BD6066"/>
    <w:rsid w:val="00BE0B10"/>
    <w:rsid w:val="00BE2627"/>
    <w:rsid w:val="00BF6866"/>
    <w:rsid w:val="00C13815"/>
    <w:rsid w:val="00C14843"/>
    <w:rsid w:val="00C157C2"/>
    <w:rsid w:val="00C15B4C"/>
    <w:rsid w:val="00C2118B"/>
    <w:rsid w:val="00C26684"/>
    <w:rsid w:val="00C27D52"/>
    <w:rsid w:val="00C40355"/>
    <w:rsid w:val="00C4067F"/>
    <w:rsid w:val="00C45A06"/>
    <w:rsid w:val="00C46215"/>
    <w:rsid w:val="00C56018"/>
    <w:rsid w:val="00C610AB"/>
    <w:rsid w:val="00C724AC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D02CDC"/>
    <w:rsid w:val="00D04FE3"/>
    <w:rsid w:val="00D07924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409B4"/>
    <w:rsid w:val="00D40A82"/>
    <w:rsid w:val="00D508C5"/>
    <w:rsid w:val="00D508EF"/>
    <w:rsid w:val="00D567FA"/>
    <w:rsid w:val="00D5710C"/>
    <w:rsid w:val="00D601E7"/>
    <w:rsid w:val="00D60D7C"/>
    <w:rsid w:val="00D61792"/>
    <w:rsid w:val="00D63AA3"/>
    <w:rsid w:val="00D67DD3"/>
    <w:rsid w:val="00D771E9"/>
    <w:rsid w:val="00D811B4"/>
    <w:rsid w:val="00D81B5C"/>
    <w:rsid w:val="00D82C18"/>
    <w:rsid w:val="00D838DB"/>
    <w:rsid w:val="00D8778D"/>
    <w:rsid w:val="00D975F4"/>
    <w:rsid w:val="00DA33F6"/>
    <w:rsid w:val="00DA667E"/>
    <w:rsid w:val="00DB0C1A"/>
    <w:rsid w:val="00DB44DC"/>
    <w:rsid w:val="00DB4F35"/>
    <w:rsid w:val="00DC00EA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783"/>
    <w:rsid w:val="00E21DB8"/>
    <w:rsid w:val="00E23F87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60703"/>
    <w:rsid w:val="00E613F4"/>
    <w:rsid w:val="00E61CDA"/>
    <w:rsid w:val="00E71E21"/>
    <w:rsid w:val="00E7252D"/>
    <w:rsid w:val="00E731B5"/>
    <w:rsid w:val="00E7322D"/>
    <w:rsid w:val="00E74E68"/>
    <w:rsid w:val="00E86D0C"/>
    <w:rsid w:val="00E947DA"/>
    <w:rsid w:val="00EA0BE7"/>
    <w:rsid w:val="00EA3C68"/>
    <w:rsid w:val="00EA60B2"/>
    <w:rsid w:val="00EB0886"/>
    <w:rsid w:val="00EB1E0C"/>
    <w:rsid w:val="00EC129B"/>
    <w:rsid w:val="00EC40CB"/>
    <w:rsid w:val="00EC664D"/>
    <w:rsid w:val="00ED04C3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A23"/>
    <w:rsid w:val="00F043C2"/>
    <w:rsid w:val="00F0552C"/>
    <w:rsid w:val="00F100A2"/>
    <w:rsid w:val="00F16A83"/>
    <w:rsid w:val="00F202E1"/>
    <w:rsid w:val="00F221D9"/>
    <w:rsid w:val="00F264ED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4AC0"/>
    <w:rsid w:val="00F8197C"/>
    <w:rsid w:val="00F82D97"/>
    <w:rsid w:val="00F83CD8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90" strokecolor="#930">
      <v:fill color="#f90" opacity="24248f" color2="#767676" rotate="t"/>
      <v:stroke dashstyle="1 1" color="#930" weight="1pt"/>
      <o:colormru v:ext="edit" colors="#ffc,white,#f60,#ff6,#ff9"/>
    </o:shapedefaults>
    <o:shapelayout v:ext="edit">
      <o:idmap v:ext="edit" data="1"/>
    </o:shapelayout>
  </w:shapeDefaults>
  <w:decimalSymbol w:val="."/>
  <w:listSeparator w:val=","/>
  <w15:docId w15:val="{420439F5-1E7A-4F35-B70C-DCD278F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autoRedefine/>
    <w:rsid w:val="009940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rsid w:val="0099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9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99401B"/>
    <w:rPr>
      <w:color w:val="0000FF"/>
      <w:u w:val="single"/>
    </w:rPr>
  </w:style>
  <w:style w:type="paragraph" w:styleId="a6">
    <w:name w:val="Normal (Web)"/>
    <w:basedOn w:val="a"/>
    <w:rsid w:val="008F0FA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7">
    <w:name w:val="page number"/>
    <w:basedOn w:val="a0"/>
    <w:rsid w:val="005531C5"/>
  </w:style>
  <w:style w:type="paragraph" w:styleId="2">
    <w:name w:val="Body Text Indent 2"/>
    <w:basedOn w:val="a"/>
    <w:rsid w:val="00F70FA1"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customStyle="1" w:styleId="Char">
    <w:name w:val="Char"/>
    <w:basedOn w:val="a"/>
    <w:autoRedefine/>
    <w:rsid w:val="00251F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autoRedefine/>
    <w:rsid w:val="00D02C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rsid w:val="00BB32FF"/>
  </w:style>
  <w:style w:type="paragraph" w:customStyle="1" w:styleId="CharCharCharChar">
    <w:name w:val="Char Char Char Char"/>
    <w:basedOn w:val="a"/>
    <w:autoRedefine/>
    <w:rsid w:val="00CE66B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0">
    <w:name w:val="Char Char Char Char Char Char"/>
    <w:basedOn w:val="a"/>
    <w:rsid w:val="005D051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rsid w:val="00BC25C8"/>
    <w:rPr>
      <w:b/>
      <w:bCs/>
      <w:color w:val="FFFFFF"/>
      <w:spacing w:val="28"/>
      <w:sz w:val="28"/>
      <w:szCs w:val="28"/>
      <w:u w:val="single"/>
    </w:rPr>
  </w:style>
  <w:style w:type="character" w:styleId="a8">
    <w:name w:val="Strong"/>
    <w:uiPriority w:val="22"/>
    <w:qFormat/>
    <w:rsid w:val="00082D63"/>
    <w:rPr>
      <w:b/>
      <w:bCs/>
    </w:rPr>
  </w:style>
  <w:style w:type="paragraph" w:customStyle="1" w:styleId="CharCharCharChar0">
    <w:name w:val="Char Char Char Char"/>
    <w:basedOn w:val="a"/>
    <w:rsid w:val="00E502D6"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rsid w:val="00E502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Balloon Text"/>
    <w:basedOn w:val="a"/>
    <w:link w:val="Char0"/>
    <w:rsid w:val="00577D5A"/>
    <w:rPr>
      <w:sz w:val="18"/>
      <w:szCs w:val="18"/>
    </w:rPr>
  </w:style>
  <w:style w:type="character" w:customStyle="1" w:styleId="Char0">
    <w:name w:val="批注框文本 Char"/>
    <w:basedOn w:val="a0"/>
    <w:link w:val="a9"/>
    <w:rsid w:val="00577D5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47E7B"/>
    <w:pPr>
      <w:ind w:firstLineChars="200" w:firstLine="420"/>
    </w:pPr>
  </w:style>
  <w:style w:type="paragraph" w:customStyle="1" w:styleId="CharCharCharCharCharChar1">
    <w:name w:val="Char Char Char Char Char Char"/>
    <w:basedOn w:val="a"/>
    <w:autoRedefine/>
    <w:rsid w:val="00D6179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b">
    <w:name w:val="Table Grid"/>
    <w:basedOn w:val="a1"/>
    <w:rsid w:val="007F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C94B-285F-4593-BC5F-8C3B9A83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subject/>
  <dc:creator>帕迪咨询</dc:creator>
  <cp:keywords/>
  <dc:description/>
  <cp:lastModifiedBy>pardi</cp:lastModifiedBy>
  <cp:revision>105</cp:revision>
  <cp:lastPrinted>2007-07-25T08:25:00Z</cp:lastPrinted>
  <dcterms:created xsi:type="dcterms:W3CDTF">2014-12-01T08:48:00Z</dcterms:created>
  <dcterms:modified xsi:type="dcterms:W3CDTF">2016-04-30T02:06:00Z</dcterms:modified>
</cp:coreProperties>
</file>