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</w:pPr>
      <w: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-1084580</wp:posOffset>
            </wp:positionV>
            <wp:extent cx="7581900" cy="11184255"/>
            <wp:effectExtent l="19050" t="0" r="0" b="0"/>
            <wp:wrapNone/>
            <wp:docPr id="32" name="图片 32" descr="商业新领袖招生简章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商业新领袖招生简章修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36" o:spid="_x0000_s1036" o:spt="202" type="#_x0000_t202" style="position:absolute;left:0pt;margin-left:23.35pt;margin-top:116.6pt;height:211.5pt;width:491.4pt;mso-wrap-distance-bottom:0pt;mso-wrap-distance-left:9pt;mso-wrap-distance-right:9pt;mso-wrap-distance-top:0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主讲老师：原IBM区域总监 - 韩增海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课程时间：6月16-17日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上课地点：广州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课程费用：3000元</w:t>
                  </w:r>
                </w:p>
                <w:p>
                  <w:pPr>
                    <w:spacing w:beforeLines="50" w:afterLines="50" w:line="500" w:lineRule="exact"/>
                    <w:ind w:left="1200" w:hanging="1200" w:hangingChars="500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课程对象：企业各事业部总经理、中高层管理人员，及其他团队管理者</w:t>
                  </w:r>
                </w:p>
              </w:txbxContent>
            </v:textbox>
            <w10:wrap type="square"/>
          </v:shape>
        </w:pict>
      </w:r>
      <w:r>
        <w:pict>
          <v:shape id="_x0000_s1029" o:spid="_x0000_s1029" o:spt="202" type="#_x0000_t202" style="position:absolute;left:0pt;margin-left:14.8pt;margin-top:31.85pt;height:79.15pt;width:420.75pt;mso-wrap-distance-bottom:0pt;mso-wrap-distance-left:9pt;mso-wrap-distance-right:9pt;mso-wrap-distance-top:0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900" w:lineRule="exact"/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AA23"/>
                      <w:sz w:val="56"/>
                      <w:szCs w:val="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80"/>
                      <w:szCs w:val="80"/>
                    </w:rPr>
                    <w:t>高绩效团队建设与管理</w:t>
                  </w:r>
                </w:p>
              </w:txbxContent>
            </v:textbox>
            <w10:wrap type="square"/>
          </v:shape>
        </w:pic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pict>
          <v:shape id="_x0000_s1031" o:spid="_x0000_s1031" o:spt="202" type="#_x0000_t202" style="position:absolute;left:0pt;margin-left:-2.45pt;margin-top:-11.6pt;height:36.55pt;width:377.05pt;z-index:251656192;mso-width-relative:page;mso-height-relative:page;" fillcolor="#1F497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从个人英雄主义过渡到团队效能，这是个技术问题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随着竞争的加剧，社会环境的不断复杂，员工的个性越来越明显，只靠个人的超强能力，已经不能使一个企业、一个组织、一个部门取得成功, 个人英雄主义已经不复存在。只有个体效率和整体效率之和的最大化才能保障组织真正的高效，既要提升个体效率又要提升整体效率，正是团队管理模式的精髓所在。</w: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全球成功企业的事实已经证明，当外界环境复杂、内部环节增加后，企业要发展就必须弱化个人增强团队，只有高效的团队才能使企业和部门持续的发展，才能让企业和部门真正具备效率。所以任何组织要取得成功就必须建设一支高效的团队，并有效的进行管理。</w:t>
      </w:r>
    </w:p>
    <w:p>
      <w:pPr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本课程是原IBM区域总监 - 韩增海老师结合他成功打造和管理几十支高效团队的实战经验，再加上扎实的理论研究，经过长时间的积累提炼而成，具有很强的实战性与系统性。同时，韩老师还将通过深入的讲授、优质的互动、系统的视频，让学员在培训中进行练习，以提升学员建设与管理高效团队的各种能力。</w:t>
      </w:r>
    </w:p>
    <w:p>
      <w:pPr>
        <w:spacing w:line="50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spacing w:line="500" w:lineRule="exact"/>
      </w:pPr>
    </w:p>
    <w:p>
      <w:pPr>
        <w:spacing w:line="360" w:lineRule="exact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pict>
          <v:shape id="_x0000_s1054" o:spid="_x0000_s1054" o:spt="202" type="#_x0000_t202" style="position:absolute;left:0pt;margin-left:1.3pt;margin-top:0.1pt;height:36.55pt;width:92.0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学习收获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ascii="微软雅黑" w:hAnsi="微软雅黑" w:eastAsia="微软雅黑"/>
          <w:b/>
          <w:color w:val="FF0000"/>
          <w:sz w:val="30"/>
          <w:szCs w:val="30"/>
        </w:rPr>
      </w:pP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明确团队的未来，以及如何让团队高效前行   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明确如何搭好团队的班子               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掌握如何让团队高效运转的方法            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学习如何对团队进行有效管理             </w:t>
      </w:r>
    </w:p>
    <w:p>
      <w:pPr>
        <w:pStyle w:val="10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学习如何进行提高团队沟通</w: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6、明确如何提升团队整体的执行效率让团队更加高效 </w:t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360" w:lineRule="exact"/>
        <w:rPr>
          <w:rFonts w:ascii="微软雅黑" w:hAnsi="微软雅黑" w:eastAsia="微软雅黑"/>
          <w:bCs/>
          <w:szCs w:val="21"/>
        </w:rPr>
      </w:pPr>
      <w:r>
        <w:pict>
          <v:shape id="_x0000_s1055" o:spid="_x0000_s1055" o:spt="202" type="#_x0000_t202" style="position:absolute;left:0pt;margin-left:1.3pt;margin-top:17.1pt;height:36.55pt;width:92.05pt;z-index:251659264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授课方式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Cs/>
          <w:szCs w:val="21"/>
        </w:rPr>
        <w:tab/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beforeLines="50" w:line="3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讲授、情景视频借鉴、讨论、案例分析、精彩互动的糅合体验。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44" o:spid="_x0000_s1044" o:spt="202" type="#_x0000_t202" style="position:absolute;left:0pt;margin-left:-2.45pt;margin-top:-14.8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课程大纲</w:t>
                  </w:r>
                </w:p>
              </w:txbxContent>
            </v:textbox>
          </v:shape>
        </w:pict>
      </w:r>
    </w:p>
    <w:p>
      <w:pPr>
        <w:spacing w:line="360" w:lineRule="exact"/>
      </w:pPr>
    </w:p>
    <w:p>
      <w:pPr>
        <w:tabs>
          <w:tab w:val="left" w:pos="2130"/>
        </w:tabs>
        <w:spacing w:line="360" w:lineRule="exact"/>
        <w:rPr>
          <w:rFonts w:ascii="微软雅黑" w:hAnsi="微软雅黑" w:eastAsia="微软雅黑"/>
          <w:b/>
          <w:bCs/>
          <w:color w:val="0000FF"/>
          <w:szCs w:val="21"/>
        </w:rPr>
        <w:sectPr>
          <w:headerReference r:id="rId3" w:type="default"/>
          <w:footerReference r:id="rId4" w:type="default"/>
          <w:pgSz w:w="11906" w:h="16838"/>
          <w:pgMar w:top="1418" w:right="1418" w:bottom="1361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前言：组织高效的根本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第一部分：团队的认知－团队成功的奥秘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一．工作群体与工作团队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二．团队应具备的三大素质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1、自主性 2、合作性3、协助性           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4、情景视频分析：自主性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5、案例分析：暗算6、多项思维训练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三．团队成功的奥秘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四．如何让团队效率不断提升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第二部分：明确的未来－让团队不再迷茫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 xml:space="preserve">一．明确未来的两大核心              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二．如何让团队志同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1、如何成为卓有成效的领导者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2、如何有效的使用愿景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3、情景视频分析：阿里巴巴的愿景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4、目标管理 5、逻辑思维训练：目标的达成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6、目标达成七步法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7、如何有效的指明方向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8、情景视频分析：工作方向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三．如何进行有效的思想管理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1、思想管理的重大作用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2、思想管理的根本方法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四．如何让团队道合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1、使命、价值观对业绩的影响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2、如何有效的管理价值观与使命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3、文化渗透的六大步骤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4、团队氛围的有效塑造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第三部分：合理的架构－让团队各司其职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一．系统思维训练：关系素描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二．清晰适合的角色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1、清晰的角色团队有效的基础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2、高效团队必须具备的六个角色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3、如何对团队角色进行有效的管理　　　　　　　　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三．有效的团队分工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1、团队分工的四大要素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2、职责的明确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3、如何对职责进行有效的管理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四．不折不扣的团队规则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1、如何有效的形成规则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2、如何做到令行禁止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 情景视频分析：规则的巨大作用 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五．科学的工作流程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1、工作流程制定的五大步骤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2、流程有效运作的四大保障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六．建立团队合理架构的6大步骤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第四部分：有效的管理－让团队运作有序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一．沙盘模拟：搭纸牌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二．团队的信任度管理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1、建立团队信任的六大方法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2、情景视频模拟：信任的增加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三．正确的团队决策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1、团队正确决策的注意事项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2、团队正确决策的8大步骤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四．如何让过程控制富有成效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1、过程控制的三大法则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2、过程控制六步法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五．让团队成员训练有素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六．高效的团队会议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1、高效会议的三大表现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2、让团队会议高效的四大步骤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七．持续的学习机制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八．团队的有效激励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1、团队激励的五大方向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2、正负激励3、立体激励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九．如何建立团队的创新机制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十．如何让团队效率不断的提升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第五部分：高效的沟通－让团队更加顺畅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一．团队高效的三大表现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二．沟通如何才能真正的有效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1、高效沟通的三大作用　　　　　　　　　　　　　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2、如何做到沟而能通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3、情景规划：沟通的力量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4、未来思维训练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5、有效沟通的步骤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三．如何提升团队倾听的效率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1、有效倾听的四个步骤　　　　　　　　　　　　　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2、倾听效率提升模型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四．如何提升团队讲话的效率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1、讲话的四大禁忌    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2、如何让讲话富有成效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3、情景视频分析：管理沟通的三大步骤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4、讲话效率提升模型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五．如何让团队做到不沟而通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六．团队应掌握的八大沟通策略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1、主动沟通2、角色要快速转换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3、不断的提升沟通的情商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4、沟通不畅要主动调频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第六部分：高效的执行－让团队更具效率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一．智商与执行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二．提升团队整体执行效率的三大秘籍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三．建立可行的执行标准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1、执行标准有效执行的前提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2、执行标准确立五步法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四．团队执行素质的打造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1、团队执行素质打造的五大步骤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2、团队执行素质打造的根本方法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五．如何让团队执行真正到位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1、影响团队执行到位的8大障碍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2、系统思考：都是月亮惹的祸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3、执行到位五步法                  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</w:rPr>
        <w:t>六．团队高效执行的五大模型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1、高效执行的动力模型   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2、高效执行的推动模型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3、情景视频分析：做硬事                         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4、结果传递模型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 xml:space="preserve">5、结果接收模型  </w:t>
      </w:r>
    </w:p>
    <w:p>
      <w:pPr>
        <w:spacing w:line="460" w:lineRule="exact"/>
        <w:rPr>
          <w:rFonts w:ascii="微软雅黑" w:hAnsi="微软雅黑" w:eastAsia="微软雅黑"/>
          <w:bCs/>
          <w:color w:val="000000" w:themeColor="text1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</w:rPr>
        <w:t>6、执行锁定模型</w:t>
      </w:r>
    </w:p>
    <w:p>
      <w:pPr>
        <w:rPr>
          <w:rFonts w:ascii="微软雅黑" w:hAnsi="微软雅黑" w:eastAsia="微软雅黑" w:cs="微软雅黑"/>
          <w:sz w:val="22"/>
          <w:szCs w:val="28"/>
        </w:rPr>
        <w:sectPr>
          <w:type w:val="continuous"/>
          <w:pgSz w:w="11906" w:h="16838"/>
          <w:pgMar w:top="1418" w:right="1418" w:bottom="1361" w:left="1418" w:header="851" w:footer="992" w:gutter="0"/>
          <w:cols w:space="840" w:num="2"/>
          <w:docGrid w:type="lines" w:linePitch="312" w:charSpace="0"/>
        </w:sectPr>
      </w:pPr>
    </w:p>
    <w:p>
      <w:pPr>
        <w:spacing w:line="460" w:lineRule="exact"/>
        <w:rPr>
          <w:rFonts w:ascii="微软雅黑" w:hAnsi="微软雅黑" w:eastAsia="微软雅黑"/>
          <w:b/>
          <w:bCs/>
          <w:color w:val="0000FF"/>
          <w:szCs w:val="21"/>
        </w:rPr>
      </w:pPr>
      <w:r>
        <w:pict>
          <v:shape id="_x0000_s1060" o:spid="_x0000_s1060" o:spt="202" type="#_x0000_t202" style="position:absolute;left:0pt;margin-left:151pt;margin-top:6.5pt;height:326.4pt;width:329.3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8"/>
                      <w:szCs w:val="28"/>
                    </w:rPr>
                    <w:t>原IBM区域总监  韩增海</w:t>
                  </w:r>
                </w:p>
                <w:p>
                  <w:pPr>
                    <w:spacing w:line="5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实战经验：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拥有16年成功管理经验的积淀和9年的培训与咨询经历。曾任IBM区域总监、百事可乐大区经理、知名机构高级咨询师、法国COMA集团中国区总经理等职，成功组建了5家企业和打造了几十支高效的团队。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专业背景：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著名实战管理专家、学习力提升导师，多家知名培训机构金牌讲师，浙大、上海交大等高校特聘讲师。国家级企业培训师。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授课特点：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实战、成熟、激情、幽默，结合新颖的观点、丰富的案例、优质的互动，使课程生动实用、深入浅出。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服务客户：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海尔集团、中国移动、中国联通、中国电信、广汽丰田、一汽大众、格力集团、美的集团、中石化、中石油、华润集团、广药集团......</w:t>
                  </w:r>
                </w:p>
                <w:p/>
              </w:txbxContent>
            </v:textbox>
          </v:shape>
        </w:pict>
      </w:r>
    </w:p>
    <w:p>
      <w:pPr>
        <w:spacing w:line="460" w:lineRule="exact"/>
        <w:rPr>
          <w:rFonts w:ascii="微软雅黑" w:hAnsi="微软雅黑" w:eastAsia="微软雅黑"/>
          <w:b/>
          <w:bCs/>
          <w:color w:val="0000FF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0000FF"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space="720" w:num="2"/>
          <w:docGrid w:type="lines" w:linePitch="312" w:charSpace="0"/>
        </w:sectPr>
      </w:pPr>
    </w:p>
    <w:p>
      <w:pPr>
        <w:spacing w:line="46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ascii="微软雅黑" w:hAnsi="微软雅黑" w:eastAsia="微软雅黑" w:cs="微软雅黑"/>
          <w:sz w:val="22"/>
          <w:szCs w:val="28"/>
        </w:rPr>
        <w:pict>
          <v:shape id="_x0000_s1059" o:spid="_x0000_s1059" o:spt="202" type="#_x0000_t202" style="position:absolute;left:0pt;margin-left:-1.5pt;margin-top:-7.3pt;height:36.55pt;width:90.95pt;z-index:251660288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讲师介绍</w:t>
                  </w:r>
                </w:p>
              </w:txbxContent>
            </v:textbox>
          </v:shape>
        </w:pict>
      </w:r>
    </w:p>
    <w:p>
      <w:pPr>
        <w:spacing w:line="460" w:lineRule="exact"/>
      </w:pPr>
    </w:p>
    <w:p>
      <w:pPr>
        <w:spacing w:line="460" w:lineRule="exact"/>
      </w:pPr>
    </w:p>
    <w:p>
      <w:pPr>
        <w:spacing w:line="460" w:lineRule="exact"/>
      </w:pP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1305560</wp:posOffset>
            </wp:positionV>
            <wp:extent cx="1520825" cy="2293620"/>
            <wp:effectExtent l="0" t="0" r="3175" b="11430"/>
            <wp:wrapSquare wrapText="bothSides"/>
            <wp:docPr id="33" name="图片 1" descr="C:\Users\Administrator\Desktop\学道教育2016-2017排期课件包\韩增海老师简介及大纲\韩增海.jpg韩增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C:\Users\Administrator\Desktop\学道教育2016-2017排期课件包\韩增海老师简介及大纲\韩增海.jpg韩增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tbl>
      <w:tblPr>
        <w:tblStyle w:val="6"/>
        <w:tblpPr w:leftFromText="180" w:rightFromText="180" w:vertAnchor="text" w:horzAnchor="margin" w:tblpY="5276"/>
        <w:tblW w:w="92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701"/>
        <w:gridCol w:w="2409"/>
        <w:gridCol w:w="1843"/>
        <w:gridCol w:w="16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公司名称</w:t>
            </w:r>
          </w:p>
        </w:tc>
        <w:tc>
          <w:tcPr>
            <w:tcW w:w="75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学员姓名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工作职务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E-mail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微信号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  <w:bookmarkStart w:id="0" w:name="_GoBack"/>
      <w:bookmarkEnd w:id="0"/>
    </w:p>
    <w:p>
      <w:pPr>
        <w:spacing w:line="440" w:lineRule="exact"/>
      </w:pPr>
    </w:p>
    <w:p>
      <w:pPr>
        <w:spacing w:line="440" w:lineRule="exact"/>
      </w:pPr>
      <w:r>
        <w:rPr>
          <w:rFonts w:ascii="微软雅黑" w:hAnsi="微软雅黑" w:eastAsia="微软雅黑" w:cs="微软雅黑"/>
          <w:sz w:val="22"/>
          <w:szCs w:val="28"/>
        </w:rPr>
        <w:pict>
          <v:shape id="_x0000_s1061" o:spid="_x0000_s1061" o:spt="202" type="#_x0000_t202" style="position:absolute;left:0pt;margin-left:-1.55pt;margin-top:10.65pt;height:36.55pt;width:111.35pt;z-index:251661312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学员报名表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tabs>
          <w:tab w:val="left" w:pos="5310"/>
        </w:tabs>
      </w:pPr>
    </w:p>
    <w:p>
      <w:pPr>
        <w:rPr>
          <w:rFonts w:ascii="微软雅黑" w:hAnsi="微软雅黑" w:eastAsia="微软雅黑" w:cs="微软雅黑"/>
          <w:sz w:val="22"/>
          <w:szCs w:val="28"/>
        </w:rPr>
      </w:pPr>
    </w:p>
    <w:sectPr>
      <w:type w:val="continuous"/>
      <w:pgSz w:w="11906" w:h="16838"/>
      <w:pgMar w:top="141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67" o:spid="_x0000_s2067" o:spt="32" type="#_x0000_t32" style="position:absolute;left:0pt;margin-left:-21.4pt;margin-top:44.45pt;height:0.05pt;width:474.9pt;z-index:251659264;mso-width-relative:page;mso-height-relative:page;" o:connectortype="straight" filled="f" stroked="t" coordsize="21600,21600">
          <v:path arrowok="t"/>
          <v:fill on="f" focussize="0,0"/>
          <v:stroke weight="2.25pt" color="#17365D"/>
          <v:imagedata o:title=""/>
          <o:lock v:ext="edit"/>
        </v:shape>
      </w:pict>
    </w: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-319405</wp:posOffset>
          </wp:positionH>
          <wp:positionV relativeFrom="paragraph">
            <wp:posOffset>-92710</wp:posOffset>
          </wp:positionV>
          <wp:extent cx="581025" cy="581025"/>
          <wp:effectExtent l="0" t="0" r="9525" b="0"/>
          <wp:wrapTight wrapText="bothSides">
            <wp:wrapPolygon>
              <wp:start x="708" y="708"/>
              <wp:lineTo x="0" y="20538"/>
              <wp:lineTo x="21246" y="20538"/>
              <wp:lineTo x="21954" y="12748"/>
              <wp:lineTo x="21954" y="12039"/>
              <wp:lineTo x="21246" y="1416"/>
              <wp:lineTo x="21246" y="708"/>
              <wp:lineTo x="708" y="708"/>
            </wp:wrapPolygon>
          </wp:wrapTight>
          <wp:docPr id="18" name="图片 18" descr="学道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学道二维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s2062" o:spid="_x0000_s2062" o:spt="202" type="#_x0000_t202" style="position:absolute;left:0pt;margin-left:18.55pt;margin-top:6.1pt;height:32.35pt;width:449.9pt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80" w:lineRule="exact"/>
                  <w:rPr>
                    <w:rFonts w:ascii="微软雅黑" w:hAnsi="微软雅黑" w:eastAsia="微软雅黑" w:cs="微软雅黑"/>
                    <w:color w:val="7E7E7E"/>
                    <w:sz w:val="18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color w:val="7E7E7E"/>
                    <w:sz w:val="18"/>
                    <w:szCs w:val="21"/>
                  </w:rPr>
                  <w:t>报名咨询：400 994 2300     地址：广州·海珠中洲交易中心1811室       网址：</w:t>
                </w:r>
                <w:r>
                  <w:fldChar w:fldCharType="begin"/>
                </w:r>
                <w:r>
                  <w:instrText xml:space="preserve"> HYPERLINK "http://www.gzxuedao.com" </w:instrText>
                </w:r>
                <w:r>
                  <w:fldChar w:fldCharType="separate"/>
                </w:r>
                <w:r>
                  <w:rPr>
                    <w:rStyle w:val="5"/>
                    <w:rFonts w:hint="eastAsia" w:ascii="微软雅黑" w:hAnsi="微软雅黑" w:eastAsia="微软雅黑" w:cs="微软雅黑"/>
                    <w:sz w:val="18"/>
                    <w:szCs w:val="21"/>
                  </w:rPr>
                  <w:t>www.gzxuedao.com</w:t>
                </w:r>
                <w:r>
                  <w:rPr>
                    <w:rStyle w:val="5"/>
                    <w:rFonts w:hint="eastAsia" w:ascii="微软雅黑" w:hAnsi="微软雅黑" w:eastAsia="微软雅黑" w:cs="微软雅黑"/>
                    <w:sz w:val="18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2060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80" w:firstLineChars="1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-384810</wp:posOffset>
          </wp:positionV>
          <wp:extent cx="1276350" cy="552450"/>
          <wp:effectExtent l="0" t="0" r="0" b="0"/>
          <wp:wrapNone/>
          <wp:docPr id="17" name="图片 17" descr="横版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横版logo 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7E7E7E"/>
        <w:sz w:val="18"/>
        <w:szCs w:val="21"/>
      </w:rPr>
      <w:t>广州学道企业管理咨询有限公司</w:t>
    </w:r>
  </w:p>
  <w:p>
    <w:pP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</w:p>
  <w:p>
    <w:pPr>
      <w:pStyle w:val="3"/>
      <w:ind w:firstLine="2160" w:firstLineChars="1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180"/>
    <w:multiLevelType w:val="multilevel"/>
    <w:tmpl w:val="617C11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6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1CF"/>
    <w:rsid w:val="00086293"/>
    <w:rsid w:val="000D0ABD"/>
    <w:rsid w:val="000F7364"/>
    <w:rsid w:val="001220B7"/>
    <w:rsid w:val="001804B0"/>
    <w:rsid w:val="00196754"/>
    <w:rsid w:val="001A3873"/>
    <w:rsid w:val="001D5F20"/>
    <w:rsid w:val="001E0C37"/>
    <w:rsid w:val="001F47B2"/>
    <w:rsid w:val="00204754"/>
    <w:rsid w:val="00206E2A"/>
    <w:rsid w:val="00210D5F"/>
    <w:rsid w:val="00253FDC"/>
    <w:rsid w:val="002A48CC"/>
    <w:rsid w:val="002B634E"/>
    <w:rsid w:val="00311C60"/>
    <w:rsid w:val="00366227"/>
    <w:rsid w:val="00395BBE"/>
    <w:rsid w:val="003C1AB1"/>
    <w:rsid w:val="00410F4F"/>
    <w:rsid w:val="00467125"/>
    <w:rsid w:val="00481D80"/>
    <w:rsid w:val="004934E4"/>
    <w:rsid w:val="004F2500"/>
    <w:rsid w:val="00510B76"/>
    <w:rsid w:val="0051275D"/>
    <w:rsid w:val="00540A7F"/>
    <w:rsid w:val="005B46CB"/>
    <w:rsid w:val="005F5B68"/>
    <w:rsid w:val="00655342"/>
    <w:rsid w:val="006B0524"/>
    <w:rsid w:val="006B5FD9"/>
    <w:rsid w:val="006C7B34"/>
    <w:rsid w:val="006D300D"/>
    <w:rsid w:val="006E035A"/>
    <w:rsid w:val="00710039"/>
    <w:rsid w:val="00753F14"/>
    <w:rsid w:val="00754F4B"/>
    <w:rsid w:val="00844346"/>
    <w:rsid w:val="00861A9B"/>
    <w:rsid w:val="00863289"/>
    <w:rsid w:val="00881DC2"/>
    <w:rsid w:val="0089229A"/>
    <w:rsid w:val="009071BB"/>
    <w:rsid w:val="009A6D36"/>
    <w:rsid w:val="009E1414"/>
    <w:rsid w:val="009F70F1"/>
    <w:rsid w:val="00A04493"/>
    <w:rsid w:val="00A61C25"/>
    <w:rsid w:val="00A85510"/>
    <w:rsid w:val="00A90FBD"/>
    <w:rsid w:val="00AB275F"/>
    <w:rsid w:val="00AC56C5"/>
    <w:rsid w:val="00B518CD"/>
    <w:rsid w:val="00B67BD4"/>
    <w:rsid w:val="00B84599"/>
    <w:rsid w:val="00B93F8A"/>
    <w:rsid w:val="00BD5363"/>
    <w:rsid w:val="00BE1BA4"/>
    <w:rsid w:val="00C671D9"/>
    <w:rsid w:val="00CD5071"/>
    <w:rsid w:val="00D07F83"/>
    <w:rsid w:val="00D31AE2"/>
    <w:rsid w:val="00DE7EFB"/>
    <w:rsid w:val="00EA42A5"/>
    <w:rsid w:val="00EE51CF"/>
    <w:rsid w:val="00EF1B40"/>
    <w:rsid w:val="00F07205"/>
    <w:rsid w:val="0B53469C"/>
    <w:rsid w:val="1F063B3C"/>
    <w:rsid w:val="1F713B29"/>
    <w:rsid w:val="224832D1"/>
    <w:rsid w:val="29DA2B4E"/>
    <w:rsid w:val="2E8740D4"/>
    <w:rsid w:val="43365A06"/>
    <w:rsid w:val="4B7D03E1"/>
    <w:rsid w:val="5215210B"/>
    <w:rsid w:val="537D7285"/>
    <w:rsid w:val="5AFA7252"/>
    <w:rsid w:val="60403275"/>
    <w:rsid w:val="61DF4B94"/>
    <w:rsid w:val="6CEC1E07"/>
    <w:rsid w:val="71D645C9"/>
    <w:rsid w:val="7A8642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qFormat/>
    <w:uiPriority w:val="0"/>
    <w:rPr>
      <w:rFonts w:ascii="Times New Roman" w:hAnsi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7"/>
    <customShpInfo spid="_x0000_s2062"/>
    <customShpInfo spid="_x0000_s2060"/>
    <customShpInfo spid="_x0000_s1036"/>
    <customShpInfo spid="_x0000_s1029"/>
    <customShpInfo spid="_x0000_s1031"/>
    <customShpInfo spid="_x0000_s1054"/>
    <customShpInfo spid="_x0000_s1055"/>
    <customShpInfo spid="_x0000_s1044"/>
    <customShpInfo spid="_x0000_s1060"/>
    <customShpInfo spid="_x0000_s1059"/>
    <customShpInfo spid="_x0000_s1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1EAC8-D62F-4671-93E2-CB00515B4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413</Words>
  <Characters>2357</Characters>
  <Lines>19</Lines>
  <Paragraphs>5</Paragraphs>
  <TotalTime>0</TotalTime>
  <ScaleCrop>false</ScaleCrop>
  <LinksUpToDate>false</LinksUpToDate>
  <CharactersWithSpaces>2765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2016-10-10T09:08:00Z</dcterms:created>
  <dc:creator>Administrator</dc:creator>
  <cp:lastModifiedBy>Administrator</cp:lastModifiedBy>
  <dcterms:modified xsi:type="dcterms:W3CDTF">2016-10-20T02:26:57Z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