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center"/>
        <w:rPr>
          <w:rFonts w:ascii="微软雅黑" w:eastAsia="微软雅黑" w:cs="Times New Roman"/>
          <w:sz w:val="32"/>
          <w:szCs w:val="44"/>
        </w:rPr>
      </w:pPr>
      <w:r>
        <w:pict>
          <v:shape id="_x0000_i1025" o:spt="75" type="#_x0000_t75" style="height:44.25pt;width:483.7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widowControl/>
        <w:spacing w:line="300" w:lineRule="atLeast"/>
        <w:jc w:val="center"/>
        <w:rPr>
          <w:rFonts w:ascii="微软雅黑" w:hAnsi="微软雅黑" w:eastAsia="微软雅黑" w:cs="Times New Roman"/>
          <w:bCs/>
          <w:sz w:val="32"/>
          <w:szCs w:val="32"/>
        </w:rPr>
      </w:pPr>
      <w:r>
        <w:rPr>
          <w:rFonts w:hint="eastAsia" w:ascii="微软雅黑" w:hAnsi="微软雅黑" w:eastAsia="微软雅黑" w:cs="Times New Roman"/>
          <w:bCs/>
          <w:sz w:val="32"/>
          <w:szCs w:val="32"/>
        </w:rPr>
        <w:t>关于举办企业架构与信息化顶层设计最佳实践</w:t>
      </w:r>
    </w:p>
    <w:p>
      <w:pPr>
        <w:widowControl/>
        <w:spacing w:line="300" w:lineRule="atLeast"/>
        <w:jc w:val="center"/>
        <w:rPr>
          <w:rFonts w:ascii="微软雅黑" w:hAnsi="微软雅黑" w:eastAsia="微软雅黑" w:cs="Times New Roman"/>
          <w:sz w:val="32"/>
          <w:szCs w:val="32"/>
        </w:rPr>
      </w:pPr>
      <w:r>
        <w:rPr>
          <w:rFonts w:hint="eastAsia" w:ascii="微软雅黑" w:hAnsi="微软雅黑" w:eastAsia="微软雅黑" w:cs="Times New Roman"/>
          <w:bCs/>
          <w:sz w:val="32"/>
          <w:szCs w:val="32"/>
        </w:rPr>
        <w:t>（</w:t>
      </w:r>
      <w:r>
        <w:rPr>
          <w:rFonts w:ascii="微软雅黑" w:hAnsi="微软雅黑" w:eastAsia="微软雅黑" w:cs="Times New Roman"/>
          <w:bCs/>
          <w:sz w:val="32"/>
          <w:szCs w:val="32"/>
        </w:rPr>
        <w:t>TOGAF</w:t>
      </w:r>
      <w:r>
        <w:rPr>
          <w:rFonts w:hint="eastAsia" w:ascii="微软雅黑" w:hAnsi="微软雅黑" w:eastAsia="微软雅黑" w:cs="Times New Roman"/>
          <w:bCs/>
          <w:sz w:val="32"/>
          <w:szCs w:val="32"/>
        </w:rPr>
        <w:t>鉴定级认证）培训班的通知</w:t>
      </w:r>
    </w:p>
    <w:tbl>
      <w:tblPr>
        <w:tblStyle w:val="9"/>
        <w:tblW w:w="997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40"/>
        <w:gridCol w:w="945"/>
        <w:gridCol w:w="840"/>
        <w:gridCol w:w="945"/>
        <w:gridCol w:w="945"/>
        <w:gridCol w:w="945"/>
        <w:gridCol w:w="945"/>
        <w:gridCol w:w="945"/>
        <w:gridCol w:w="94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735" w:type="dxa"/>
            <w:vAlign w:val="center"/>
          </w:tcPr>
          <w:p>
            <w:pPr>
              <w:tabs>
                <w:tab w:val="left" w:pos="10080"/>
              </w:tabs>
              <w:spacing w:line="320" w:lineRule="exact"/>
              <w:ind w:right="-80" w:rightChars="-38"/>
              <w:rPr>
                <w:rFonts w:ascii="微软雅黑" w:hAnsi="微软雅黑" w:eastAsia="微软雅黑"/>
                <w:color w:val="000000"/>
                <w:spacing w:val="8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pacing w:val="8"/>
                <w:szCs w:val="21"/>
              </w:rPr>
              <w:t>培训</w:t>
            </w:r>
          </w:p>
          <w:p>
            <w:pPr>
              <w:tabs>
                <w:tab w:val="left" w:pos="10080"/>
              </w:tabs>
              <w:spacing w:line="320" w:lineRule="exact"/>
              <w:ind w:right="-80" w:rightChars="-38"/>
              <w:rPr>
                <w:rFonts w:ascii="微软雅黑" w:hAnsi="微软雅黑" w:eastAsia="微软雅黑"/>
                <w:color w:val="000000"/>
                <w:spacing w:val="8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pacing w:val="8"/>
                <w:szCs w:val="21"/>
              </w:rPr>
              <w:t>地点</w:t>
            </w:r>
          </w:p>
        </w:tc>
        <w:tc>
          <w:tcPr>
            <w:tcW w:w="840" w:type="dxa"/>
            <w:vAlign w:val="center"/>
          </w:tcPr>
          <w:p>
            <w:pPr>
              <w:tabs>
                <w:tab w:val="left" w:pos="10080"/>
              </w:tabs>
              <w:spacing w:line="320" w:lineRule="exact"/>
              <w:ind w:right="-80" w:rightChars="-38"/>
              <w:jc w:val="center"/>
              <w:rPr>
                <w:rFonts w:ascii="微软雅黑" w:hAnsi="微软雅黑" w:eastAsia="微软雅黑"/>
                <w:b/>
                <w:color w:val="008080"/>
                <w:spacing w:val="8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8080"/>
                <w:spacing w:val="8"/>
                <w:szCs w:val="21"/>
              </w:rPr>
              <w:t>北京</w:t>
            </w:r>
          </w:p>
        </w:tc>
        <w:tc>
          <w:tcPr>
            <w:tcW w:w="945" w:type="dxa"/>
            <w:vAlign w:val="center"/>
          </w:tcPr>
          <w:p>
            <w:pPr>
              <w:tabs>
                <w:tab w:val="left" w:pos="10080"/>
              </w:tabs>
              <w:spacing w:line="320" w:lineRule="exact"/>
              <w:ind w:right="-80" w:rightChars="-38"/>
              <w:jc w:val="center"/>
              <w:rPr>
                <w:rFonts w:ascii="微软雅黑" w:hAnsi="微软雅黑" w:eastAsia="微软雅黑"/>
                <w:b/>
                <w:color w:val="008080"/>
                <w:spacing w:val="8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8080"/>
                <w:spacing w:val="8"/>
                <w:szCs w:val="21"/>
              </w:rPr>
              <w:t>上海</w:t>
            </w:r>
          </w:p>
        </w:tc>
        <w:tc>
          <w:tcPr>
            <w:tcW w:w="840" w:type="dxa"/>
            <w:vAlign w:val="center"/>
          </w:tcPr>
          <w:p>
            <w:pPr>
              <w:tabs>
                <w:tab w:val="left" w:pos="10080"/>
              </w:tabs>
              <w:spacing w:line="320" w:lineRule="exact"/>
              <w:ind w:right="-80" w:rightChars="-38"/>
              <w:jc w:val="center"/>
              <w:rPr>
                <w:rFonts w:ascii="微软雅黑" w:hAnsi="微软雅黑" w:eastAsia="微软雅黑"/>
                <w:b/>
                <w:color w:val="008080"/>
                <w:spacing w:val="8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8080"/>
                <w:spacing w:val="8"/>
                <w:szCs w:val="21"/>
              </w:rPr>
              <w:t>北京</w:t>
            </w:r>
          </w:p>
        </w:tc>
        <w:tc>
          <w:tcPr>
            <w:tcW w:w="945" w:type="dxa"/>
            <w:vAlign w:val="center"/>
          </w:tcPr>
          <w:p>
            <w:pPr>
              <w:tabs>
                <w:tab w:val="left" w:pos="10080"/>
              </w:tabs>
              <w:spacing w:line="320" w:lineRule="exact"/>
              <w:ind w:right="-80" w:rightChars="-38"/>
              <w:jc w:val="center"/>
              <w:rPr>
                <w:rFonts w:ascii="微软雅黑" w:hAnsi="微软雅黑" w:eastAsia="微软雅黑"/>
                <w:b/>
                <w:color w:val="008080"/>
                <w:spacing w:val="8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8080"/>
                <w:spacing w:val="8"/>
                <w:szCs w:val="21"/>
              </w:rPr>
              <w:t>杭州</w:t>
            </w:r>
          </w:p>
        </w:tc>
        <w:tc>
          <w:tcPr>
            <w:tcW w:w="945" w:type="dxa"/>
            <w:vAlign w:val="center"/>
          </w:tcPr>
          <w:p>
            <w:pPr>
              <w:tabs>
                <w:tab w:val="left" w:pos="10080"/>
              </w:tabs>
              <w:spacing w:line="320" w:lineRule="exact"/>
              <w:ind w:right="-80" w:rightChars="-38"/>
              <w:jc w:val="center"/>
              <w:rPr>
                <w:rFonts w:ascii="微软雅黑" w:hAnsi="微软雅黑" w:eastAsia="微软雅黑"/>
                <w:b/>
                <w:color w:val="008080"/>
                <w:spacing w:val="8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8080"/>
                <w:spacing w:val="8"/>
                <w:szCs w:val="21"/>
              </w:rPr>
              <w:t>北京</w:t>
            </w:r>
          </w:p>
        </w:tc>
        <w:tc>
          <w:tcPr>
            <w:tcW w:w="945" w:type="dxa"/>
            <w:vAlign w:val="center"/>
          </w:tcPr>
          <w:p>
            <w:pPr>
              <w:tabs>
                <w:tab w:val="left" w:pos="10080"/>
              </w:tabs>
              <w:spacing w:line="320" w:lineRule="exact"/>
              <w:ind w:right="-80" w:rightChars="-38"/>
              <w:jc w:val="center"/>
              <w:rPr>
                <w:rFonts w:ascii="微软雅黑" w:hAnsi="微软雅黑" w:eastAsia="微软雅黑"/>
                <w:b/>
                <w:color w:val="008080"/>
                <w:spacing w:val="8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8080"/>
                <w:spacing w:val="8"/>
                <w:szCs w:val="21"/>
              </w:rPr>
              <w:t>南京</w:t>
            </w:r>
          </w:p>
        </w:tc>
        <w:tc>
          <w:tcPr>
            <w:tcW w:w="945" w:type="dxa"/>
            <w:vAlign w:val="center"/>
          </w:tcPr>
          <w:p>
            <w:pPr>
              <w:tabs>
                <w:tab w:val="left" w:pos="10080"/>
              </w:tabs>
              <w:spacing w:line="320" w:lineRule="exact"/>
              <w:ind w:right="-80" w:rightChars="-38"/>
              <w:jc w:val="center"/>
              <w:rPr>
                <w:rFonts w:ascii="微软雅黑" w:hAnsi="微软雅黑" w:eastAsia="微软雅黑"/>
                <w:b/>
                <w:color w:val="008080"/>
                <w:spacing w:val="8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8080"/>
                <w:spacing w:val="8"/>
                <w:szCs w:val="21"/>
              </w:rPr>
              <w:t>北京</w:t>
            </w:r>
          </w:p>
        </w:tc>
        <w:tc>
          <w:tcPr>
            <w:tcW w:w="945" w:type="dxa"/>
            <w:vAlign w:val="center"/>
          </w:tcPr>
          <w:p>
            <w:pPr>
              <w:tabs>
                <w:tab w:val="left" w:pos="10080"/>
              </w:tabs>
              <w:spacing w:line="320" w:lineRule="exact"/>
              <w:ind w:right="-80" w:rightChars="-38"/>
              <w:jc w:val="center"/>
              <w:rPr>
                <w:rFonts w:ascii="微软雅黑" w:hAnsi="微软雅黑" w:eastAsia="微软雅黑"/>
                <w:b/>
                <w:color w:val="008080"/>
                <w:spacing w:val="8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8080"/>
                <w:spacing w:val="8"/>
                <w:szCs w:val="21"/>
              </w:rPr>
              <w:t>成都</w:t>
            </w:r>
          </w:p>
        </w:tc>
        <w:tc>
          <w:tcPr>
            <w:tcW w:w="945" w:type="dxa"/>
            <w:vAlign w:val="center"/>
          </w:tcPr>
          <w:p>
            <w:pPr>
              <w:tabs>
                <w:tab w:val="left" w:pos="10080"/>
              </w:tabs>
              <w:spacing w:line="320" w:lineRule="exact"/>
              <w:ind w:right="-80" w:rightChars="-38"/>
              <w:jc w:val="center"/>
              <w:rPr>
                <w:rFonts w:ascii="微软雅黑" w:hAnsi="微软雅黑" w:eastAsia="微软雅黑"/>
                <w:b/>
                <w:color w:val="008080"/>
                <w:spacing w:val="8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8080"/>
                <w:spacing w:val="8"/>
                <w:szCs w:val="21"/>
              </w:rPr>
              <w:t>郑州</w:t>
            </w:r>
          </w:p>
        </w:tc>
        <w:tc>
          <w:tcPr>
            <w:tcW w:w="945" w:type="dxa"/>
            <w:vAlign w:val="center"/>
          </w:tcPr>
          <w:p>
            <w:pPr>
              <w:tabs>
                <w:tab w:val="left" w:pos="10080"/>
              </w:tabs>
              <w:spacing w:line="320" w:lineRule="exact"/>
              <w:ind w:right="-80" w:rightChars="-38"/>
              <w:jc w:val="center"/>
              <w:rPr>
                <w:rFonts w:ascii="微软雅黑" w:hAnsi="微软雅黑" w:eastAsia="微软雅黑"/>
                <w:b/>
                <w:color w:val="008080"/>
                <w:spacing w:val="8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8080"/>
                <w:spacing w:val="8"/>
                <w:szCs w:val="21"/>
              </w:rPr>
              <w:t>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735" w:type="dxa"/>
            <w:vAlign w:val="center"/>
          </w:tcPr>
          <w:p>
            <w:pPr>
              <w:tabs>
                <w:tab w:val="left" w:pos="10080"/>
              </w:tabs>
              <w:spacing w:line="320" w:lineRule="exact"/>
              <w:ind w:right="-80" w:rightChars="-38"/>
              <w:rPr>
                <w:rFonts w:ascii="微软雅黑" w:hAnsi="微软雅黑" w:eastAsia="微软雅黑"/>
                <w:color w:val="000000"/>
                <w:spacing w:val="8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pacing w:val="8"/>
                <w:szCs w:val="21"/>
              </w:rPr>
              <w:t>培训</w:t>
            </w:r>
          </w:p>
          <w:p>
            <w:pPr>
              <w:tabs>
                <w:tab w:val="left" w:pos="10080"/>
              </w:tabs>
              <w:spacing w:line="320" w:lineRule="exact"/>
              <w:ind w:right="-80" w:rightChars="-38"/>
              <w:rPr>
                <w:rFonts w:ascii="微软雅黑" w:hAnsi="微软雅黑" w:eastAsia="微软雅黑"/>
                <w:color w:val="000000"/>
                <w:spacing w:val="8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pacing w:val="8"/>
                <w:szCs w:val="21"/>
              </w:rPr>
              <w:t>时间</w:t>
            </w:r>
          </w:p>
        </w:tc>
        <w:tc>
          <w:tcPr>
            <w:tcW w:w="840" w:type="dxa"/>
            <w:vAlign w:val="center"/>
          </w:tcPr>
          <w:p>
            <w:pPr>
              <w:tabs>
                <w:tab w:val="left" w:pos="10080"/>
              </w:tabs>
              <w:spacing w:line="320" w:lineRule="exact"/>
              <w:ind w:right="-80" w:rightChars="-38"/>
              <w:jc w:val="center"/>
              <w:rPr>
                <w:rFonts w:ascii="微软雅黑" w:hAnsi="微软雅黑" w:eastAsia="微软雅黑"/>
                <w:b/>
                <w:color w:val="008080"/>
                <w:szCs w:val="21"/>
              </w:rPr>
            </w:pPr>
            <w:r>
              <w:rPr>
                <w:rFonts w:ascii="微软雅黑" w:hAnsi="微软雅黑" w:eastAsia="微软雅黑"/>
                <w:b/>
                <w:color w:val="008080"/>
                <w:szCs w:val="21"/>
              </w:rPr>
              <w:t>3</w:t>
            </w:r>
            <w:r>
              <w:rPr>
                <w:rFonts w:hint="eastAsia" w:ascii="微软雅黑" w:hAnsi="微软雅黑" w:eastAsia="微软雅黑"/>
                <w:b/>
                <w:color w:val="008080"/>
                <w:szCs w:val="21"/>
              </w:rPr>
              <w:t>月</w:t>
            </w:r>
            <w:r>
              <w:rPr>
                <w:rFonts w:ascii="微软雅黑" w:hAnsi="微软雅黑" w:eastAsia="微软雅黑"/>
                <w:b/>
                <w:color w:val="008080"/>
                <w:szCs w:val="21"/>
              </w:rPr>
              <w:t>16-20</w:t>
            </w:r>
          </w:p>
        </w:tc>
        <w:tc>
          <w:tcPr>
            <w:tcW w:w="945" w:type="dxa"/>
            <w:vAlign w:val="center"/>
          </w:tcPr>
          <w:p>
            <w:pPr>
              <w:tabs>
                <w:tab w:val="left" w:pos="10080"/>
              </w:tabs>
              <w:spacing w:line="320" w:lineRule="exact"/>
              <w:ind w:right="-80" w:rightChars="-38"/>
              <w:jc w:val="center"/>
              <w:rPr>
                <w:rFonts w:ascii="微软雅黑" w:hAnsi="微软雅黑" w:eastAsia="微软雅黑"/>
                <w:b/>
                <w:color w:val="008080"/>
                <w:szCs w:val="21"/>
              </w:rPr>
            </w:pPr>
            <w:r>
              <w:rPr>
                <w:rFonts w:ascii="微软雅黑" w:hAnsi="微软雅黑" w:eastAsia="微软雅黑"/>
                <w:b/>
                <w:color w:val="008080"/>
                <w:szCs w:val="21"/>
              </w:rPr>
              <w:t>4</w:t>
            </w:r>
            <w:r>
              <w:rPr>
                <w:rFonts w:hint="eastAsia" w:ascii="微软雅黑" w:hAnsi="微软雅黑" w:eastAsia="微软雅黑"/>
                <w:b/>
                <w:color w:val="008080"/>
                <w:szCs w:val="21"/>
              </w:rPr>
              <w:t>月</w:t>
            </w:r>
          </w:p>
          <w:p>
            <w:pPr>
              <w:tabs>
                <w:tab w:val="left" w:pos="10080"/>
              </w:tabs>
              <w:spacing w:line="320" w:lineRule="exact"/>
              <w:ind w:right="-80" w:rightChars="-38"/>
              <w:jc w:val="center"/>
              <w:rPr>
                <w:rFonts w:ascii="微软雅黑" w:hAnsi="微软雅黑" w:eastAsia="微软雅黑"/>
                <w:b/>
                <w:color w:val="008080"/>
                <w:szCs w:val="21"/>
              </w:rPr>
            </w:pPr>
            <w:r>
              <w:rPr>
                <w:rFonts w:ascii="微软雅黑" w:hAnsi="微软雅黑" w:eastAsia="微软雅黑"/>
                <w:b/>
                <w:color w:val="008080"/>
                <w:szCs w:val="21"/>
              </w:rPr>
              <w:t>20-24</w:t>
            </w:r>
          </w:p>
        </w:tc>
        <w:tc>
          <w:tcPr>
            <w:tcW w:w="840" w:type="dxa"/>
            <w:vAlign w:val="center"/>
          </w:tcPr>
          <w:p>
            <w:pPr>
              <w:tabs>
                <w:tab w:val="left" w:pos="10080"/>
              </w:tabs>
              <w:spacing w:line="320" w:lineRule="exact"/>
              <w:ind w:right="-80" w:rightChars="-38"/>
              <w:jc w:val="center"/>
              <w:rPr>
                <w:rFonts w:ascii="微软雅黑" w:hAnsi="微软雅黑" w:eastAsia="微软雅黑"/>
                <w:b/>
                <w:color w:val="008080"/>
                <w:szCs w:val="21"/>
              </w:rPr>
            </w:pPr>
            <w:r>
              <w:rPr>
                <w:rFonts w:ascii="微软雅黑" w:hAnsi="微软雅黑" w:eastAsia="微软雅黑"/>
                <w:b/>
                <w:color w:val="008080"/>
                <w:szCs w:val="21"/>
              </w:rPr>
              <w:t>5</w:t>
            </w:r>
            <w:r>
              <w:rPr>
                <w:rFonts w:hint="eastAsia" w:ascii="微软雅黑" w:hAnsi="微软雅黑" w:eastAsia="微软雅黑"/>
                <w:b/>
                <w:color w:val="008080"/>
                <w:szCs w:val="21"/>
              </w:rPr>
              <w:t>月</w:t>
            </w:r>
            <w:r>
              <w:rPr>
                <w:rFonts w:ascii="微软雅黑" w:hAnsi="微软雅黑" w:eastAsia="微软雅黑"/>
                <w:b/>
                <w:color w:val="008080"/>
                <w:szCs w:val="21"/>
              </w:rPr>
              <w:t>18-22</w:t>
            </w:r>
          </w:p>
        </w:tc>
        <w:tc>
          <w:tcPr>
            <w:tcW w:w="945" w:type="dxa"/>
            <w:vAlign w:val="center"/>
          </w:tcPr>
          <w:p>
            <w:pPr>
              <w:tabs>
                <w:tab w:val="left" w:pos="10080"/>
              </w:tabs>
              <w:spacing w:line="320" w:lineRule="exact"/>
              <w:ind w:right="-80" w:rightChars="-38"/>
              <w:jc w:val="center"/>
              <w:rPr>
                <w:rFonts w:ascii="微软雅黑" w:hAnsi="微软雅黑" w:eastAsia="微软雅黑"/>
                <w:b/>
                <w:color w:val="008080"/>
                <w:szCs w:val="21"/>
              </w:rPr>
            </w:pPr>
            <w:r>
              <w:rPr>
                <w:rFonts w:ascii="微软雅黑" w:hAnsi="微软雅黑" w:eastAsia="微软雅黑"/>
                <w:b/>
                <w:color w:val="008080"/>
                <w:spacing w:val="8"/>
                <w:szCs w:val="21"/>
              </w:rPr>
              <w:t>6</w:t>
            </w:r>
            <w:r>
              <w:rPr>
                <w:rFonts w:hint="eastAsia" w:ascii="微软雅黑" w:hAnsi="微软雅黑" w:eastAsia="微软雅黑"/>
                <w:b/>
                <w:color w:val="008080"/>
                <w:spacing w:val="8"/>
                <w:szCs w:val="21"/>
              </w:rPr>
              <w:t>月</w:t>
            </w:r>
            <w:r>
              <w:rPr>
                <w:rFonts w:ascii="微软雅黑" w:hAnsi="微软雅黑" w:eastAsia="微软雅黑"/>
                <w:b/>
                <w:color w:val="008080"/>
                <w:spacing w:val="8"/>
                <w:szCs w:val="21"/>
              </w:rPr>
              <w:t>27-7.1</w:t>
            </w:r>
          </w:p>
        </w:tc>
        <w:tc>
          <w:tcPr>
            <w:tcW w:w="945" w:type="dxa"/>
            <w:vAlign w:val="center"/>
          </w:tcPr>
          <w:p>
            <w:pPr>
              <w:tabs>
                <w:tab w:val="left" w:pos="10080"/>
              </w:tabs>
              <w:spacing w:line="320" w:lineRule="exact"/>
              <w:ind w:right="-80" w:rightChars="-38"/>
              <w:jc w:val="center"/>
              <w:rPr>
                <w:rFonts w:ascii="微软雅黑" w:hAnsi="微软雅黑" w:eastAsia="微软雅黑"/>
                <w:b/>
                <w:color w:val="008080"/>
                <w:szCs w:val="21"/>
              </w:rPr>
            </w:pPr>
            <w:r>
              <w:rPr>
                <w:rFonts w:ascii="微软雅黑" w:hAnsi="微软雅黑" w:eastAsia="微软雅黑"/>
                <w:b/>
                <w:color w:val="008080"/>
                <w:szCs w:val="21"/>
              </w:rPr>
              <w:t>7</w:t>
            </w:r>
            <w:r>
              <w:rPr>
                <w:rFonts w:hint="eastAsia" w:ascii="微软雅黑" w:hAnsi="微软雅黑" w:eastAsia="微软雅黑"/>
                <w:b/>
                <w:color w:val="008080"/>
                <w:szCs w:val="21"/>
              </w:rPr>
              <w:t>月</w:t>
            </w:r>
            <w:r>
              <w:rPr>
                <w:rFonts w:ascii="微软雅黑" w:hAnsi="微软雅黑" w:eastAsia="微软雅黑"/>
                <w:b/>
                <w:color w:val="008080"/>
                <w:szCs w:val="21"/>
              </w:rPr>
              <w:t>27-31</w:t>
            </w:r>
          </w:p>
        </w:tc>
        <w:tc>
          <w:tcPr>
            <w:tcW w:w="945" w:type="dxa"/>
            <w:vAlign w:val="center"/>
          </w:tcPr>
          <w:p>
            <w:pPr>
              <w:tabs>
                <w:tab w:val="left" w:pos="10080"/>
              </w:tabs>
              <w:spacing w:line="320" w:lineRule="exact"/>
              <w:ind w:right="-80" w:rightChars="-38"/>
              <w:jc w:val="center"/>
              <w:rPr>
                <w:rFonts w:ascii="微软雅黑" w:hAnsi="微软雅黑" w:eastAsia="微软雅黑"/>
                <w:b/>
                <w:color w:val="008080"/>
                <w:szCs w:val="21"/>
              </w:rPr>
            </w:pPr>
            <w:r>
              <w:rPr>
                <w:rFonts w:ascii="微软雅黑" w:hAnsi="微软雅黑" w:eastAsia="微软雅黑"/>
                <w:b/>
                <w:color w:val="008080"/>
                <w:szCs w:val="21"/>
              </w:rPr>
              <w:t>8</w:t>
            </w:r>
            <w:r>
              <w:rPr>
                <w:rFonts w:hint="eastAsia" w:ascii="微软雅黑" w:hAnsi="微软雅黑" w:eastAsia="微软雅黑"/>
                <w:b/>
                <w:color w:val="008080"/>
                <w:szCs w:val="21"/>
              </w:rPr>
              <w:t>月</w:t>
            </w:r>
            <w:r>
              <w:rPr>
                <w:rFonts w:ascii="微软雅黑" w:hAnsi="微软雅黑" w:eastAsia="微软雅黑"/>
                <w:b/>
                <w:color w:val="008080"/>
                <w:szCs w:val="21"/>
              </w:rPr>
              <w:t>24-28</w:t>
            </w:r>
          </w:p>
        </w:tc>
        <w:tc>
          <w:tcPr>
            <w:tcW w:w="945" w:type="dxa"/>
            <w:vAlign w:val="center"/>
          </w:tcPr>
          <w:p>
            <w:pPr>
              <w:tabs>
                <w:tab w:val="left" w:pos="10080"/>
              </w:tabs>
              <w:spacing w:line="320" w:lineRule="exact"/>
              <w:ind w:right="-80" w:rightChars="-38"/>
              <w:jc w:val="center"/>
              <w:rPr>
                <w:rFonts w:ascii="微软雅黑" w:hAnsi="微软雅黑" w:eastAsia="微软雅黑"/>
                <w:b/>
                <w:color w:val="008080"/>
                <w:spacing w:val="8"/>
                <w:szCs w:val="21"/>
              </w:rPr>
            </w:pPr>
            <w:r>
              <w:rPr>
                <w:rFonts w:ascii="微软雅黑" w:hAnsi="微软雅黑" w:eastAsia="微软雅黑"/>
                <w:b/>
                <w:color w:val="008080"/>
                <w:spacing w:val="8"/>
                <w:szCs w:val="21"/>
              </w:rPr>
              <w:t>9</w:t>
            </w:r>
            <w:r>
              <w:rPr>
                <w:rFonts w:hint="eastAsia" w:ascii="微软雅黑" w:hAnsi="微软雅黑" w:eastAsia="微软雅黑"/>
                <w:b/>
                <w:color w:val="008080"/>
                <w:spacing w:val="8"/>
                <w:szCs w:val="21"/>
              </w:rPr>
              <w:t>月</w:t>
            </w:r>
            <w:r>
              <w:rPr>
                <w:rFonts w:ascii="微软雅黑" w:hAnsi="微软雅黑" w:eastAsia="微软雅黑"/>
                <w:b/>
                <w:color w:val="008080"/>
                <w:spacing w:val="8"/>
                <w:szCs w:val="21"/>
              </w:rPr>
              <w:t>21-25</w:t>
            </w:r>
          </w:p>
        </w:tc>
        <w:tc>
          <w:tcPr>
            <w:tcW w:w="945" w:type="dxa"/>
            <w:vAlign w:val="center"/>
          </w:tcPr>
          <w:p>
            <w:pPr>
              <w:tabs>
                <w:tab w:val="left" w:pos="10080"/>
              </w:tabs>
              <w:spacing w:line="320" w:lineRule="exact"/>
              <w:ind w:right="-80" w:rightChars="-38"/>
              <w:jc w:val="center"/>
              <w:rPr>
                <w:rFonts w:ascii="微软雅黑" w:hAnsi="微软雅黑" w:eastAsia="微软雅黑"/>
                <w:b/>
                <w:color w:val="008080"/>
                <w:spacing w:val="8"/>
                <w:szCs w:val="21"/>
              </w:rPr>
            </w:pPr>
            <w:r>
              <w:rPr>
                <w:rFonts w:ascii="微软雅黑" w:hAnsi="微软雅黑" w:eastAsia="微软雅黑"/>
                <w:b/>
                <w:color w:val="008080"/>
                <w:spacing w:val="8"/>
                <w:szCs w:val="21"/>
              </w:rPr>
              <w:t>10</w:t>
            </w:r>
            <w:r>
              <w:rPr>
                <w:rFonts w:hint="eastAsia" w:ascii="微软雅黑" w:hAnsi="微软雅黑" w:eastAsia="微软雅黑"/>
                <w:b/>
                <w:color w:val="008080"/>
                <w:spacing w:val="8"/>
                <w:szCs w:val="21"/>
              </w:rPr>
              <w:t>月</w:t>
            </w:r>
            <w:r>
              <w:rPr>
                <w:rFonts w:ascii="微软雅黑" w:hAnsi="微软雅黑" w:eastAsia="微软雅黑"/>
                <w:b/>
                <w:color w:val="008080"/>
                <w:spacing w:val="8"/>
                <w:szCs w:val="21"/>
              </w:rPr>
              <w:t>26-30</w:t>
            </w:r>
          </w:p>
        </w:tc>
        <w:tc>
          <w:tcPr>
            <w:tcW w:w="945" w:type="dxa"/>
            <w:vAlign w:val="center"/>
          </w:tcPr>
          <w:p>
            <w:pPr>
              <w:tabs>
                <w:tab w:val="left" w:pos="10080"/>
              </w:tabs>
              <w:spacing w:line="320" w:lineRule="exact"/>
              <w:ind w:right="-80" w:rightChars="-38"/>
              <w:jc w:val="center"/>
              <w:rPr>
                <w:rFonts w:ascii="微软雅黑" w:hAnsi="微软雅黑" w:eastAsia="微软雅黑"/>
                <w:b/>
                <w:color w:val="008080"/>
                <w:spacing w:val="8"/>
                <w:szCs w:val="21"/>
              </w:rPr>
            </w:pPr>
            <w:r>
              <w:rPr>
                <w:rFonts w:ascii="微软雅黑" w:hAnsi="微软雅黑" w:eastAsia="微软雅黑"/>
                <w:b/>
                <w:color w:val="008080"/>
                <w:spacing w:val="8"/>
                <w:szCs w:val="21"/>
              </w:rPr>
              <w:t>11</w:t>
            </w:r>
            <w:r>
              <w:rPr>
                <w:rFonts w:hint="eastAsia" w:ascii="微软雅黑" w:hAnsi="微软雅黑" w:eastAsia="微软雅黑"/>
                <w:b/>
                <w:color w:val="008080"/>
                <w:spacing w:val="8"/>
                <w:szCs w:val="21"/>
              </w:rPr>
              <w:t>月</w:t>
            </w:r>
            <w:r>
              <w:rPr>
                <w:rFonts w:ascii="微软雅黑" w:hAnsi="微软雅黑" w:eastAsia="微软雅黑"/>
                <w:b/>
                <w:color w:val="008080"/>
                <w:spacing w:val="8"/>
                <w:szCs w:val="21"/>
              </w:rPr>
              <w:t>23-27</w:t>
            </w:r>
          </w:p>
        </w:tc>
        <w:tc>
          <w:tcPr>
            <w:tcW w:w="945" w:type="dxa"/>
            <w:vAlign w:val="center"/>
          </w:tcPr>
          <w:p>
            <w:pPr>
              <w:tabs>
                <w:tab w:val="left" w:pos="10080"/>
              </w:tabs>
              <w:spacing w:line="320" w:lineRule="exact"/>
              <w:ind w:right="-80" w:rightChars="-38"/>
              <w:jc w:val="center"/>
              <w:rPr>
                <w:rFonts w:ascii="微软雅黑" w:hAnsi="微软雅黑" w:eastAsia="微软雅黑"/>
                <w:b/>
                <w:color w:val="008080"/>
                <w:spacing w:val="8"/>
                <w:szCs w:val="21"/>
              </w:rPr>
            </w:pPr>
            <w:r>
              <w:rPr>
                <w:rFonts w:ascii="微软雅黑" w:hAnsi="微软雅黑" w:eastAsia="微软雅黑"/>
                <w:b/>
                <w:color w:val="008080"/>
                <w:spacing w:val="8"/>
                <w:szCs w:val="21"/>
              </w:rPr>
              <w:t>12</w:t>
            </w:r>
            <w:r>
              <w:rPr>
                <w:rFonts w:hint="eastAsia" w:ascii="微软雅黑" w:hAnsi="微软雅黑" w:eastAsia="微软雅黑"/>
                <w:b/>
                <w:color w:val="008080"/>
                <w:spacing w:val="8"/>
                <w:szCs w:val="21"/>
              </w:rPr>
              <w:t>月</w:t>
            </w:r>
            <w:r>
              <w:rPr>
                <w:rFonts w:ascii="微软雅黑" w:hAnsi="微软雅黑" w:eastAsia="微软雅黑"/>
                <w:b/>
                <w:color w:val="008080"/>
                <w:spacing w:val="8"/>
                <w:szCs w:val="21"/>
              </w:rPr>
              <w:t>21-25</w:t>
            </w:r>
          </w:p>
        </w:tc>
      </w:tr>
    </w:tbl>
    <w:p>
      <w:pPr>
        <w:spacing w:line="440" w:lineRule="exact"/>
        <w:ind w:firstLine="452" w:firstLineChars="200"/>
        <w:rPr>
          <w:rFonts w:ascii="微软雅黑" w:hAnsi="微软雅黑" w:eastAsia="微软雅黑"/>
          <w:color w:val="000000"/>
          <w:spacing w:val="8"/>
          <w:szCs w:val="21"/>
        </w:rPr>
      </w:pPr>
    </w:p>
    <w:p>
      <w:pPr>
        <w:spacing w:line="440" w:lineRule="exact"/>
        <w:ind w:firstLine="420" w:firstLineChars="200"/>
        <w:rPr>
          <w:rFonts w:eastAsia="微软雅黑"/>
          <w:color w:val="000000"/>
        </w:rPr>
      </w:pPr>
      <w:r>
        <w:rPr>
          <w:rFonts w:hint="eastAsia" w:eastAsia="微软雅黑"/>
          <w:color w:val="000000"/>
        </w:rPr>
        <w:t>我国互联网行业虽然拥有世界一流的硬件设施和优秀从业人才，但是在企业</w:t>
      </w:r>
      <w:r>
        <w:rPr>
          <w:rFonts w:eastAsia="微软雅黑"/>
          <w:color w:val="000000"/>
        </w:rPr>
        <w:t>IT</w:t>
      </w:r>
      <w:r>
        <w:rPr>
          <w:rFonts w:hint="eastAsia" w:eastAsia="微软雅黑"/>
          <w:color w:val="000000"/>
        </w:rPr>
        <w:t>架构方面与世界先进水平还存在较大差距。</w:t>
      </w:r>
      <w:r>
        <w:rPr>
          <w:rFonts w:eastAsia="微软雅黑"/>
          <w:color w:val="000000"/>
        </w:rPr>
        <w:t>TOGAF</w:t>
      </w:r>
      <w:r>
        <w:rPr>
          <w:rFonts w:hint="eastAsia" w:eastAsia="微软雅黑"/>
          <w:color w:val="000000"/>
        </w:rPr>
        <w:t>的引进，对我国互联网行业的发展将起到重要作用。</w:t>
      </w:r>
    </w:p>
    <w:p>
      <w:pPr>
        <w:spacing w:line="440" w:lineRule="exact"/>
        <w:ind w:firstLine="420" w:firstLineChars="200"/>
        <w:rPr>
          <w:rFonts w:eastAsia="微软雅黑"/>
          <w:color w:val="000000"/>
        </w:rPr>
      </w:pPr>
      <w:r>
        <w:rPr>
          <w:rFonts w:hint="eastAsia" w:eastAsia="微软雅黑"/>
          <w:color w:val="000000"/>
        </w:rPr>
        <w:t>中培作为国内</w:t>
      </w:r>
      <w:r>
        <w:rPr>
          <w:rFonts w:eastAsia="微软雅黑"/>
          <w:color w:val="000000"/>
        </w:rPr>
        <w:t>IT</w:t>
      </w:r>
      <w:r>
        <w:rPr>
          <w:rFonts w:hint="eastAsia" w:eastAsia="微软雅黑"/>
          <w:color w:val="000000"/>
        </w:rPr>
        <w:t>培训领域的顶尖品牌，是</w:t>
      </w:r>
      <w:r>
        <w:rPr>
          <w:rFonts w:eastAsia="微软雅黑"/>
          <w:color w:val="000000"/>
        </w:rPr>
        <w:t>The Open Group</w:t>
      </w:r>
      <w:r>
        <w:rPr>
          <w:rFonts w:hint="eastAsia" w:eastAsia="微软雅黑"/>
          <w:color w:val="000000"/>
        </w:rPr>
        <w:t>在中国区的黄金会员；获得</w:t>
      </w:r>
      <w:r>
        <w:rPr>
          <w:rFonts w:eastAsia="微软雅黑"/>
          <w:color w:val="000000"/>
        </w:rPr>
        <w:t>The Open Group</w:t>
      </w:r>
      <w:r>
        <w:rPr>
          <w:rFonts w:hint="eastAsia" w:eastAsia="微软雅黑"/>
          <w:color w:val="000000"/>
        </w:rPr>
        <w:t>的正式鉴定授权，目前中国第三家获得该授权的机构；也是唯一以</w:t>
      </w:r>
      <w:r>
        <w:rPr>
          <w:rFonts w:eastAsia="微软雅黑"/>
          <w:color w:val="000000"/>
        </w:rPr>
        <w:t>TOGAF</w:t>
      </w:r>
      <w:r>
        <w:rPr>
          <w:rFonts w:hint="eastAsia" w:eastAsia="微软雅黑"/>
          <w:color w:val="000000"/>
        </w:rPr>
        <w:t>认证培训为主导的黄金会员机构。凭借强大的专家团队、精心的认证辅导服务《</w:t>
      </w:r>
      <w:r>
        <w:rPr>
          <w:rFonts w:eastAsia="微软雅黑"/>
          <w:color w:val="000000"/>
        </w:rPr>
        <w:t>IT</w:t>
      </w:r>
      <w:r>
        <w:rPr>
          <w:rFonts w:hint="eastAsia" w:eastAsia="微软雅黑"/>
          <w:color w:val="000000"/>
        </w:rPr>
        <w:t>战略规划与企业架构最佳实践</w:t>
      </w:r>
      <w:r>
        <w:rPr>
          <w:rFonts w:eastAsia="微软雅黑"/>
          <w:color w:val="000000"/>
        </w:rPr>
        <w:t>/TOGAF</w:t>
      </w:r>
      <w:r>
        <w:rPr>
          <w:rFonts w:hint="eastAsia" w:eastAsia="微软雅黑"/>
          <w:color w:val="000000"/>
        </w:rPr>
        <w:t>认证》已成为中培最具影响力的精品课程之一。通过学习致在培养我国</w:t>
      </w:r>
      <w:r>
        <w:rPr>
          <w:rFonts w:eastAsia="微软雅黑"/>
          <w:color w:val="000000"/>
        </w:rPr>
        <w:t>IT</w:t>
      </w:r>
      <w:r>
        <w:rPr>
          <w:rFonts w:hint="eastAsia" w:eastAsia="微软雅黑"/>
          <w:color w:val="000000"/>
        </w:rPr>
        <w:t>架构领域、专业人才和获证专家。</w:t>
      </w:r>
    </w:p>
    <w:p>
      <w:pPr>
        <w:spacing w:line="440" w:lineRule="exact"/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企业架构如同战略规划，可以帮助企业执行业务战略规划及制定顶层设计，顺利完成</w:t>
      </w:r>
      <w:r>
        <w:rPr>
          <w:rFonts w:ascii="微软雅黑" w:hAnsi="微软雅黑" w:eastAsia="微软雅黑"/>
          <w:szCs w:val="21"/>
        </w:rPr>
        <w:t>IT</w:t>
      </w:r>
      <w:r>
        <w:rPr>
          <w:rFonts w:hint="eastAsia" w:ascii="微软雅黑" w:hAnsi="微软雅黑" w:eastAsia="微软雅黑"/>
          <w:szCs w:val="21"/>
        </w:rPr>
        <w:t>规划、产品规划。目前，业界最有名的企业架构框架是</w:t>
      </w:r>
      <w:r>
        <w:rPr>
          <w:rFonts w:ascii="微软雅黑" w:hAnsi="微软雅黑" w:eastAsia="微软雅黑"/>
          <w:szCs w:val="21"/>
        </w:rPr>
        <w:t>TOGAF</w:t>
      </w:r>
      <w:r>
        <w:rPr>
          <w:rFonts w:hint="eastAsia" w:ascii="微软雅黑" w:hAnsi="微软雅黑" w:eastAsia="微软雅黑"/>
          <w:szCs w:val="21"/>
        </w:rPr>
        <w:t>（</w:t>
      </w:r>
      <w:r>
        <w:rPr>
          <w:rFonts w:ascii="微软雅黑" w:hAnsi="微软雅黑" w:eastAsia="微软雅黑"/>
          <w:szCs w:val="21"/>
        </w:rPr>
        <w:t>The Open Group Architecture Framework</w:t>
      </w:r>
      <w:r>
        <w:rPr>
          <w:rFonts w:hint="eastAsia" w:ascii="微软雅黑" w:hAnsi="微软雅黑" w:eastAsia="微软雅黑"/>
          <w:szCs w:val="21"/>
        </w:rPr>
        <w:t>）。</w:t>
      </w:r>
      <w:r>
        <w:rPr>
          <w:rFonts w:ascii="微软雅黑" w:hAnsi="微软雅黑" w:eastAsia="微软雅黑"/>
          <w:szCs w:val="21"/>
        </w:rPr>
        <w:t>TOGAF</w:t>
      </w:r>
      <w:r>
        <w:rPr>
          <w:rFonts w:hint="eastAsia" w:ascii="微软雅黑" w:hAnsi="微软雅黑" w:eastAsia="微软雅黑"/>
          <w:szCs w:val="21"/>
        </w:rPr>
        <w:t>已被</w:t>
      </w:r>
      <w:r>
        <w:rPr>
          <w:rFonts w:ascii="微软雅黑" w:hAnsi="微软雅黑" w:eastAsia="微软雅黑"/>
          <w:szCs w:val="21"/>
        </w:rPr>
        <w:t>80</w:t>
      </w:r>
      <w:r>
        <w:rPr>
          <w:rFonts w:hint="eastAsia" w:ascii="微软雅黑" w:hAnsi="微软雅黑" w:eastAsia="微软雅黑"/>
          <w:szCs w:val="21"/>
        </w:rPr>
        <w:t>％的</w:t>
      </w:r>
      <w:r>
        <w:rPr>
          <w:rFonts w:ascii="微软雅黑" w:hAnsi="微软雅黑" w:eastAsia="微软雅黑"/>
          <w:szCs w:val="21"/>
        </w:rPr>
        <w:t xml:space="preserve"> Forbes 500</w:t>
      </w:r>
      <w:r>
        <w:rPr>
          <w:rFonts w:hint="eastAsia" w:ascii="微软雅黑" w:hAnsi="微软雅黑" w:eastAsia="微软雅黑"/>
          <w:szCs w:val="21"/>
        </w:rPr>
        <w:t>公司使用，并得到</w:t>
      </w:r>
      <w:r>
        <w:rPr>
          <w:rFonts w:ascii="微软雅黑" w:hAnsi="微软雅黑" w:eastAsia="微软雅黑"/>
          <w:szCs w:val="21"/>
        </w:rPr>
        <w:t>IBM</w:t>
      </w:r>
      <w:r>
        <w:rPr>
          <w:rFonts w:hint="eastAsia" w:ascii="微软雅黑" w:hAnsi="微软雅黑" w:eastAsia="微软雅黑"/>
          <w:szCs w:val="21"/>
        </w:rPr>
        <w:t>、</w:t>
      </w:r>
      <w:r>
        <w:rPr>
          <w:rFonts w:ascii="微软雅黑" w:hAnsi="微软雅黑" w:eastAsia="微软雅黑"/>
          <w:szCs w:val="21"/>
        </w:rPr>
        <w:t>HP</w:t>
      </w:r>
      <w:r>
        <w:rPr>
          <w:rFonts w:hint="eastAsia" w:ascii="微软雅黑" w:hAnsi="微软雅黑" w:eastAsia="微软雅黑"/>
          <w:szCs w:val="21"/>
        </w:rPr>
        <w:t>、</w:t>
      </w:r>
      <w:r>
        <w:rPr>
          <w:rFonts w:ascii="微软雅黑" w:hAnsi="微软雅黑" w:eastAsia="微软雅黑"/>
          <w:szCs w:val="21"/>
        </w:rPr>
        <w:t>SUN</w:t>
      </w:r>
      <w:r>
        <w:rPr>
          <w:rFonts w:hint="eastAsia" w:ascii="微软雅黑" w:hAnsi="微软雅黑" w:eastAsia="微软雅黑"/>
          <w:szCs w:val="21"/>
        </w:rPr>
        <w:t>、</w:t>
      </w:r>
      <w:r>
        <w:rPr>
          <w:rFonts w:ascii="微软雅黑" w:hAnsi="微软雅黑" w:eastAsia="微软雅黑"/>
          <w:szCs w:val="21"/>
        </w:rPr>
        <w:t>SAP</w:t>
      </w:r>
      <w:r>
        <w:rPr>
          <w:rFonts w:hint="eastAsia" w:ascii="微软雅黑" w:hAnsi="微软雅黑" w:eastAsia="微软雅黑"/>
          <w:szCs w:val="21"/>
        </w:rPr>
        <w:t>等国际主流厂商的积极推动。本次培训内容将涵盖</w:t>
      </w:r>
      <w:r>
        <w:rPr>
          <w:rFonts w:ascii="微软雅黑" w:hAnsi="微软雅黑" w:eastAsia="微软雅黑"/>
          <w:szCs w:val="21"/>
        </w:rPr>
        <w:t>TOGAF</w:t>
      </w:r>
      <w:r>
        <w:rPr>
          <w:rFonts w:hint="eastAsia" w:ascii="微软雅黑" w:hAnsi="微软雅黑" w:eastAsia="微软雅黑"/>
          <w:szCs w:val="21"/>
        </w:rPr>
        <w:t>概观、架构愿景、业务架构、信息系统架构和技术架构、架构开发方法、企业架构连续系列、架构内容框架和元模型、架构开发方法及指引和架构能力框架等</w:t>
      </w:r>
      <w:r>
        <w:rPr>
          <w:rFonts w:ascii="微软雅黑" w:hAnsi="微软雅黑" w:eastAsia="微软雅黑"/>
          <w:szCs w:val="21"/>
        </w:rPr>
        <w:t>TOGAF9</w:t>
      </w:r>
      <w:r>
        <w:rPr>
          <w:rFonts w:hint="eastAsia" w:ascii="微软雅黑" w:hAnsi="微软雅黑" w:eastAsia="微软雅黑"/>
          <w:szCs w:val="21"/>
        </w:rPr>
        <w:t>的全部最新内容，并将通过实例分析与教学。现将相关事宜通知如下：</w:t>
      </w:r>
    </w:p>
    <w:p>
      <w:pPr>
        <w:pStyle w:val="13"/>
        <w:tabs>
          <w:tab w:val="left" w:pos="0"/>
        </w:tabs>
        <w:spacing w:line="440" w:lineRule="exact"/>
        <w:ind w:firstLine="0" w:firstLineChars="0"/>
        <w:rPr>
          <w:rFonts w:ascii="微软雅黑" w:hAnsi="微软雅黑" w:eastAsia="微软雅黑" w:cs="仿宋_GB2312"/>
          <w:b/>
          <w:sz w:val="24"/>
          <w:szCs w:val="24"/>
        </w:rPr>
      </w:pPr>
      <w:r>
        <w:rPr>
          <w:rFonts w:hint="eastAsia" w:ascii="微软雅黑" w:hAnsi="微软雅黑" w:eastAsia="微软雅黑" w:cs="仿宋_GB2312"/>
          <w:b/>
          <w:sz w:val="24"/>
          <w:szCs w:val="24"/>
        </w:rPr>
        <w:t>一、培训特色</w:t>
      </w:r>
    </w:p>
    <w:p>
      <w:pPr>
        <w:tabs>
          <w:tab w:val="left" w:pos="0"/>
        </w:tabs>
        <w:spacing w:line="440" w:lineRule="exact"/>
        <w:ind w:firstLine="452" w:firstLineChars="200"/>
        <w:rPr>
          <w:rFonts w:ascii="微软雅黑" w:hAnsi="微软雅黑" w:eastAsia="微软雅黑" w:cs="Times New Roman"/>
          <w:color w:val="000000"/>
          <w:spacing w:val="8"/>
          <w:szCs w:val="21"/>
        </w:rPr>
      </w:pPr>
      <w:r>
        <w:rPr>
          <w:rFonts w:ascii="微软雅黑" w:hAnsi="微软雅黑" w:eastAsia="微软雅黑" w:cs="Times New Roman"/>
          <w:color w:val="000000"/>
          <w:spacing w:val="8"/>
          <w:szCs w:val="21"/>
        </w:rPr>
        <w:t xml:space="preserve">1. </w:t>
      </w:r>
      <w:r>
        <w:rPr>
          <w:rFonts w:hint="eastAsia" w:ascii="微软雅黑" w:hAnsi="微软雅黑" w:eastAsia="微软雅黑" w:cs="Times New Roman"/>
          <w:color w:val="000000"/>
          <w:spacing w:val="8"/>
          <w:szCs w:val="21"/>
        </w:rPr>
        <w:t>理论与实践相结合、案例分析与行业应用穿插进行；</w:t>
      </w:r>
    </w:p>
    <w:p>
      <w:pPr>
        <w:tabs>
          <w:tab w:val="left" w:pos="0"/>
        </w:tabs>
        <w:spacing w:line="440" w:lineRule="exact"/>
        <w:ind w:firstLine="452" w:firstLineChars="200"/>
        <w:rPr>
          <w:rFonts w:ascii="微软雅黑" w:hAnsi="微软雅黑" w:eastAsia="微软雅黑" w:cs="Times New Roman"/>
          <w:color w:val="000000"/>
          <w:spacing w:val="8"/>
          <w:szCs w:val="21"/>
        </w:rPr>
      </w:pPr>
      <w:r>
        <w:rPr>
          <w:rFonts w:ascii="微软雅黑" w:hAnsi="微软雅黑" w:eastAsia="微软雅黑" w:cs="Times New Roman"/>
          <w:color w:val="000000"/>
          <w:spacing w:val="8"/>
          <w:szCs w:val="21"/>
        </w:rPr>
        <w:t xml:space="preserve">2. </w:t>
      </w:r>
      <w:r>
        <w:rPr>
          <w:rFonts w:hint="eastAsia" w:ascii="微软雅黑" w:hAnsi="微软雅黑" w:eastAsia="微软雅黑" w:cs="Times New Roman"/>
          <w:color w:val="000000"/>
          <w:spacing w:val="8"/>
          <w:szCs w:val="21"/>
        </w:rPr>
        <w:t>专家精彩内容解析、学员专题讨论、分组研究；</w:t>
      </w:r>
    </w:p>
    <w:p>
      <w:pPr>
        <w:tabs>
          <w:tab w:val="left" w:pos="0"/>
        </w:tabs>
        <w:spacing w:line="440" w:lineRule="exact"/>
        <w:ind w:firstLine="452" w:firstLineChars="200"/>
        <w:rPr>
          <w:rFonts w:ascii="微软雅黑" w:hAnsi="微软雅黑" w:eastAsia="微软雅黑" w:cs="仿宋_GB2312"/>
          <w:b/>
          <w:bCs/>
          <w:szCs w:val="21"/>
        </w:rPr>
      </w:pPr>
      <w:r>
        <w:rPr>
          <w:rFonts w:ascii="微软雅黑" w:hAnsi="微软雅黑" w:eastAsia="微软雅黑" w:cs="Times New Roman"/>
          <w:color w:val="000000"/>
          <w:spacing w:val="8"/>
          <w:szCs w:val="21"/>
        </w:rPr>
        <w:t xml:space="preserve">3. </w:t>
      </w:r>
      <w:r>
        <w:rPr>
          <w:rFonts w:hint="eastAsia" w:ascii="微软雅黑" w:hAnsi="微软雅黑" w:eastAsia="微软雅黑" w:cs="Times New Roman"/>
          <w:color w:val="000000"/>
          <w:spacing w:val="8"/>
          <w:szCs w:val="21"/>
        </w:rPr>
        <w:t>通过全面知识理解、专题技能掌握和安全实践增强的授课方式。</w:t>
      </w:r>
    </w:p>
    <w:p>
      <w:pPr>
        <w:pStyle w:val="13"/>
        <w:tabs>
          <w:tab w:val="left" w:pos="0"/>
        </w:tabs>
        <w:spacing w:line="440" w:lineRule="exact"/>
        <w:ind w:firstLine="0" w:firstLineChars="0"/>
        <w:rPr>
          <w:rFonts w:ascii="微软雅黑" w:hAnsi="微软雅黑" w:eastAsia="微软雅黑" w:cs="仿宋_GB2312"/>
          <w:b/>
          <w:sz w:val="24"/>
          <w:szCs w:val="24"/>
        </w:rPr>
      </w:pPr>
      <w:r>
        <w:rPr>
          <w:rFonts w:hint="eastAsia" w:ascii="微软雅黑" w:hAnsi="微软雅黑" w:eastAsia="微软雅黑" w:cs="仿宋_GB2312"/>
          <w:b/>
          <w:sz w:val="24"/>
          <w:szCs w:val="24"/>
        </w:rPr>
        <w:t>二、培训目标</w:t>
      </w:r>
    </w:p>
    <w:p>
      <w:pPr>
        <w:spacing w:line="440" w:lineRule="exact"/>
        <w:ind w:firstLine="420" w:firstLineChars="200"/>
        <w:rPr>
          <w:rFonts w:ascii="微软雅黑" w:hAnsi="微软雅黑" w:eastAsia="微软雅黑" w:cs="仿宋_GB2312"/>
          <w:szCs w:val="21"/>
        </w:rPr>
      </w:pPr>
      <w:r>
        <w:rPr>
          <w:rFonts w:ascii="微软雅黑" w:hAnsi="微软雅黑" w:eastAsia="微软雅黑" w:cs="仿宋_GB2312"/>
          <w:szCs w:val="21"/>
        </w:rPr>
        <w:t xml:space="preserve">1. </w:t>
      </w:r>
      <w:r>
        <w:rPr>
          <w:rFonts w:hint="eastAsia" w:ascii="微软雅黑" w:hAnsi="微软雅黑" w:eastAsia="微软雅黑" w:cs="仿宋_GB2312"/>
          <w:szCs w:val="21"/>
        </w:rPr>
        <w:t>掌握企业架构设计方法、国际标准</w:t>
      </w:r>
      <w:r>
        <w:rPr>
          <w:rFonts w:ascii="微软雅黑" w:hAnsi="微软雅黑" w:eastAsia="微软雅黑" w:cs="仿宋_GB2312"/>
          <w:szCs w:val="21"/>
        </w:rPr>
        <w:t>TOGAF</w:t>
      </w:r>
      <w:r>
        <w:rPr>
          <w:rFonts w:hint="eastAsia" w:ascii="微软雅黑" w:hAnsi="微软雅黑" w:eastAsia="微软雅黑" w:cs="仿宋_GB2312"/>
          <w:szCs w:val="21"/>
        </w:rPr>
        <w:t>理论；</w:t>
      </w:r>
    </w:p>
    <w:p>
      <w:pPr>
        <w:spacing w:line="440" w:lineRule="exact"/>
        <w:ind w:firstLine="420" w:firstLineChars="200"/>
        <w:rPr>
          <w:rFonts w:ascii="微软雅黑" w:hAnsi="微软雅黑" w:eastAsia="微软雅黑" w:cs="仿宋_GB2312"/>
          <w:szCs w:val="21"/>
        </w:rPr>
      </w:pPr>
      <w:r>
        <w:rPr>
          <w:rFonts w:ascii="微软雅黑" w:hAnsi="微软雅黑" w:eastAsia="微软雅黑" w:cs="仿宋_GB2312"/>
          <w:szCs w:val="21"/>
        </w:rPr>
        <w:t xml:space="preserve">2. </w:t>
      </w:r>
      <w:r>
        <w:rPr>
          <w:rFonts w:hint="eastAsia" w:ascii="微软雅黑" w:hAnsi="微软雅黑" w:eastAsia="微软雅黑" w:cs="仿宋_GB2312"/>
          <w:szCs w:val="21"/>
        </w:rPr>
        <w:t>学会如何进行业务架构设计、数据架构设计、应用架构设计、技术架构设计；</w:t>
      </w:r>
    </w:p>
    <w:p>
      <w:pPr>
        <w:spacing w:line="440" w:lineRule="exact"/>
        <w:ind w:firstLine="420" w:firstLineChars="200"/>
        <w:rPr>
          <w:rFonts w:ascii="微软雅黑" w:hAnsi="微软雅黑" w:eastAsia="微软雅黑" w:cs="仿宋_GB2312"/>
          <w:szCs w:val="21"/>
        </w:rPr>
      </w:pPr>
      <w:r>
        <w:rPr>
          <w:rFonts w:ascii="微软雅黑" w:hAnsi="微软雅黑" w:eastAsia="微软雅黑" w:cs="仿宋_GB2312"/>
          <w:szCs w:val="21"/>
        </w:rPr>
        <w:t xml:space="preserve">3. </w:t>
      </w:r>
      <w:r>
        <w:rPr>
          <w:rFonts w:hint="eastAsia" w:ascii="微软雅黑" w:hAnsi="微软雅黑" w:eastAsia="微软雅黑" w:cs="仿宋_GB2312"/>
          <w:szCs w:val="21"/>
        </w:rPr>
        <w:t>学会如何进行企业信息化架构迁移规划与项目组合投资计划设计；</w:t>
      </w:r>
    </w:p>
    <w:p>
      <w:pPr>
        <w:spacing w:line="440" w:lineRule="exact"/>
        <w:ind w:firstLine="420" w:firstLineChars="200"/>
        <w:rPr>
          <w:rFonts w:ascii="微软雅黑" w:hAnsi="微软雅黑" w:eastAsia="微软雅黑" w:cs="仿宋_GB2312"/>
          <w:szCs w:val="21"/>
        </w:rPr>
      </w:pPr>
      <w:r>
        <w:rPr>
          <w:rFonts w:ascii="微软雅黑" w:hAnsi="微软雅黑" w:eastAsia="微软雅黑" w:cs="仿宋_GB2312"/>
          <w:szCs w:val="21"/>
        </w:rPr>
        <w:t xml:space="preserve">4. </w:t>
      </w:r>
      <w:r>
        <w:rPr>
          <w:rFonts w:hint="eastAsia" w:ascii="微软雅黑" w:hAnsi="微软雅黑" w:eastAsia="微软雅黑" w:cs="仿宋_GB2312"/>
          <w:szCs w:val="21"/>
        </w:rPr>
        <w:t>掌握如何进行以业务需求为中心的规划设计；</w:t>
      </w:r>
    </w:p>
    <w:p>
      <w:pPr>
        <w:spacing w:line="440" w:lineRule="exact"/>
        <w:ind w:firstLine="420" w:firstLineChars="200"/>
        <w:rPr>
          <w:rFonts w:ascii="微软雅黑" w:hAnsi="微软雅黑" w:eastAsia="微软雅黑" w:cs="仿宋_GB2312"/>
          <w:szCs w:val="21"/>
        </w:rPr>
      </w:pPr>
      <w:r>
        <w:rPr>
          <w:rFonts w:ascii="微软雅黑" w:hAnsi="微软雅黑" w:eastAsia="微软雅黑" w:cs="仿宋_GB2312"/>
          <w:szCs w:val="21"/>
        </w:rPr>
        <w:t xml:space="preserve">5. </w:t>
      </w:r>
      <w:r>
        <w:rPr>
          <w:rFonts w:hint="eastAsia" w:ascii="微软雅黑" w:hAnsi="微软雅黑" w:eastAsia="微软雅黑" w:cs="仿宋_GB2312"/>
          <w:szCs w:val="21"/>
        </w:rPr>
        <w:t>掌握如何进行架构评审与架构治理、变更；</w:t>
      </w:r>
    </w:p>
    <w:p>
      <w:pPr>
        <w:spacing w:line="440" w:lineRule="exact"/>
        <w:ind w:firstLine="420" w:firstLineChars="200"/>
        <w:rPr>
          <w:rFonts w:ascii="微软雅黑" w:hAnsi="微软雅黑" w:eastAsia="微软雅黑" w:cs="仿宋_GB2312"/>
          <w:szCs w:val="21"/>
        </w:rPr>
      </w:pPr>
      <w:r>
        <w:rPr>
          <w:rFonts w:ascii="微软雅黑" w:hAnsi="微软雅黑" w:eastAsia="微软雅黑" w:cs="仿宋_GB2312"/>
          <w:szCs w:val="21"/>
        </w:rPr>
        <w:t xml:space="preserve">6. </w:t>
      </w:r>
      <w:r>
        <w:rPr>
          <w:rFonts w:hint="eastAsia" w:ascii="微软雅黑" w:hAnsi="微软雅黑" w:eastAsia="微软雅黑" w:cs="仿宋_GB2312"/>
          <w:szCs w:val="21"/>
        </w:rPr>
        <w:t>帮助您成为一名鉴定级</w:t>
      </w:r>
      <w:r>
        <w:rPr>
          <w:rFonts w:ascii="微软雅黑" w:hAnsi="微软雅黑" w:eastAsia="微软雅黑" w:cs="仿宋_GB2312"/>
          <w:szCs w:val="21"/>
        </w:rPr>
        <w:t>TOGAF</w:t>
      </w:r>
      <w:r>
        <w:rPr>
          <w:rFonts w:hint="eastAsia" w:ascii="微软雅黑" w:hAnsi="微软雅黑" w:eastAsia="微软雅黑" w:cs="仿宋_GB2312"/>
          <w:szCs w:val="21"/>
        </w:rPr>
        <w:t>架构师并获得全球认可的职业认证；</w:t>
      </w:r>
    </w:p>
    <w:p>
      <w:pPr>
        <w:spacing w:line="440" w:lineRule="exact"/>
        <w:ind w:firstLine="420" w:firstLineChars="200"/>
        <w:rPr>
          <w:rFonts w:ascii="微软雅黑" w:hAnsi="微软雅黑" w:eastAsia="微软雅黑" w:cs="仿宋_GB2312"/>
          <w:szCs w:val="21"/>
        </w:rPr>
      </w:pPr>
      <w:r>
        <w:rPr>
          <w:rFonts w:ascii="微软雅黑" w:hAnsi="微软雅黑" w:eastAsia="微软雅黑" w:cs="仿宋_GB2312"/>
          <w:szCs w:val="21"/>
        </w:rPr>
        <w:t xml:space="preserve">7. </w:t>
      </w:r>
      <w:r>
        <w:rPr>
          <w:rFonts w:hint="eastAsia" w:ascii="微软雅黑" w:hAnsi="微软雅黑" w:eastAsia="微软雅黑" w:cs="仿宋_GB2312"/>
          <w:szCs w:val="21"/>
        </w:rPr>
        <w:t>为您提供一组企业架构工作模板；</w:t>
      </w:r>
    </w:p>
    <w:p>
      <w:pPr>
        <w:tabs>
          <w:tab w:val="left" w:pos="920"/>
        </w:tabs>
        <w:spacing w:line="440" w:lineRule="exact"/>
        <w:ind w:firstLine="420" w:firstLineChars="200"/>
        <w:rPr>
          <w:rFonts w:ascii="微软雅黑" w:hAnsi="微软雅黑" w:eastAsia="微软雅黑" w:cs="仿宋_GB2312"/>
          <w:szCs w:val="21"/>
        </w:rPr>
      </w:pPr>
      <w:r>
        <w:rPr>
          <w:rFonts w:ascii="微软雅黑" w:hAnsi="微软雅黑" w:eastAsia="微软雅黑" w:cs="仿宋_GB2312"/>
          <w:szCs w:val="21"/>
        </w:rPr>
        <w:t xml:space="preserve">8. </w:t>
      </w:r>
      <w:r>
        <w:rPr>
          <w:rFonts w:hint="eastAsia" w:ascii="微软雅黑" w:hAnsi="微软雅黑" w:eastAsia="微软雅黑" w:cs="仿宋_GB2312"/>
          <w:szCs w:val="21"/>
        </w:rPr>
        <w:t>为您提供一组企业架构设计建模的支持工具</w:t>
      </w:r>
      <w:r>
        <w:rPr>
          <w:rFonts w:ascii="微软雅黑" w:hAnsi="微软雅黑" w:eastAsia="微软雅黑" w:cs="仿宋_GB2312"/>
          <w:szCs w:val="21"/>
        </w:rPr>
        <w:t xml:space="preserve"> </w:t>
      </w:r>
      <w:r>
        <w:rPr>
          <w:rFonts w:hint="eastAsia" w:ascii="微软雅黑" w:hAnsi="微软雅黑" w:eastAsia="微软雅黑" w:cs="仿宋_GB2312"/>
          <w:szCs w:val="21"/>
        </w:rPr>
        <w:t>；</w:t>
      </w:r>
    </w:p>
    <w:p>
      <w:pPr>
        <w:spacing w:line="440" w:lineRule="exact"/>
        <w:ind w:firstLine="420" w:firstLineChars="200"/>
        <w:rPr>
          <w:rFonts w:ascii="微软雅黑" w:hAnsi="微软雅黑" w:eastAsia="微软雅黑" w:cs="仿宋_GB2312"/>
          <w:szCs w:val="21"/>
        </w:rPr>
      </w:pPr>
      <w:r>
        <w:rPr>
          <w:rFonts w:ascii="微软雅黑" w:hAnsi="微软雅黑" w:eastAsia="微软雅黑" w:cs="仿宋_GB2312"/>
          <w:szCs w:val="21"/>
        </w:rPr>
        <w:t xml:space="preserve">9. </w:t>
      </w:r>
      <w:r>
        <w:rPr>
          <w:rFonts w:hint="eastAsia" w:ascii="微软雅黑" w:hAnsi="微软雅黑" w:eastAsia="微软雅黑" w:cs="仿宋_GB2312"/>
          <w:szCs w:val="21"/>
        </w:rPr>
        <w:t>为您提供一组</w:t>
      </w:r>
      <w:r>
        <w:rPr>
          <w:rFonts w:ascii="微软雅黑" w:hAnsi="微软雅黑" w:eastAsia="微软雅黑" w:cs="仿宋_GB2312"/>
          <w:szCs w:val="21"/>
        </w:rPr>
        <w:t>500</w:t>
      </w:r>
      <w:r>
        <w:rPr>
          <w:rFonts w:hint="eastAsia" w:ascii="微软雅黑" w:hAnsi="微软雅黑" w:eastAsia="微软雅黑" w:cs="仿宋_GB2312"/>
          <w:szCs w:val="21"/>
        </w:rPr>
        <w:t>强企业的架构案例，包含能源、通信运营商、金融行业等；</w:t>
      </w:r>
    </w:p>
    <w:p>
      <w:pPr>
        <w:spacing w:line="440" w:lineRule="exact"/>
        <w:ind w:firstLine="420" w:firstLineChars="200"/>
        <w:rPr>
          <w:rFonts w:ascii="微软雅黑" w:hAnsi="微软雅黑" w:eastAsia="微软雅黑" w:cs="仿宋_GB2312"/>
          <w:szCs w:val="21"/>
        </w:rPr>
      </w:pPr>
      <w:r>
        <w:rPr>
          <w:rFonts w:ascii="微软雅黑" w:hAnsi="微软雅黑" w:eastAsia="微软雅黑" w:cs="仿宋_GB2312"/>
          <w:szCs w:val="21"/>
        </w:rPr>
        <w:t>10.</w:t>
      </w:r>
      <w:r>
        <w:rPr>
          <w:rFonts w:hint="eastAsia" w:ascii="微软雅黑" w:hAnsi="微软雅黑" w:eastAsia="微软雅黑" w:cs="仿宋_GB2312"/>
          <w:szCs w:val="21"/>
        </w:rPr>
        <w:t>为您分享顶级专家架构规划设计的心得、技巧。</w:t>
      </w:r>
    </w:p>
    <w:p>
      <w:pPr>
        <w:pStyle w:val="13"/>
        <w:tabs>
          <w:tab w:val="left" w:pos="0"/>
        </w:tabs>
        <w:ind w:right="359" w:rightChars="171" w:firstLine="0" w:firstLineChars="0"/>
        <w:rPr>
          <w:rFonts w:ascii="微软雅黑" w:hAnsi="微软雅黑" w:eastAsia="微软雅黑" w:cs="仿宋_GB2312"/>
          <w:b/>
          <w:sz w:val="24"/>
          <w:szCs w:val="24"/>
        </w:rPr>
      </w:pPr>
      <w:r>
        <w:rPr>
          <w:rFonts w:hint="eastAsia" w:ascii="微软雅黑" w:hAnsi="微软雅黑" w:eastAsia="微软雅黑" w:cs="仿宋_GB2312"/>
          <w:b/>
          <w:sz w:val="24"/>
          <w:szCs w:val="24"/>
        </w:rPr>
        <w:t>三、课程大纲</w:t>
      </w:r>
    </w:p>
    <w:p>
      <w:pPr>
        <w:pStyle w:val="13"/>
        <w:numPr>
          <w:ilvl w:val="1"/>
          <w:numId w:val="1"/>
        </w:numPr>
        <w:spacing w:line="300" w:lineRule="exact"/>
        <w:ind w:right="359" w:rightChars="171" w:firstLineChars="0"/>
        <w:rPr>
          <w:rFonts w:ascii="微软雅黑" w:hAnsi="微软雅黑" w:eastAsia="微软雅黑" w:cs="仿宋_GB2312"/>
          <w:b/>
          <w:szCs w:val="21"/>
        </w:rPr>
      </w:pPr>
      <w:r>
        <w:rPr>
          <w:rFonts w:ascii="微软雅黑" w:hAnsi="微软雅黑" w:eastAsia="微软雅黑" w:cs="仿宋_GB2312"/>
          <w:b/>
          <w:szCs w:val="21"/>
        </w:rPr>
        <w:t>TOGAF9</w:t>
      </w:r>
      <w:r>
        <w:rPr>
          <w:rFonts w:hint="eastAsia" w:ascii="微软雅黑" w:hAnsi="微软雅黑" w:eastAsia="微软雅黑" w:cs="仿宋_GB2312"/>
          <w:b/>
          <w:szCs w:val="21"/>
        </w:rPr>
        <w:t>鉴定级标准认证课程</w:t>
      </w:r>
    </w:p>
    <w:tbl>
      <w:tblPr>
        <w:tblStyle w:val="9"/>
        <w:tblW w:w="99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2625"/>
        <w:gridCol w:w="6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shd w:val="clear" w:color="auto" w:fill="E0E0E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时间</w:t>
            </w:r>
          </w:p>
        </w:tc>
        <w:tc>
          <w:tcPr>
            <w:tcW w:w="2625" w:type="dxa"/>
            <w:shd w:val="clear" w:color="auto" w:fill="E0E0E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培训模块</w:t>
            </w:r>
          </w:p>
        </w:tc>
        <w:tc>
          <w:tcPr>
            <w:tcW w:w="6034" w:type="dxa"/>
            <w:shd w:val="clear" w:color="auto" w:fill="E0E0E0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第一天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上午</w:t>
            </w:r>
          </w:p>
        </w:tc>
        <w:tc>
          <w:tcPr>
            <w:tcW w:w="26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b/>
                <w:szCs w:val="21"/>
              </w:rPr>
              <w:t>Part 1 TOGAF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概观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6034" w:type="dxa"/>
          </w:tcPr>
          <w:p>
            <w:pPr>
              <w:pStyle w:val="13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课程简介</w:t>
            </w:r>
            <w:r>
              <w:rPr>
                <w:rFonts w:ascii="微软雅黑" w:hAnsi="微软雅黑" w:eastAsia="微软雅黑"/>
                <w:szCs w:val="21"/>
              </w:rPr>
              <w:t xml:space="preserve"> </w:t>
            </w:r>
          </w:p>
          <w:p>
            <w:pPr>
              <w:pStyle w:val="13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企业架构历史概述</w:t>
            </w:r>
            <w:r>
              <w:rPr>
                <w:rFonts w:ascii="微软雅黑" w:hAnsi="微软雅黑" w:eastAsia="微软雅黑"/>
                <w:szCs w:val="21"/>
              </w:rPr>
              <w:t xml:space="preserve"> </w:t>
            </w:r>
          </w:p>
          <w:p>
            <w:pPr>
              <w:pStyle w:val="13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 xml:space="preserve">TOGAF </w:t>
            </w:r>
            <w:r>
              <w:rPr>
                <w:rFonts w:hint="eastAsia" w:ascii="微软雅黑" w:hAnsi="微软雅黑" w:eastAsia="微软雅黑"/>
                <w:szCs w:val="21"/>
              </w:rPr>
              <w:t>概念剖析</w:t>
            </w:r>
            <w:r>
              <w:rPr>
                <w:rFonts w:ascii="微软雅黑" w:hAnsi="微软雅黑" w:eastAsia="微软雅黑"/>
                <w:szCs w:val="21"/>
              </w:rPr>
              <w:t xml:space="preserve"> </w:t>
            </w:r>
          </w:p>
          <w:p>
            <w:pPr>
              <w:pStyle w:val="13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架构开发方法（</w:t>
            </w:r>
            <w:r>
              <w:rPr>
                <w:rFonts w:ascii="微软雅黑" w:hAnsi="微软雅黑" w:eastAsia="微软雅黑"/>
                <w:szCs w:val="21"/>
              </w:rPr>
              <w:t>ADM)</w:t>
            </w:r>
            <w:r>
              <w:rPr>
                <w:rFonts w:hint="eastAsia" w:ascii="微软雅黑" w:hAnsi="微软雅黑" w:eastAsia="微软雅黑"/>
                <w:szCs w:val="21"/>
              </w:rPr>
              <w:t>简介</w:t>
            </w:r>
            <w:r>
              <w:rPr>
                <w:rFonts w:ascii="微软雅黑" w:hAnsi="微软雅黑" w:eastAsia="微软雅黑"/>
                <w:szCs w:val="21"/>
              </w:rPr>
              <w:t xml:space="preserve"> </w:t>
            </w:r>
          </w:p>
          <w:p>
            <w:pPr>
              <w:pStyle w:val="13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ADM</w:t>
            </w:r>
            <w:r>
              <w:rPr>
                <w:rFonts w:hint="eastAsia" w:ascii="微软雅黑" w:hAnsi="微软雅黑" w:eastAsia="微软雅黑"/>
                <w:szCs w:val="21"/>
              </w:rPr>
              <w:t>最佳实践技术与应用向导</w:t>
            </w:r>
            <w:r>
              <w:rPr>
                <w:rFonts w:ascii="微软雅黑" w:hAnsi="微软雅黑" w:eastAsia="微软雅黑"/>
                <w:szCs w:val="21"/>
              </w:rPr>
              <w:t xml:space="preserve"> </w:t>
            </w:r>
          </w:p>
          <w:p>
            <w:pPr>
              <w:pStyle w:val="13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架构内容框架、元模型</w:t>
            </w:r>
            <w:r>
              <w:rPr>
                <w:rFonts w:ascii="微软雅黑" w:hAnsi="微软雅黑" w:eastAsia="微软雅黑"/>
                <w:szCs w:val="21"/>
              </w:rPr>
              <w:t xml:space="preserve"> </w:t>
            </w:r>
          </w:p>
          <w:p>
            <w:pPr>
              <w:pStyle w:val="13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企业架构连续序列及其作用</w:t>
            </w:r>
          </w:p>
          <w:p>
            <w:pPr>
              <w:pStyle w:val="13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企业架构参考模型</w:t>
            </w:r>
          </w:p>
          <w:p>
            <w:pPr>
              <w:pStyle w:val="13"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基于能力的企业架构规划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6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b/>
                <w:color w:val="000000"/>
                <w:szCs w:val="21"/>
              </w:rPr>
              <w:t>Part 2</w:t>
            </w:r>
            <w:r>
              <w:rPr>
                <w:rFonts w:ascii="微软雅黑" w:hAnsi="微软雅黑" w:eastAsia="微软雅黑"/>
                <w:b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架构开发方法</w:t>
            </w:r>
            <w:r>
              <w:rPr>
                <w:rFonts w:ascii="微软雅黑" w:hAnsi="微软雅黑" w:eastAsia="微软雅黑"/>
                <w:b/>
                <w:color w:val="000000"/>
                <w:szCs w:val="21"/>
              </w:rPr>
              <w:t>-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预备阶段</w:t>
            </w:r>
          </w:p>
        </w:tc>
        <w:tc>
          <w:tcPr>
            <w:tcW w:w="6034" w:type="dxa"/>
          </w:tcPr>
          <w:p>
            <w:pPr>
              <w:pStyle w:val="13"/>
              <w:numPr>
                <w:ilvl w:val="0"/>
                <w:numId w:val="3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预备阶段的工作目标</w:t>
            </w:r>
          </w:p>
          <w:p>
            <w:pPr>
              <w:pStyle w:val="13"/>
              <w:numPr>
                <w:ilvl w:val="0"/>
                <w:numId w:val="3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预备阶段的工作输入</w:t>
            </w:r>
          </w:p>
          <w:p>
            <w:pPr>
              <w:pStyle w:val="13"/>
              <w:numPr>
                <w:ilvl w:val="0"/>
                <w:numId w:val="3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预备阶段的工作方法</w:t>
            </w:r>
          </w:p>
          <w:p>
            <w:pPr>
              <w:pStyle w:val="13"/>
              <w:numPr>
                <w:ilvl w:val="0"/>
                <w:numId w:val="3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预备阶段的工作内容</w:t>
            </w:r>
          </w:p>
          <w:p>
            <w:pPr>
              <w:pStyle w:val="13"/>
              <w:numPr>
                <w:ilvl w:val="0"/>
                <w:numId w:val="3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预备阶段的工作产出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625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b/>
                <w:color w:val="000000"/>
                <w:szCs w:val="21"/>
              </w:rPr>
              <w:t>Part 3</w:t>
            </w:r>
            <w:r>
              <w:rPr>
                <w:rFonts w:ascii="微软雅黑" w:hAnsi="微软雅黑" w:eastAsia="微软雅黑"/>
                <w:b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架构开发方法</w:t>
            </w:r>
            <w:r>
              <w:rPr>
                <w:rFonts w:ascii="微软雅黑" w:hAnsi="微软雅黑" w:eastAsia="微软雅黑"/>
                <w:b/>
                <w:color w:val="000000"/>
                <w:szCs w:val="21"/>
              </w:rPr>
              <w:t>-</w:t>
            </w:r>
          </w:p>
          <w:p>
            <w:pPr>
              <w:autoSpaceDE w:val="0"/>
              <w:autoSpaceDN w:val="0"/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愿景阶段</w:t>
            </w:r>
          </w:p>
        </w:tc>
        <w:tc>
          <w:tcPr>
            <w:tcW w:w="6034" w:type="dxa"/>
          </w:tcPr>
          <w:p>
            <w:pPr>
              <w:pStyle w:val="13"/>
              <w:numPr>
                <w:ilvl w:val="0"/>
                <w:numId w:val="4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愿景阶段的工作目标</w:t>
            </w:r>
          </w:p>
          <w:p>
            <w:pPr>
              <w:pStyle w:val="13"/>
              <w:numPr>
                <w:ilvl w:val="0"/>
                <w:numId w:val="4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愿景阶段的工作输入</w:t>
            </w:r>
          </w:p>
          <w:p>
            <w:pPr>
              <w:pStyle w:val="13"/>
              <w:numPr>
                <w:ilvl w:val="0"/>
                <w:numId w:val="4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愿景阶段的工作方法</w:t>
            </w:r>
          </w:p>
          <w:p>
            <w:pPr>
              <w:pStyle w:val="13"/>
              <w:numPr>
                <w:ilvl w:val="0"/>
                <w:numId w:val="4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愿景阶段的工作内容</w:t>
            </w:r>
          </w:p>
          <w:p>
            <w:pPr>
              <w:pStyle w:val="13"/>
              <w:numPr>
                <w:ilvl w:val="0"/>
                <w:numId w:val="4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愿景阶段的工作产出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第一天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下午</w:t>
            </w:r>
          </w:p>
        </w:tc>
        <w:tc>
          <w:tcPr>
            <w:tcW w:w="262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b/>
                <w:color w:val="000000"/>
                <w:szCs w:val="21"/>
              </w:rPr>
              <w:t>Part 4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架构开发方法</w:t>
            </w:r>
            <w:r>
              <w:rPr>
                <w:rFonts w:ascii="微软雅黑" w:hAnsi="微软雅黑" w:eastAsia="微软雅黑"/>
                <w:b/>
                <w:color w:val="000000"/>
                <w:szCs w:val="21"/>
              </w:rPr>
              <w:t>-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业务架构</w:t>
            </w:r>
          </w:p>
        </w:tc>
        <w:tc>
          <w:tcPr>
            <w:tcW w:w="6034" w:type="dxa"/>
          </w:tcPr>
          <w:p>
            <w:pPr>
              <w:pStyle w:val="13"/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业务架构阶段的工作目标</w:t>
            </w:r>
          </w:p>
          <w:p>
            <w:pPr>
              <w:pStyle w:val="13"/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业务架构阶段的工作输入</w:t>
            </w:r>
          </w:p>
          <w:p>
            <w:pPr>
              <w:pStyle w:val="13"/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业务架构阶段的工作方法</w:t>
            </w:r>
          </w:p>
          <w:p>
            <w:pPr>
              <w:pStyle w:val="13"/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业务架构阶段的工作内容</w:t>
            </w:r>
          </w:p>
          <w:p>
            <w:pPr>
              <w:pStyle w:val="13"/>
              <w:numPr>
                <w:ilvl w:val="0"/>
                <w:numId w:val="5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业务架构阶段的工作产出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62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b/>
                <w:color w:val="000000"/>
                <w:szCs w:val="21"/>
              </w:rPr>
              <w:t>Part 5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架构开发方法</w:t>
            </w:r>
            <w:r>
              <w:rPr>
                <w:rFonts w:ascii="微软雅黑" w:hAnsi="微软雅黑" w:eastAsia="微软雅黑"/>
                <w:b/>
                <w:color w:val="000000"/>
                <w:szCs w:val="21"/>
              </w:rPr>
              <w:t>-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信息系统架构</w:t>
            </w:r>
          </w:p>
        </w:tc>
        <w:tc>
          <w:tcPr>
            <w:tcW w:w="6034" w:type="dxa"/>
          </w:tcPr>
          <w:p>
            <w:pPr>
              <w:pStyle w:val="13"/>
              <w:numPr>
                <w:ilvl w:val="0"/>
                <w:numId w:val="6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信息系统架构的构成：数据架构与应用架构</w:t>
            </w:r>
          </w:p>
          <w:p>
            <w:pPr>
              <w:pStyle w:val="13"/>
              <w:numPr>
                <w:ilvl w:val="0"/>
                <w:numId w:val="6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两种架构的关系</w:t>
            </w:r>
          </w:p>
          <w:p>
            <w:pPr>
              <w:pStyle w:val="13"/>
              <w:numPr>
                <w:ilvl w:val="0"/>
                <w:numId w:val="6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数据架构与应用架构阶段的工作目标</w:t>
            </w:r>
          </w:p>
          <w:p>
            <w:pPr>
              <w:pStyle w:val="13"/>
              <w:numPr>
                <w:ilvl w:val="0"/>
                <w:numId w:val="6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数据架构与应用架构阶段的工作输入</w:t>
            </w:r>
          </w:p>
          <w:p>
            <w:pPr>
              <w:pStyle w:val="13"/>
              <w:numPr>
                <w:ilvl w:val="0"/>
                <w:numId w:val="6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数据架构与应用架构阶段的工作方法</w:t>
            </w:r>
          </w:p>
          <w:p>
            <w:pPr>
              <w:pStyle w:val="13"/>
              <w:numPr>
                <w:ilvl w:val="0"/>
                <w:numId w:val="6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数据架构与应用架构阶段的工作内容</w:t>
            </w:r>
          </w:p>
          <w:p>
            <w:pPr>
              <w:pStyle w:val="13"/>
              <w:numPr>
                <w:ilvl w:val="0"/>
                <w:numId w:val="6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数据架构与应用架构阶段的工作产出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62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ascii="微软雅黑" w:hAnsi="微软雅黑" w:eastAsia="微软雅黑"/>
                <w:b/>
                <w:color w:val="000000"/>
                <w:szCs w:val="21"/>
              </w:rPr>
              <w:t>Part 6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架构开发方法</w:t>
            </w:r>
            <w:r>
              <w:rPr>
                <w:rFonts w:ascii="微软雅黑" w:hAnsi="微软雅黑" w:eastAsia="微软雅黑"/>
                <w:b/>
                <w:color w:val="000000"/>
                <w:szCs w:val="21"/>
              </w:rPr>
              <w:t>-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技术架构</w:t>
            </w:r>
          </w:p>
        </w:tc>
        <w:tc>
          <w:tcPr>
            <w:tcW w:w="6034" w:type="dxa"/>
          </w:tcPr>
          <w:p>
            <w:pPr>
              <w:pStyle w:val="13"/>
              <w:numPr>
                <w:ilvl w:val="0"/>
                <w:numId w:val="7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技术架构阶段的工作目标</w:t>
            </w:r>
          </w:p>
          <w:p>
            <w:pPr>
              <w:pStyle w:val="13"/>
              <w:numPr>
                <w:ilvl w:val="0"/>
                <w:numId w:val="7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技术架构阶段的工作输入</w:t>
            </w:r>
          </w:p>
          <w:p>
            <w:pPr>
              <w:pStyle w:val="13"/>
              <w:numPr>
                <w:ilvl w:val="0"/>
                <w:numId w:val="7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技术架构阶段的工作方法</w:t>
            </w:r>
          </w:p>
          <w:p>
            <w:pPr>
              <w:pStyle w:val="13"/>
              <w:numPr>
                <w:ilvl w:val="0"/>
                <w:numId w:val="7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技术架构阶段的工作内容</w:t>
            </w:r>
          </w:p>
          <w:p>
            <w:pPr>
              <w:pStyle w:val="13"/>
              <w:numPr>
                <w:ilvl w:val="0"/>
                <w:numId w:val="7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技术架构阶段的工作产出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80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第二天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上午</w:t>
            </w:r>
          </w:p>
        </w:tc>
        <w:tc>
          <w:tcPr>
            <w:tcW w:w="262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ascii="微软雅黑" w:hAnsi="微软雅黑" w:eastAsia="微软雅黑"/>
                <w:b/>
                <w:szCs w:val="21"/>
              </w:rPr>
              <w:t xml:space="preserve">Part7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架构开发方法（</w:t>
            </w:r>
            <w:r>
              <w:rPr>
                <w:rFonts w:ascii="微软雅黑" w:hAnsi="微软雅黑" w:eastAsia="微软雅黑"/>
                <w:b/>
                <w:szCs w:val="21"/>
              </w:rPr>
              <w:t>ADM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）其他阶段</w:t>
            </w:r>
          </w:p>
        </w:tc>
        <w:tc>
          <w:tcPr>
            <w:tcW w:w="6034" w:type="dxa"/>
          </w:tcPr>
          <w:p>
            <w:pPr>
              <w:pStyle w:val="13"/>
              <w:numPr>
                <w:ilvl w:val="0"/>
                <w:numId w:val="8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 xml:space="preserve">E </w:t>
            </w:r>
            <w:r>
              <w:rPr>
                <w:rFonts w:hint="eastAsia" w:ascii="微软雅黑" w:hAnsi="微软雅黑" w:eastAsia="微软雅黑"/>
                <w:szCs w:val="21"/>
              </w:rPr>
              <w:t>阶段</w:t>
            </w:r>
            <w:r>
              <w:rPr>
                <w:rFonts w:ascii="微软雅黑" w:hAnsi="微软雅黑" w:eastAsia="微软雅黑"/>
                <w:szCs w:val="21"/>
              </w:rPr>
              <w:t xml:space="preserve">: </w:t>
            </w:r>
            <w:r>
              <w:rPr>
                <w:rFonts w:hint="eastAsia" w:ascii="微软雅黑" w:hAnsi="微软雅黑" w:eastAsia="微软雅黑"/>
                <w:szCs w:val="21"/>
              </w:rPr>
              <w:t>机会及解决方案</w:t>
            </w:r>
            <w:r>
              <w:rPr>
                <w:rFonts w:ascii="微软雅黑" w:hAnsi="微软雅黑" w:eastAsia="微软雅黑"/>
                <w:szCs w:val="21"/>
              </w:rPr>
              <w:t xml:space="preserve"> </w:t>
            </w:r>
          </w:p>
          <w:p>
            <w:pPr>
              <w:pStyle w:val="13"/>
              <w:numPr>
                <w:ilvl w:val="0"/>
                <w:numId w:val="8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 xml:space="preserve">F </w:t>
            </w:r>
            <w:r>
              <w:rPr>
                <w:rFonts w:hint="eastAsia" w:ascii="微软雅黑" w:hAnsi="微软雅黑" w:eastAsia="微软雅黑"/>
                <w:szCs w:val="21"/>
              </w:rPr>
              <w:t>阶段</w:t>
            </w:r>
            <w:r>
              <w:rPr>
                <w:rFonts w:ascii="微软雅黑" w:hAnsi="微软雅黑" w:eastAsia="微软雅黑"/>
                <w:szCs w:val="21"/>
              </w:rPr>
              <w:t xml:space="preserve">: </w:t>
            </w:r>
            <w:r>
              <w:rPr>
                <w:rFonts w:hint="eastAsia" w:ascii="微软雅黑" w:hAnsi="微软雅黑" w:eastAsia="微软雅黑"/>
                <w:szCs w:val="21"/>
              </w:rPr>
              <w:t>迁移规划</w:t>
            </w:r>
            <w:r>
              <w:rPr>
                <w:rFonts w:ascii="微软雅黑" w:hAnsi="微软雅黑" w:eastAsia="微软雅黑"/>
                <w:szCs w:val="21"/>
              </w:rPr>
              <w:t xml:space="preserve"> </w:t>
            </w:r>
          </w:p>
          <w:p>
            <w:pPr>
              <w:pStyle w:val="13"/>
              <w:numPr>
                <w:ilvl w:val="0"/>
                <w:numId w:val="8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 xml:space="preserve">G </w:t>
            </w:r>
            <w:r>
              <w:rPr>
                <w:rFonts w:hint="eastAsia" w:ascii="微软雅黑" w:hAnsi="微软雅黑" w:eastAsia="微软雅黑"/>
                <w:szCs w:val="21"/>
              </w:rPr>
              <w:t>阶段</w:t>
            </w:r>
            <w:r>
              <w:rPr>
                <w:rFonts w:ascii="微软雅黑" w:hAnsi="微软雅黑" w:eastAsia="微软雅黑"/>
                <w:szCs w:val="21"/>
              </w:rPr>
              <w:t xml:space="preserve">: </w:t>
            </w:r>
            <w:r>
              <w:rPr>
                <w:rFonts w:hint="eastAsia" w:ascii="微软雅黑" w:hAnsi="微软雅黑" w:eastAsia="微软雅黑"/>
                <w:szCs w:val="21"/>
              </w:rPr>
              <w:t>实施治理</w:t>
            </w:r>
            <w:r>
              <w:rPr>
                <w:rFonts w:ascii="微软雅黑" w:hAnsi="微软雅黑" w:eastAsia="微软雅黑"/>
                <w:szCs w:val="21"/>
              </w:rPr>
              <w:t xml:space="preserve"> </w:t>
            </w:r>
          </w:p>
          <w:p>
            <w:pPr>
              <w:pStyle w:val="13"/>
              <w:numPr>
                <w:ilvl w:val="0"/>
                <w:numId w:val="8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 xml:space="preserve">H </w:t>
            </w:r>
            <w:r>
              <w:rPr>
                <w:rFonts w:hint="eastAsia" w:ascii="微软雅黑" w:hAnsi="微软雅黑" w:eastAsia="微软雅黑"/>
                <w:szCs w:val="21"/>
              </w:rPr>
              <w:t>阶段</w:t>
            </w:r>
            <w:r>
              <w:rPr>
                <w:rFonts w:ascii="微软雅黑" w:hAnsi="微软雅黑" w:eastAsia="微软雅黑"/>
                <w:szCs w:val="21"/>
              </w:rPr>
              <w:t xml:space="preserve">: </w:t>
            </w:r>
            <w:r>
              <w:rPr>
                <w:rFonts w:hint="eastAsia" w:ascii="微软雅黑" w:hAnsi="微软雅黑" w:eastAsia="微软雅黑"/>
                <w:szCs w:val="21"/>
              </w:rPr>
              <w:t>架构变更管理</w:t>
            </w:r>
            <w:r>
              <w:rPr>
                <w:rFonts w:ascii="微软雅黑" w:hAnsi="微软雅黑" w:eastAsia="微软雅黑"/>
                <w:szCs w:val="21"/>
              </w:rPr>
              <w:t xml:space="preserve"> </w:t>
            </w:r>
          </w:p>
          <w:p>
            <w:pPr>
              <w:pStyle w:val="13"/>
              <w:numPr>
                <w:ilvl w:val="0"/>
                <w:numId w:val="8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架构开发方法（</w:t>
            </w:r>
            <w:r>
              <w:rPr>
                <w:rFonts w:ascii="微软雅黑" w:hAnsi="微软雅黑" w:eastAsia="微软雅黑"/>
                <w:szCs w:val="21"/>
              </w:rPr>
              <w:t xml:space="preserve">ADM) </w:t>
            </w:r>
            <w:r>
              <w:rPr>
                <w:rFonts w:hint="eastAsia" w:ascii="微软雅黑" w:hAnsi="微软雅黑" w:eastAsia="微软雅黑"/>
                <w:szCs w:val="21"/>
              </w:rPr>
              <w:t>需求管理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62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ascii="微软雅黑" w:hAnsi="微软雅黑" w:eastAsia="微软雅黑"/>
                <w:b/>
                <w:szCs w:val="21"/>
              </w:rPr>
              <w:t xml:space="preserve">Part 8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企业架构最佳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实践</w:t>
            </w:r>
          </w:p>
        </w:tc>
        <w:tc>
          <w:tcPr>
            <w:tcW w:w="6034" w:type="dxa"/>
          </w:tcPr>
          <w:p>
            <w:pPr>
              <w:pStyle w:val="13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架构开发方法</w:t>
            </w:r>
            <w:r>
              <w:rPr>
                <w:rFonts w:ascii="微软雅黑" w:hAnsi="微软雅黑" w:eastAsia="微软雅黑"/>
                <w:szCs w:val="21"/>
              </w:rPr>
              <w:t>ADM</w:t>
            </w:r>
            <w:r>
              <w:rPr>
                <w:rFonts w:hint="eastAsia" w:ascii="微软雅黑" w:hAnsi="微软雅黑" w:eastAsia="微软雅黑"/>
                <w:szCs w:val="21"/>
              </w:rPr>
              <w:t>裁剪</w:t>
            </w:r>
          </w:p>
          <w:p>
            <w:pPr>
              <w:pStyle w:val="13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架构原则设计</w:t>
            </w:r>
          </w:p>
          <w:p>
            <w:pPr>
              <w:pStyle w:val="13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架构组织模型</w:t>
            </w:r>
          </w:p>
          <w:p>
            <w:pPr>
              <w:pStyle w:val="13"/>
              <w:numPr>
                <w:ilvl w:val="0"/>
                <w:numId w:val="9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其它共计</w:t>
            </w:r>
            <w:r>
              <w:rPr>
                <w:rFonts w:ascii="微软雅黑" w:hAnsi="微软雅黑" w:eastAsia="微软雅黑"/>
                <w:szCs w:val="21"/>
              </w:rPr>
              <w:t>32</w:t>
            </w:r>
            <w:r>
              <w:rPr>
                <w:rFonts w:hint="eastAsia" w:ascii="微软雅黑" w:hAnsi="微软雅黑" w:eastAsia="微软雅黑"/>
                <w:szCs w:val="21"/>
              </w:rPr>
              <w:t>项最佳实践剖析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62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ascii="微软雅黑" w:hAnsi="微软雅黑" w:eastAsia="微软雅黑"/>
                <w:b/>
                <w:szCs w:val="21"/>
              </w:rPr>
              <w:t xml:space="preserve">Part 9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架构开发方法（</w:t>
            </w:r>
            <w:r>
              <w:rPr>
                <w:rFonts w:ascii="微软雅黑" w:hAnsi="微软雅黑" w:eastAsia="微软雅黑"/>
                <w:b/>
                <w:szCs w:val="21"/>
              </w:rPr>
              <w:t xml:space="preserve">ADM) 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指引</w:t>
            </w:r>
          </w:p>
        </w:tc>
        <w:tc>
          <w:tcPr>
            <w:tcW w:w="6034" w:type="dxa"/>
          </w:tcPr>
          <w:p>
            <w:pPr>
              <w:pStyle w:val="13"/>
              <w:numPr>
                <w:ilvl w:val="0"/>
                <w:numId w:val="10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架构分割</w:t>
            </w:r>
            <w:r>
              <w:rPr>
                <w:rFonts w:ascii="微软雅黑" w:hAnsi="微软雅黑" w:eastAsia="微软雅黑"/>
                <w:szCs w:val="21"/>
              </w:rPr>
              <w:t xml:space="preserve">  </w:t>
            </w:r>
          </w:p>
          <w:p>
            <w:pPr>
              <w:pStyle w:val="13"/>
              <w:numPr>
                <w:ilvl w:val="0"/>
                <w:numId w:val="10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选配架构开发方法（</w:t>
            </w:r>
            <w:r>
              <w:rPr>
                <w:rFonts w:ascii="微软雅黑" w:hAnsi="微软雅黑" w:eastAsia="微软雅黑"/>
                <w:szCs w:val="21"/>
              </w:rPr>
              <w:t>ADM)</w:t>
            </w:r>
            <w:r>
              <w:rPr>
                <w:rFonts w:hint="eastAsia" w:ascii="微软雅黑" w:hAnsi="微软雅黑" w:eastAsia="微软雅黑"/>
                <w:szCs w:val="21"/>
              </w:rPr>
              <w:t>指引</w:t>
            </w:r>
            <w:r>
              <w:rPr>
                <w:rFonts w:ascii="微软雅黑" w:hAnsi="微软雅黑" w:eastAsia="微软雅黑"/>
                <w:szCs w:val="21"/>
              </w:rPr>
              <w:t xml:space="preserve">: </w:t>
            </w:r>
            <w:r>
              <w:rPr>
                <w:rFonts w:hint="eastAsia" w:ascii="微软雅黑" w:hAnsi="微软雅黑" w:eastAsia="微软雅黑"/>
                <w:szCs w:val="21"/>
              </w:rPr>
              <w:t>迭代与等级</w:t>
            </w:r>
            <w:r>
              <w:rPr>
                <w:rFonts w:ascii="微软雅黑" w:hAnsi="微软雅黑" w:eastAsia="微软雅黑"/>
                <w:szCs w:val="21"/>
              </w:rPr>
              <w:t xml:space="preserve"> </w:t>
            </w:r>
          </w:p>
          <w:p>
            <w:pPr>
              <w:pStyle w:val="13"/>
              <w:numPr>
                <w:ilvl w:val="0"/>
                <w:numId w:val="10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选配架构开发方法（</w:t>
            </w:r>
            <w:r>
              <w:rPr>
                <w:rFonts w:ascii="微软雅黑" w:hAnsi="微软雅黑" w:eastAsia="微软雅黑"/>
                <w:szCs w:val="21"/>
              </w:rPr>
              <w:t>ADM)</w:t>
            </w:r>
            <w:r>
              <w:rPr>
                <w:rFonts w:hint="eastAsia" w:ascii="微软雅黑" w:hAnsi="微软雅黑" w:eastAsia="微软雅黑"/>
                <w:szCs w:val="21"/>
              </w:rPr>
              <w:t>指引</w:t>
            </w:r>
            <w:r>
              <w:rPr>
                <w:rFonts w:ascii="微软雅黑" w:hAnsi="微软雅黑" w:eastAsia="微软雅黑"/>
                <w:szCs w:val="21"/>
              </w:rPr>
              <w:t xml:space="preserve">: </w:t>
            </w:r>
            <w:r>
              <w:rPr>
                <w:rFonts w:hint="eastAsia" w:ascii="微软雅黑" w:hAnsi="微软雅黑" w:eastAsia="微软雅黑"/>
                <w:szCs w:val="21"/>
              </w:rPr>
              <w:t>安全</w:t>
            </w:r>
            <w:r>
              <w:rPr>
                <w:rFonts w:ascii="微软雅黑" w:hAnsi="微软雅黑" w:eastAsia="微软雅黑"/>
                <w:szCs w:val="21"/>
              </w:rPr>
              <w:t xml:space="preserve"> </w:t>
            </w:r>
          </w:p>
          <w:p>
            <w:pPr>
              <w:pStyle w:val="13"/>
              <w:numPr>
                <w:ilvl w:val="0"/>
                <w:numId w:val="10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选配架构开发方法（</w:t>
            </w:r>
            <w:r>
              <w:rPr>
                <w:rFonts w:ascii="微软雅黑" w:hAnsi="微软雅黑" w:eastAsia="微软雅黑"/>
                <w:szCs w:val="21"/>
              </w:rPr>
              <w:t>ADM)</w:t>
            </w:r>
            <w:r>
              <w:rPr>
                <w:rFonts w:hint="eastAsia" w:ascii="微软雅黑" w:hAnsi="微软雅黑" w:eastAsia="微软雅黑"/>
                <w:szCs w:val="21"/>
              </w:rPr>
              <w:t>指引</w:t>
            </w:r>
            <w:r>
              <w:rPr>
                <w:rFonts w:ascii="微软雅黑" w:hAnsi="微软雅黑" w:eastAsia="微软雅黑"/>
                <w:szCs w:val="21"/>
              </w:rPr>
              <w:t xml:space="preserve">: </w:t>
            </w:r>
            <w:r>
              <w:rPr>
                <w:rFonts w:hint="eastAsia" w:ascii="微软雅黑" w:hAnsi="微软雅黑" w:eastAsia="微软雅黑"/>
                <w:szCs w:val="21"/>
              </w:rPr>
              <w:t>面向服务架构</w:t>
            </w:r>
            <w:r>
              <w:rPr>
                <w:rFonts w:ascii="微软雅黑" w:hAnsi="微软雅黑" w:eastAsia="微软雅黑"/>
                <w:szCs w:val="21"/>
              </w:rPr>
              <w:t xml:space="preserve"> </w:t>
            </w:r>
            <w:r>
              <w:rPr>
                <w:rFonts w:hint="eastAsia" w:ascii="微软雅黑" w:hAnsi="微软雅黑" w:eastAsia="微软雅黑"/>
                <w:szCs w:val="21"/>
              </w:rPr>
              <w:t>（</w:t>
            </w:r>
            <w:r>
              <w:rPr>
                <w:rFonts w:ascii="微软雅黑" w:hAnsi="微软雅黑" w:eastAsia="微软雅黑"/>
                <w:szCs w:val="21"/>
              </w:rPr>
              <w:t>SOA</w:t>
            </w:r>
            <w:r>
              <w:rPr>
                <w:rFonts w:hint="eastAsia" w:ascii="微软雅黑" w:hAnsi="微软雅黑" w:eastAsia="微软雅黑"/>
                <w:szCs w:val="21"/>
              </w:rPr>
              <w:t>）</w:t>
            </w:r>
          </w:p>
          <w:p>
            <w:pPr>
              <w:pStyle w:val="13"/>
              <w:numPr>
                <w:ilvl w:val="0"/>
                <w:numId w:val="10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架构成熟度模型</w:t>
            </w:r>
            <w:r>
              <w:rPr>
                <w:rFonts w:ascii="微软雅黑" w:hAnsi="微软雅黑" w:eastAsia="微软雅黑"/>
                <w:szCs w:val="21"/>
              </w:rPr>
              <w:t xml:space="preserve"> </w:t>
            </w:r>
          </w:p>
          <w:p>
            <w:pPr>
              <w:pStyle w:val="13"/>
              <w:numPr>
                <w:ilvl w:val="0"/>
                <w:numId w:val="10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架构技能框架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62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ascii="微软雅黑" w:hAnsi="微软雅黑" w:eastAsia="微软雅黑"/>
                <w:b/>
                <w:szCs w:val="21"/>
              </w:rPr>
              <w:t xml:space="preserve">Part 10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架构内容框架与元模型</w:t>
            </w:r>
          </w:p>
        </w:tc>
        <w:tc>
          <w:tcPr>
            <w:tcW w:w="6034" w:type="dxa"/>
          </w:tcPr>
          <w:p>
            <w:pPr>
              <w:pStyle w:val="13"/>
              <w:numPr>
                <w:ilvl w:val="0"/>
                <w:numId w:val="11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架构视点、视图关系</w:t>
            </w:r>
          </w:p>
          <w:p>
            <w:pPr>
              <w:pStyle w:val="13"/>
              <w:numPr>
                <w:ilvl w:val="0"/>
                <w:numId w:val="11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架构交付物、架构制品、架构构建块</w:t>
            </w:r>
          </w:p>
          <w:p>
            <w:pPr>
              <w:pStyle w:val="13"/>
              <w:numPr>
                <w:ilvl w:val="0"/>
                <w:numId w:val="11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架构元模型概念分类：核心加扩展</w:t>
            </w:r>
            <w:r>
              <w:rPr>
                <w:rFonts w:ascii="微软雅黑" w:hAnsi="微软雅黑" w:eastAsia="微软雅黑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第二天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下午</w:t>
            </w:r>
          </w:p>
        </w:tc>
        <w:tc>
          <w:tcPr>
            <w:tcW w:w="262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ascii="微软雅黑" w:hAnsi="微软雅黑" w:eastAsia="微软雅黑"/>
                <w:b/>
                <w:szCs w:val="21"/>
              </w:rPr>
              <w:t xml:space="preserve">Part 11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架构连续序列</w:t>
            </w:r>
          </w:p>
        </w:tc>
        <w:tc>
          <w:tcPr>
            <w:tcW w:w="6034" w:type="dxa"/>
          </w:tcPr>
          <w:p>
            <w:pPr>
              <w:pStyle w:val="13"/>
              <w:numPr>
                <w:ilvl w:val="0"/>
                <w:numId w:val="12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架构抽象性、架构具体性、架构通用性关系</w:t>
            </w:r>
          </w:p>
          <w:p>
            <w:pPr>
              <w:pStyle w:val="13"/>
              <w:numPr>
                <w:ilvl w:val="0"/>
                <w:numId w:val="12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架构连续序列</w:t>
            </w:r>
            <w:r>
              <w:rPr>
                <w:rFonts w:ascii="微软雅黑" w:hAnsi="微软雅黑" w:eastAsia="微软雅黑"/>
                <w:szCs w:val="21"/>
              </w:rPr>
              <w:t>:</w:t>
            </w:r>
            <w:r>
              <w:rPr>
                <w:rFonts w:hint="eastAsia" w:ascii="微软雅黑" w:hAnsi="微软雅黑" w:eastAsia="微软雅黑"/>
                <w:szCs w:val="21"/>
              </w:rPr>
              <w:t>基础级、通用级、行业级、特定组织级构成</w:t>
            </w:r>
          </w:p>
          <w:p>
            <w:pPr>
              <w:pStyle w:val="13"/>
              <w:numPr>
                <w:ilvl w:val="0"/>
                <w:numId w:val="12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架构连续序列作用：架构存储库分类</w:t>
            </w:r>
          </w:p>
          <w:p>
            <w:pPr>
              <w:pStyle w:val="13"/>
              <w:numPr>
                <w:ilvl w:val="0"/>
                <w:numId w:val="12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架构存储库的组成：架构方法、原则、</w:t>
            </w:r>
            <w:r>
              <w:rPr>
                <w:rFonts w:ascii="微软雅黑" w:hAnsi="微软雅黑" w:eastAsia="微软雅黑"/>
                <w:szCs w:val="21"/>
              </w:rPr>
              <w:t>SIB</w:t>
            </w:r>
            <w:r>
              <w:rPr>
                <w:rFonts w:hint="eastAsia" w:ascii="微软雅黑" w:hAnsi="微软雅黑" w:eastAsia="微软雅黑"/>
                <w:szCs w:val="21"/>
              </w:rPr>
              <w:t>、参考等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62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ascii="微软雅黑" w:hAnsi="微软雅黑" w:eastAsia="微软雅黑"/>
                <w:b/>
                <w:szCs w:val="21"/>
              </w:rPr>
              <w:t xml:space="preserve">Part 12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架构参考模型</w:t>
            </w:r>
          </w:p>
        </w:tc>
        <w:tc>
          <w:tcPr>
            <w:tcW w:w="6034" w:type="dxa"/>
          </w:tcPr>
          <w:p>
            <w:pPr>
              <w:pStyle w:val="13"/>
              <w:numPr>
                <w:ilvl w:val="0"/>
                <w:numId w:val="13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架构参考模型概念</w:t>
            </w:r>
          </w:p>
          <w:p>
            <w:pPr>
              <w:pStyle w:val="13"/>
              <w:numPr>
                <w:ilvl w:val="0"/>
                <w:numId w:val="13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技术参考模型</w:t>
            </w:r>
            <w:r>
              <w:rPr>
                <w:rFonts w:ascii="微软雅黑" w:hAnsi="微软雅黑" w:eastAsia="微软雅黑"/>
                <w:szCs w:val="21"/>
              </w:rPr>
              <w:t>TRM</w:t>
            </w:r>
            <w:r>
              <w:rPr>
                <w:rFonts w:hint="eastAsia" w:ascii="微软雅黑" w:hAnsi="微软雅黑" w:eastAsia="微软雅黑"/>
                <w:szCs w:val="21"/>
              </w:rPr>
              <w:t>介绍及其作用剖析</w:t>
            </w:r>
          </w:p>
          <w:p>
            <w:pPr>
              <w:pStyle w:val="13"/>
              <w:numPr>
                <w:ilvl w:val="0"/>
                <w:numId w:val="13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技术参考模型适用范围</w:t>
            </w:r>
          </w:p>
          <w:p>
            <w:pPr>
              <w:pStyle w:val="13"/>
              <w:numPr>
                <w:ilvl w:val="0"/>
                <w:numId w:val="13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集成信息基础设施模型</w:t>
            </w:r>
            <w:r>
              <w:rPr>
                <w:rFonts w:ascii="微软雅黑" w:hAnsi="微软雅黑" w:eastAsia="微软雅黑"/>
                <w:szCs w:val="21"/>
              </w:rPr>
              <w:t>III-RM</w:t>
            </w:r>
            <w:r>
              <w:rPr>
                <w:rFonts w:hint="eastAsia" w:ascii="微软雅黑" w:hAnsi="微软雅黑" w:eastAsia="微软雅黑"/>
                <w:szCs w:val="21"/>
              </w:rPr>
              <w:t>介绍及其作用剖析</w:t>
            </w:r>
          </w:p>
          <w:p>
            <w:pPr>
              <w:pStyle w:val="13"/>
              <w:numPr>
                <w:ilvl w:val="0"/>
                <w:numId w:val="13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ascii="微软雅黑" w:hAnsi="微软雅黑" w:eastAsia="微软雅黑"/>
                <w:szCs w:val="21"/>
              </w:rPr>
              <w:t>III-RM</w:t>
            </w:r>
            <w:r>
              <w:rPr>
                <w:rFonts w:hint="eastAsia" w:ascii="微软雅黑" w:hAnsi="微软雅黑" w:eastAsia="微软雅黑"/>
                <w:szCs w:val="21"/>
              </w:rPr>
              <w:t>参考模型及其作用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62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ascii="微软雅黑" w:hAnsi="微软雅黑" w:eastAsia="微软雅黑"/>
                <w:b/>
                <w:szCs w:val="21"/>
              </w:rPr>
              <w:t xml:space="preserve">Part 13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架构能力规划</w:t>
            </w:r>
          </w:p>
        </w:tc>
        <w:tc>
          <w:tcPr>
            <w:tcW w:w="6034" w:type="dxa"/>
          </w:tcPr>
          <w:p>
            <w:pPr>
              <w:pStyle w:val="13"/>
              <w:numPr>
                <w:ilvl w:val="0"/>
                <w:numId w:val="14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架构业务能力剖析</w:t>
            </w:r>
          </w:p>
          <w:p>
            <w:pPr>
              <w:pStyle w:val="13"/>
              <w:numPr>
                <w:ilvl w:val="0"/>
                <w:numId w:val="14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架构技术能力剖析</w:t>
            </w:r>
          </w:p>
          <w:p>
            <w:pPr>
              <w:pStyle w:val="13"/>
              <w:numPr>
                <w:ilvl w:val="0"/>
                <w:numId w:val="14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架构治理能力剖析</w:t>
            </w:r>
          </w:p>
          <w:p>
            <w:pPr>
              <w:pStyle w:val="13"/>
              <w:numPr>
                <w:ilvl w:val="0"/>
                <w:numId w:val="14"/>
              </w:numPr>
              <w:adjustRightInd w:val="0"/>
              <w:snapToGrid w:val="0"/>
              <w:spacing w:line="400" w:lineRule="exact"/>
              <w:ind w:left="0" w:firstLine="0"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基于能力的架构规划</w:t>
            </w:r>
          </w:p>
        </w:tc>
      </w:tr>
    </w:tbl>
    <w:p>
      <w:pPr>
        <w:pStyle w:val="13"/>
        <w:numPr>
          <w:ilvl w:val="1"/>
          <w:numId w:val="1"/>
        </w:numPr>
        <w:spacing w:line="480" w:lineRule="auto"/>
        <w:ind w:right="359" w:rightChars="171" w:firstLineChars="0"/>
        <w:rPr>
          <w:rFonts w:ascii="微软雅黑" w:hAnsi="微软雅黑" w:eastAsia="微软雅黑" w:cs="仿宋_GB2312"/>
          <w:b/>
          <w:szCs w:val="21"/>
        </w:rPr>
      </w:pPr>
      <w:r>
        <w:rPr>
          <w:rFonts w:ascii="微软雅黑" w:hAnsi="微软雅黑" w:eastAsia="微软雅黑" w:cs="仿宋_GB2312"/>
          <w:b/>
          <w:szCs w:val="21"/>
        </w:rPr>
        <w:t>IT</w:t>
      </w:r>
      <w:r>
        <w:rPr>
          <w:rFonts w:hint="eastAsia" w:ascii="微软雅黑" w:hAnsi="微软雅黑" w:eastAsia="微软雅黑" w:cs="仿宋_GB2312"/>
          <w:b/>
          <w:szCs w:val="21"/>
        </w:rPr>
        <w:t>战略规划与企业架构实践课程</w:t>
      </w:r>
    </w:p>
    <w:tbl>
      <w:tblPr>
        <w:tblStyle w:val="9"/>
        <w:tblW w:w="99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2625"/>
        <w:gridCol w:w="6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shd w:val="clear" w:color="auto" w:fill="E0E0E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时间</w:t>
            </w:r>
          </w:p>
        </w:tc>
        <w:tc>
          <w:tcPr>
            <w:tcW w:w="2625" w:type="dxa"/>
            <w:shd w:val="clear" w:color="auto" w:fill="E0E0E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培训模块</w:t>
            </w:r>
          </w:p>
        </w:tc>
        <w:tc>
          <w:tcPr>
            <w:tcW w:w="6034" w:type="dxa"/>
            <w:shd w:val="clear" w:color="auto" w:fill="E0E0E0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第三天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上午</w:t>
            </w:r>
          </w:p>
        </w:tc>
        <w:tc>
          <w:tcPr>
            <w:tcW w:w="2625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ascii="微软雅黑" w:hAnsi="微软雅黑" w:eastAsia="微软雅黑"/>
                <w:b/>
                <w:szCs w:val="21"/>
              </w:rPr>
              <w:t xml:space="preserve">Part 1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企业架构项目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运作方式</w:t>
            </w:r>
          </w:p>
        </w:tc>
        <w:tc>
          <w:tcPr>
            <w:tcW w:w="6034" w:type="dxa"/>
          </w:tcPr>
          <w:p>
            <w:pPr>
              <w:pStyle w:val="13"/>
              <w:numPr>
                <w:ilvl w:val="0"/>
                <w:numId w:val="15"/>
              </w:numPr>
              <w:spacing w:line="400" w:lineRule="exact"/>
              <w:ind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企业架构设计的总体目标</w:t>
            </w:r>
          </w:p>
          <w:p>
            <w:pPr>
              <w:pStyle w:val="13"/>
              <w:numPr>
                <w:ilvl w:val="0"/>
                <w:numId w:val="15"/>
              </w:numPr>
              <w:spacing w:line="400" w:lineRule="exact"/>
              <w:ind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架构设计发起及其请求说明书</w:t>
            </w:r>
          </w:p>
          <w:p>
            <w:pPr>
              <w:pStyle w:val="13"/>
              <w:numPr>
                <w:ilvl w:val="0"/>
                <w:numId w:val="15"/>
              </w:numPr>
              <w:spacing w:line="400" w:lineRule="exact"/>
              <w:ind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企业架构项目的边界与层次设置</w:t>
            </w:r>
          </w:p>
          <w:p>
            <w:pPr>
              <w:pStyle w:val="13"/>
              <w:numPr>
                <w:ilvl w:val="0"/>
                <w:numId w:val="15"/>
              </w:numPr>
              <w:spacing w:line="400" w:lineRule="exact"/>
              <w:ind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企业架构项目招投标组织方式</w:t>
            </w:r>
          </w:p>
          <w:p>
            <w:pPr>
              <w:pStyle w:val="13"/>
              <w:numPr>
                <w:ilvl w:val="0"/>
                <w:numId w:val="15"/>
              </w:numPr>
              <w:spacing w:line="400" w:lineRule="exact"/>
              <w:ind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企业架构项目的主要阶段划分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625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ascii="微软雅黑" w:hAnsi="微软雅黑" w:eastAsia="微软雅黑"/>
                <w:b/>
                <w:szCs w:val="21"/>
              </w:rPr>
              <w:t xml:space="preserve">Part 2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企业架构项目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的启动阶段</w:t>
            </w:r>
          </w:p>
        </w:tc>
        <w:tc>
          <w:tcPr>
            <w:tcW w:w="6034" w:type="dxa"/>
          </w:tcPr>
          <w:p>
            <w:pPr>
              <w:pStyle w:val="13"/>
              <w:numPr>
                <w:ilvl w:val="0"/>
                <w:numId w:val="16"/>
              </w:numPr>
              <w:spacing w:line="400" w:lineRule="exact"/>
              <w:ind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企业架构项目组织建设</w:t>
            </w:r>
          </w:p>
          <w:p>
            <w:pPr>
              <w:pStyle w:val="13"/>
              <w:numPr>
                <w:ilvl w:val="0"/>
                <w:numId w:val="16"/>
              </w:numPr>
              <w:spacing w:line="400" w:lineRule="exact"/>
              <w:ind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企业架构项目实施方案设计：调研与现状分析、架构总体设计、迁移规划设计、治理与变更管理体系设计</w:t>
            </w:r>
          </w:p>
          <w:p>
            <w:pPr>
              <w:pStyle w:val="13"/>
              <w:numPr>
                <w:ilvl w:val="0"/>
                <w:numId w:val="16"/>
              </w:numPr>
              <w:spacing w:line="400" w:lineRule="exact"/>
              <w:ind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企业架构项目工作计划：组织模型选择、人员角色分配</w:t>
            </w:r>
          </w:p>
          <w:p>
            <w:pPr>
              <w:pStyle w:val="13"/>
              <w:numPr>
                <w:ilvl w:val="0"/>
                <w:numId w:val="16"/>
              </w:numPr>
              <w:spacing w:line="400" w:lineRule="exact"/>
              <w:ind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企业架构项目工作机制建设</w:t>
            </w:r>
          </w:p>
          <w:p>
            <w:pPr>
              <w:pStyle w:val="13"/>
              <w:numPr>
                <w:ilvl w:val="0"/>
                <w:numId w:val="16"/>
              </w:numPr>
              <w:spacing w:line="400" w:lineRule="exact"/>
              <w:ind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实施方案与工作计划评审、发布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第三天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下午</w:t>
            </w:r>
          </w:p>
        </w:tc>
        <w:tc>
          <w:tcPr>
            <w:tcW w:w="2625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ascii="微软雅黑" w:hAnsi="微软雅黑" w:eastAsia="微软雅黑"/>
                <w:b/>
                <w:szCs w:val="21"/>
              </w:rPr>
              <w:t xml:space="preserve">Part 3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企业架构项目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的调研阶段</w:t>
            </w:r>
          </w:p>
        </w:tc>
        <w:tc>
          <w:tcPr>
            <w:tcW w:w="6034" w:type="dxa"/>
          </w:tcPr>
          <w:p>
            <w:pPr>
              <w:pStyle w:val="13"/>
              <w:numPr>
                <w:ilvl w:val="0"/>
                <w:numId w:val="17"/>
              </w:numPr>
              <w:spacing w:line="400" w:lineRule="exact"/>
              <w:ind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企业架构项目的调研计划</w:t>
            </w:r>
          </w:p>
          <w:p>
            <w:pPr>
              <w:pStyle w:val="13"/>
              <w:numPr>
                <w:ilvl w:val="0"/>
                <w:numId w:val="17"/>
              </w:numPr>
              <w:spacing w:line="400" w:lineRule="exact"/>
              <w:ind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访谈提纲、问卷设计</w:t>
            </w:r>
          </w:p>
          <w:p>
            <w:pPr>
              <w:pStyle w:val="13"/>
              <w:numPr>
                <w:ilvl w:val="0"/>
                <w:numId w:val="17"/>
              </w:numPr>
              <w:spacing w:line="400" w:lineRule="exact"/>
              <w:ind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企业架构调研范围设计（四纵四横）：规划、单位现状、系统后评估与先进单位对标；业务、应用、数据与技术等主题。</w:t>
            </w:r>
          </w:p>
          <w:p>
            <w:pPr>
              <w:pStyle w:val="13"/>
              <w:numPr>
                <w:ilvl w:val="0"/>
                <w:numId w:val="17"/>
              </w:numPr>
              <w:spacing w:line="400" w:lineRule="exact"/>
              <w:ind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企业架构项目实施调研与问卷回收</w:t>
            </w:r>
          </w:p>
          <w:p>
            <w:pPr>
              <w:pStyle w:val="13"/>
              <w:numPr>
                <w:ilvl w:val="0"/>
                <w:numId w:val="17"/>
              </w:numPr>
              <w:spacing w:line="400" w:lineRule="exact"/>
              <w:ind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现状分析与分析方法选择</w:t>
            </w:r>
          </w:p>
          <w:p>
            <w:pPr>
              <w:pStyle w:val="13"/>
              <w:numPr>
                <w:ilvl w:val="0"/>
                <w:numId w:val="17"/>
              </w:numPr>
              <w:spacing w:line="400" w:lineRule="exact"/>
              <w:ind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企业架构现状分析说明书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625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ascii="微软雅黑" w:hAnsi="微软雅黑" w:eastAsia="微软雅黑"/>
                <w:b/>
                <w:szCs w:val="21"/>
              </w:rPr>
              <w:t xml:space="preserve">Part 4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总体设计阶段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之业务架构设计</w:t>
            </w:r>
          </w:p>
        </w:tc>
        <w:tc>
          <w:tcPr>
            <w:tcW w:w="6034" w:type="dxa"/>
          </w:tcPr>
          <w:p>
            <w:pPr>
              <w:pStyle w:val="13"/>
              <w:numPr>
                <w:ilvl w:val="0"/>
                <w:numId w:val="17"/>
              </w:numPr>
              <w:spacing w:line="400" w:lineRule="exact"/>
              <w:ind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面向业务领域的业务架构设计</w:t>
            </w:r>
          </w:p>
          <w:p>
            <w:pPr>
              <w:pStyle w:val="13"/>
              <w:numPr>
                <w:ilvl w:val="0"/>
                <w:numId w:val="17"/>
              </w:numPr>
              <w:spacing w:line="400" w:lineRule="exact"/>
              <w:ind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业务价值链设计与定义</w:t>
            </w:r>
          </w:p>
          <w:p>
            <w:pPr>
              <w:pStyle w:val="13"/>
              <w:numPr>
                <w:ilvl w:val="0"/>
                <w:numId w:val="17"/>
              </w:numPr>
              <w:spacing w:line="400" w:lineRule="exact"/>
              <w:ind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业务域划分、业务管理要素识别、业务流程建模</w:t>
            </w:r>
          </w:p>
          <w:p>
            <w:pPr>
              <w:pStyle w:val="13"/>
              <w:numPr>
                <w:ilvl w:val="0"/>
                <w:numId w:val="17"/>
              </w:numPr>
              <w:spacing w:line="400" w:lineRule="exact"/>
              <w:ind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业务架构设计交付与持续评审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第四天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上午</w:t>
            </w:r>
          </w:p>
        </w:tc>
        <w:tc>
          <w:tcPr>
            <w:tcW w:w="2625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ascii="微软雅黑" w:hAnsi="微软雅黑" w:eastAsia="微软雅黑"/>
                <w:b/>
                <w:szCs w:val="21"/>
              </w:rPr>
              <w:t xml:space="preserve">Part5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总体设计阶段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之应用架构设计</w:t>
            </w:r>
          </w:p>
        </w:tc>
        <w:tc>
          <w:tcPr>
            <w:tcW w:w="6034" w:type="dxa"/>
          </w:tcPr>
          <w:p>
            <w:pPr>
              <w:pStyle w:val="13"/>
              <w:numPr>
                <w:ilvl w:val="0"/>
                <w:numId w:val="18"/>
              </w:numPr>
              <w:spacing w:line="400" w:lineRule="exact"/>
              <w:ind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面向业务领域的应用域识别</w:t>
            </w:r>
          </w:p>
          <w:p>
            <w:pPr>
              <w:pStyle w:val="13"/>
              <w:numPr>
                <w:ilvl w:val="0"/>
                <w:numId w:val="18"/>
              </w:numPr>
              <w:spacing w:line="400" w:lineRule="exact"/>
              <w:ind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应用视图设计、应用模块视图设计、应用功能视图设计</w:t>
            </w:r>
          </w:p>
          <w:p>
            <w:pPr>
              <w:pStyle w:val="13"/>
              <w:numPr>
                <w:ilvl w:val="0"/>
                <w:numId w:val="18"/>
              </w:numPr>
              <w:spacing w:line="400" w:lineRule="exact"/>
              <w:ind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应用架构设计交付与持续评审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625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ascii="微软雅黑" w:hAnsi="微软雅黑" w:eastAsia="微软雅黑"/>
                <w:b/>
                <w:szCs w:val="21"/>
              </w:rPr>
              <w:t xml:space="preserve">Part 6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总体设计阶段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之数据架构设计</w:t>
            </w:r>
          </w:p>
        </w:tc>
        <w:tc>
          <w:tcPr>
            <w:tcW w:w="6034" w:type="dxa"/>
          </w:tcPr>
          <w:p>
            <w:pPr>
              <w:pStyle w:val="13"/>
              <w:numPr>
                <w:ilvl w:val="0"/>
                <w:numId w:val="19"/>
              </w:numPr>
              <w:spacing w:line="400" w:lineRule="exact"/>
              <w:ind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面向业务领域的数据主题域识别</w:t>
            </w:r>
          </w:p>
          <w:p>
            <w:pPr>
              <w:pStyle w:val="13"/>
              <w:numPr>
                <w:ilvl w:val="0"/>
                <w:numId w:val="19"/>
              </w:numPr>
              <w:spacing w:line="400" w:lineRule="exact"/>
              <w:ind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数据主题域视图、数据主题视图、数据元模型视图设计</w:t>
            </w:r>
          </w:p>
          <w:p>
            <w:pPr>
              <w:pStyle w:val="13"/>
              <w:numPr>
                <w:ilvl w:val="0"/>
                <w:numId w:val="19"/>
              </w:numPr>
              <w:spacing w:line="400" w:lineRule="exact"/>
              <w:ind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数据架构设计交付与持续评审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625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ascii="微软雅黑" w:hAnsi="微软雅黑" w:eastAsia="微软雅黑"/>
                <w:b/>
                <w:szCs w:val="21"/>
              </w:rPr>
              <w:t xml:space="preserve">Part 7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总体设计阶段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之技术架构设计</w:t>
            </w:r>
          </w:p>
        </w:tc>
        <w:tc>
          <w:tcPr>
            <w:tcW w:w="6034" w:type="dxa"/>
          </w:tcPr>
          <w:p>
            <w:pPr>
              <w:pStyle w:val="13"/>
              <w:numPr>
                <w:ilvl w:val="0"/>
                <w:numId w:val="20"/>
              </w:numPr>
              <w:spacing w:line="400" w:lineRule="exact"/>
              <w:ind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面向应用架构与数据管理的公共技术域识别</w:t>
            </w:r>
          </w:p>
          <w:p>
            <w:pPr>
              <w:pStyle w:val="13"/>
              <w:numPr>
                <w:ilvl w:val="0"/>
                <w:numId w:val="20"/>
              </w:numPr>
              <w:spacing w:line="400" w:lineRule="exact"/>
              <w:ind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技术框架视图、技术组件视图设计</w:t>
            </w:r>
          </w:p>
          <w:p>
            <w:pPr>
              <w:pStyle w:val="13"/>
              <w:numPr>
                <w:ilvl w:val="0"/>
                <w:numId w:val="20"/>
              </w:numPr>
              <w:spacing w:line="400" w:lineRule="exact"/>
              <w:ind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技术架构设计交付与持续评审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第四天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下午</w:t>
            </w:r>
          </w:p>
        </w:tc>
        <w:tc>
          <w:tcPr>
            <w:tcW w:w="262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ascii="微软雅黑" w:hAnsi="微软雅黑" w:eastAsia="微软雅黑"/>
                <w:b/>
                <w:szCs w:val="21"/>
              </w:rPr>
              <w:t xml:space="preserve">Part 8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迁移规划阶段</w:t>
            </w:r>
          </w:p>
          <w:p>
            <w:pPr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之规划设计</w:t>
            </w:r>
          </w:p>
        </w:tc>
        <w:tc>
          <w:tcPr>
            <w:tcW w:w="6034" w:type="dxa"/>
          </w:tcPr>
          <w:p>
            <w:pPr>
              <w:pStyle w:val="13"/>
              <w:numPr>
                <w:ilvl w:val="0"/>
                <w:numId w:val="21"/>
              </w:numPr>
              <w:spacing w:line="400" w:lineRule="exact"/>
              <w:ind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综合差距分析</w:t>
            </w:r>
          </w:p>
          <w:p>
            <w:pPr>
              <w:pStyle w:val="13"/>
              <w:numPr>
                <w:ilvl w:val="0"/>
                <w:numId w:val="21"/>
              </w:numPr>
              <w:spacing w:line="400" w:lineRule="exact"/>
              <w:ind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工作包识别</w:t>
            </w:r>
          </w:p>
          <w:p>
            <w:pPr>
              <w:pStyle w:val="13"/>
              <w:numPr>
                <w:ilvl w:val="0"/>
                <w:numId w:val="21"/>
              </w:numPr>
              <w:spacing w:line="400" w:lineRule="exact"/>
              <w:ind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工作包机会与解决方案设计</w:t>
            </w:r>
          </w:p>
          <w:p>
            <w:pPr>
              <w:pStyle w:val="13"/>
              <w:numPr>
                <w:ilvl w:val="0"/>
                <w:numId w:val="21"/>
              </w:numPr>
              <w:spacing w:line="400" w:lineRule="exact"/>
              <w:ind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工作包优先级与迁移依赖关系设计</w:t>
            </w:r>
          </w:p>
          <w:p>
            <w:pPr>
              <w:pStyle w:val="13"/>
              <w:numPr>
                <w:ilvl w:val="0"/>
                <w:numId w:val="21"/>
              </w:numPr>
              <w:spacing w:line="400" w:lineRule="exact"/>
              <w:ind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迁移计划设计</w:t>
            </w:r>
          </w:p>
          <w:p>
            <w:pPr>
              <w:pStyle w:val="13"/>
              <w:numPr>
                <w:ilvl w:val="0"/>
                <w:numId w:val="21"/>
              </w:numPr>
              <w:spacing w:line="400" w:lineRule="exact"/>
              <w:ind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迁移计划交付与持续评审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</w:p>
        </w:tc>
        <w:tc>
          <w:tcPr>
            <w:tcW w:w="2625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ascii="微软雅黑" w:hAnsi="微软雅黑" w:eastAsia="微软雅黑"/>
                <w:b/>
                <w:szCs w:val="21"/>
              </w:rPr>
              <w:t xml:space="preserve">Part 9 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治理保持阶段</w:t>
            </w:r>
          </w:p>
          <w:p>
            <w:pPr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之治理体系设计</w:t>
            </w:r>
          </w:p>
        </w:tc>
        <w:tc>
          <w:tcPr>
            <w:tcW w:w="6034" w:type="dxa"/>
          </w:tcPr>
          <w:p>
            <w:pPr>
              <w:pStyle w:val="13"/>
              <w:numPr>
                <w:ilvl w:val="0"/>
                <w:numId w:val="22"/>
              </w:numPr>
              <w:spacing w:line="400" w:lineRule="exact"/>
              <w:ind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架构治理组织模型</w:t>
            </w:r>
          </w:p>
          <w:p>
            <w:pPr>
              <w:pStyle w:val="13"/>
              <w:numPr>
                <w:ilvl w:val="0"/>
                <w:numId w:val="22"/>
              </w:numPr>
              <w:spacing w:line="400" w:lineRule="exact"/>
              <w:ind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架构治理工作流程</w:t>
            </w:r>
          </w:p>
          <w:p>
            <w:pPr>
              <w:pStyle w:val="13"/>
              <w:numPr>
                <w:ilvl w:val="0"/>
                <w:numId w:val="22"/>
              </w:numPr>
              <w:spacing w:line="400" w:lineRule="exact"/>
              <w:ind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架构治理工具方法</w:t>
            </w:r>
          </w:p>
          <w:p>
            <w:pPr>
              <w:pStyle w:val="13"/>
              <w:numPr>
                <w:ilvl w:val="0"/>
                <w:numId w:val="22"/>
              </w:numPr>
              <w:spacing w:line="400" w:lineRule="exact"/>
              <w:ind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架构治理其他要素</w:t>
            </w:r>
          </w:p>
          <w:p>
            <w:pPr>
              <w:pStyle w:val="13"/>
              <w:numPr>
                <w:ilvl w:val="0"/>
                <w:numId w:val="22"/>
              </w:numPr>
              <w:spacing w:line="400" w:lineRule="exact"/>
              <w:ind w:firstLineChars="0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治理体系交付与持续评审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280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第五天</w:t>
            </w:r>
          </w:p>
        </w:tc>
        <w:tc>
          <w:tcPr>
            <w:tcW w:w="86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Cs w:val="21"/>
              </w:rPr>
            </w:pPr>
            <w:r>
              <w:rPr>
                <w:rFonts w:hint="eastAsia" w:ascii="微软雅黑" w:hAnsi="微软雅黑" w:eastAsia="微软雅黑"/>
                <w:szCs w:val="21"/>
              </w:rPr>
              <w:t>学习考核与业内经验交流</w:t>
            </w:r>
          </w:p>
        </w:tc>
      </w:tr>
    </w:tbl>
    <w:p>
      <w:pPr>
        <w:pStyle w:val="13"/>
        <w:spacing w:line="480" w:lineRule="auto"/>
        <w:ind w:right="359" w:rightChars="171" w:firstLine="0" w:firstLineChars="0"/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bCs/>
          <w:sz w:val="24"/>
          <w:szCs w:val="24"/>
        </w:rPr>
        <w:t>四、</w:t>
      </w:r>
      <w:r>
        <w:rPr>
          <w:rFonts w:hint="eastAsia" w:ascii="微软雅黑" w:hAnsi="微软雅黑" w:eastAsia="微软雅黑" w:cs="仿宋_GB2312"/>
          <w:b/>
          <w:sz w:val="24"/>
          <w:szCs w:val="24"/>
        </w:rPr>
        <w:t>授课师资</w:t>
      </w:r>
    </w:p>
    <w:p>
      <w:pPr>
        <w:spacing w:line="440" w:lineRule="exact"/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郭老师</w:t>
      </w:r>
      <w:r>
        <w:rPr>
          <w:rFonts w:ascii="微软雅黑" w:hAnsi="微软雅黑" w:eastAsia="微软雅黑"/>
          <w:szCs w:val="21"/>
        </w:rPr>
        <w:t xml:space="preserve">  </w:t>
      </w:r>
      <w:r>
        <w:rPr>
          <w:rFonts w:hint="eastAsia" w:ascii="微软雅黑" w:hAnsi="微软雅黑" w:eastAsia="微软雅黑"/>
          <w:szCs w:val="21"/>
        </w:rPr>
        <w:t>副教授</w:t>
      </w:r>
      <w:r>
        <w:rPr>
          <w:rFonts w:ascii="微软雅黑" w:hAnsi="微软雅黑" w:eastAsia="微软雅黑"/>
          <w:szCs w:val="21"/>
        </w:rPr>
        <w:t xml:space="preserve"> </w:t>
      </w:r>
      <w:r>
        <w:rPr>
          <w:rFonts w:hint="eastAsia" w:ascii="微软雅黑" w:hAnsi="微软雅黑" w:eastAsia="微软雅黑"/>
          <w:szCs w:val="21"/>
        </w:rPr>
        <w:t>中国企业架构与项目管理、需求分析实战派专家。北京航空航天大学软件工程研究所博士毕业，完成了</w:t>
      </w:r>
      <w:r>
        <w:rPr>
          <w:rFonts w:ascii="微软雅黑" w:hAnsi="微软雅黑" w:eastAsia="微软雅黑"/>
          <w:szCs w:val="21"/>
        </w:rPr>
        <w:t>100</w:t>
      </w:r>
      <w:r>
        <w:rPr>
          <w:rFonts w:hint="eastAsia" w:ascii="微软雅黑" w:hAnsi="微软雅黑" w:eastAsia="微软雅黑"/>
          <w:szCs w:val="21"/>
        </w:rPr>
        <w:t>多个大中型项目。有十五年的信息化解决方案设计经验。曾赴香港大学、马来西亚等地进行需求工程、软件项目管理、企业信息化规划领域学术研讨。主要专业特长包括需求工程、软件项目管理、研发过程改进、架构规划等领域。从事软件行业</w:t>
      </w:r>
      <w:r>
        <w:rPr>
          <w:rFonts w:ascii="微软雅黑" w:hAnsi="微软雅黑" w:eastAsia="微软雅黑"/>
          <w:szCs w:val="21"/>
        </w:rPr>
        <w:t>18</w:t>
      </w:r>
      <w:r>
        <w:rPr>
          <w:rFonts w:hint="eastAsia" w:ascii="微软雅黑" w:hAnsi="微软雅黑" w:eastAsia="微软雅黑"/>
          <w:szCs w:val="21"/>
        </w:rPr>
        <w:t>年以上。编著《信息系统开发与项目管理》、《企业架构与</w:t>
      </w:r>
      <w:r>
        <w:rPr>
          <w:rFonts w:ascii="微软雅黑" w:hAnsi="微软雅黑" w:eastAsia="微软雅黑"/>
          <w:szCs w:val="21"/>
        </w:rPr>
        <w:t>IT</w:t>
      </w:r>
      <w:r>
        <w:rPr>
          <w:rFonts w:hint="eastAsia" w:ascii="微软雅黑" w:hAnsi="微软雅黑" w:eastAsia="微软雅黑"/>
          <w:szCs w:val="21"/>
        </w:rPr>
        <w:t>战略设计》等。</w:t>
      </w:r>
      <w:r>
        <w:rPr>
          <w:rFonts w:ascii="微软雅黑" w:hAnsi="微软雅黑" w:eastAsia="微软雅黑"/>
          <w:szCs w:val="21"/>
        </w:rPr>
        <w:t>TOGAF9</w:t>
      </w:r>
      <w:r>
        <w:rPr>
          <w:rFonts w:hint="eastAsia" w:ascii="微软雅黑" w:hAnsi="微软雅黑" w:eastAsia="微软雅黑"/>
          <w:szCs w:val="21"/>
        </w:rPr>
        <w:t>鉴定级题库的建设参与者。</w:t>
      </w:r>
    </w:p>
    <w:p>
      <w:pPr>
        <w:spacing w:line="440" w:lineRule="exact"/>
        <w:ind w:firstLine="420" w:firstLineChars="20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王老师</w:t>
      </w:r>
      <w:r>
        <w:rPr>
          <w:rFonts w:ascii="微软雅黑" w:hAnsi="微软雅黑" w:eastAsia="微软雅黑"/>
          <w:b/>
          <w:szCs w:val="21"/>
        </w:rPr>
        <w:t xml:space="preserve">  </w:t>
      </w:r>
      <w:r>
        <w:rPr>
          <w:rFonts w:hint="eastAsia" w:ascii="微软雅黑" w:hAnsi="微软雅黑" w:eastAsia="微软雅黑"/>
          <w:szCs w:val="21"/>
        </w:rPr>
        <w:t>教授</w:t>
      </w:r>
      <w:r>
        <w:rPr>
          <w:rFonts w:ascii="微软雅黑" w:hAnsi="微软雅黑" w:eastAsia="微软雅黑"/>
          <w:szCs w:val="21"/>
        </w:rPr>
        <w:t xml:space="preserve">  </w:t>
      </w:r>
      <w:r>
        <w:rPr>
          <w:rFonts w:hint="eastAsia" w:ascii="微软雅黑" w:hAnsi="微软雅黑" w:eastAsia="微软雅黑"/>
          <w:szCs w:val="21"/>
        </w:rPr>
        <w:t>国内知名制造业信息化专家，享受国务院特殊津贴。拥有</w:t>
      </w:r>
      <w:r>
        <w:rPr>
          <w:rFonts w:ascii="微软雅黑" w:hAnsi="微软雅黑" w:eastAsia="微软雅黑"/>
          <w:szCs w:val="21"/>
        </w:rPr>
        <w:t>20</w:t>
      </w:r>
      <w:r>
        <w:rPr>
          <w:rFonts w:hint="eastAsia" w:ascii="微软雅黑" w:hAnsi="微软雅黑" w:eastAsia="微软雅黑"/>
          <w:szCs w:val="21"/>
        </w:rPr>
        <w:t>年的信息化总体策划与企业经营管理经营。对信息化需求分析、信息化发展战略规划设计有独特的认知和经验积累。</w:t>
      </w:r>
    </w:p>
    <w:p>
      <w:pPr>
        <w:spacing w:line="440" w:lineRule="exact"/>
        <w:ind w:firstLine="420" w:firstLineChars="200"/>
        <w:rPr>
          <w:rFonts w:hint="eastAsia"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bCs/>
          <w:szCs w:val="21"/>
        </w:rPr>
        <w:t xml:space="preserve">张老师 </w:t>
      </w:r>
      <w:r>
        <w:rPr>
          <w:rFonts w:hint="eastAsia" w:ascii="微软雅黑" w:hAnsi="微软雅黑" w:eastAsia="微软雅黑"/>
          <w:szCs w:val="21"/>
        </w:rPr>
        <w:t xml:space="preserve"> 中央财经大学管理学学士，中国人民大学管理学硕士，现中国人民大学管理学在职博士。微软解决方案设计专家，有多年的部门管理和项目管理经验，完成了20多个大中型项目。主要专业特长包括IT项目管理、软件研发及系统架构、IT服务管理等领域。主讲课程有：TOGAF 、IT项目管理、C#和.Net开发和应用课程、基于VS.Net架构的应用程序开发课程、SQL Server管理和开发课程、工作流引擎和项目实现相关课程、SharePoint开发和管理课程、UML软件设计相关课程。</w:t>
      </w:r>
    </w:p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五、培训费用</w:t>
      </w:r>
    </w:p>
    <w:p>
      <w:pPr>
        <w:tabs>
          <w:tab w:val="left" w:pos="10080"/>
        </w:tabs>
        <w:spacing w:line="440" w:lineRule="exact"/>
        <w:ind w:firstLine="452" w:firstLineChars="200"/>
        <w:rPr>
          <w:rFonts w:ascii="微软雅黑" w:hAnsi="微软雅黑" w:eastAsia="微软雅黑"/>
          <w:color w:val="000000"/>
          <w:spacing w:val="8"/>
          <w:szCs w:val="21"/>
        </w:rPr>
      </w:pPr>
      <w:r>
        <w:rPr>
          <w:rFonts w:hint="eastAsia" w:ascii="微软雅黑" w:hAnsi="微软雅黑" w:eastAsia="微软雅黑"/>
          <w:color w:val="000000"/>
          <w:spacing w:val="8"/>
          <w:szCs w:val="21"/>
        </w:rPr>
        <w:t>培训费</w:t>
      </w:r>
      <w:r>
        <w:rPr>
          <w:rFonts w:ascii="微软雅黑" w:hAnsi="微软雅黑" w:eastAsia="微软雅黑"/>
          <w:color w:val="000000"/>
          <w:spacing w:val="8"/>
          <w:szCs w:val="21"/>
        </w:rPr>
        <w:t>9800</w:t>
      </w:r>
      <w:r>
        <w:rPr>
          <w:rFonts w:hint="eastAsia" w:ascii="微软雅黑" w:hAnsi="微软雅黑" w:eastAsia="微软雅黑"/>
          <w:color w:val="000000"/>
          <w:spacing w:val="8"/>
          <w:szCs w:val="21"/>
        </w:rPr>
        <w:t>元</w:t>
      </w:r>
      <w:r>
        <w:rPr>
          <w:rFonts w:ascii="微软雅黑" w:hAnsi="微软雅黑" w:eastAsia="微软雅黑"/>
          <w:color w:val="000000"/>
          <w:spacing w:val="8"/>
          <w:szCs w:val="21"/>
        </w:rPr>
        <w:t>/</w:t>
      </w:r>
      <w:r>
        <w:rPr>
          <w:rFonts w:hint="eastAsia" w:ascii="微软雅黑" w:hAnsi="微软雅黑" w:eastAsia="微软雅黑"/>
          <w:color w:val="000000"/>
          <w:spacing w:val="8"/>
          <w:szCs w:val="21"/>
        </w:rPr>
        <w:t>人（含培训费、场地费、资料费、学习期间午餐），食宿可统一安排，费用自理。请学员提交二寸彩照</w:t>
      </w:r>
      <w:r>
        <w:rPr>
          <w:rFonts w:ascii="微软雅黑" w:hAnsi="微软雅黑" w:eastAsia="微软雅黑"/>
          <w:color w:val="000000"/>
          <w:spacing w:val="8"/>
          <w:szCs w:val="21"/>
        </w:rPr>
        <w:t>1</w:t>
      </w:r>
      <w:r>
        <w:rPr>
          <w:rFonts w:hint="eastAsia" w:ascii="微软雅黑" w:hAnsi="微软雅黑" w:eastAsia="微软雅黑"/>
          <w:color w:val="000000"/>
          <w:spacing w:val="8"/>
          <w:szCs w:val="21"/>
        </w:rPr>
        <w:t>张（背面注明姓名），身份证复印件一张。</w:t>
      </w:r>
    </w:p>
    <w:p>
      <w:pPr>
        <w:tabs>
          <w:tab w:val="left" w:pos="10080"/>
        </w:tabs>
        <w:spacing w:line="440" w:lineRule="exact"/>
        <w:ind w:firstLine="452" w:firstLineChars="200"/>
        <w:rPr>
          <w:rFonts w:ascii="微软雅黑" w:hAnsi="微软雅黑" w:eastAsia="微软雅黑"/>
          <w:color w:val="000000"/>
          <w:spacing w:val="8"/>
          <w:szCs w:val="21"/>
        </w:rPr>
      </w:pPr>
      <w:r>
        <w:rPr>
          <w:rFonts w:ascii="微软雅黑" w:hAnsi="微软雅黑" w:eastAsia="微软雅黑"/>
          <w:color w:val="000000"/>
          <w:spacing w:val="8"/>
          <w:szCs w:val="21"/>
        </w:rPr>
        <w:t xml:space="preserve">TOGAF9 </w:t>
      </w:r>
      <w:r>
        <w:rPr>
          <w:rFonts w:hint="eastAsia" w:ascii="微软雅黑" w:hAnsi="微软雅黑" w:eastAsia="微软雅黑"/>
          <w:color w:val="000000"/>
          <w:spacing w:val="8"/>
          <w:szCs w:val="21"/>
        </w:rPr>
        <w:t>鉴定级国际认证，报名考试费</w:t>
      </w:r>
      <w:r>
        <w:rPr>
          <w:rFonts w:ascii="微软雅黑" w:hAnsi="微软雅黑" w:eastAsia="微软雅黑"/>
          <w:color w:val="000000"/>
          <w:spacing w:val="8"/>
          <w:szCs w:val="21"/>
        </w:rPr>
        <w:t>3500</w:t>
      </w:r>
      <w:r>
        <w:rPr>
          <w:rFonts w:hint="eastAsia" w:ascii="微软雅黑" w:hAnsi="微软雅黑" w:eastAsia="微软雅黑"/>
          <w:color w:val="000000"/>
          <w:spacing w:val="8"/>
          <w:szCs w:val="21"/>
        </w:rPr>
        <w:t>元，参加</w:t>
      </w:r>
      <w:r>
        <w:rPr>
          <w:rFonts w:ascii="微软雅黑" w:hAnsi="微软雅黑" w:eastAsia="微软雅黑"/>
          <w:color w:val="000000"/>
          <w:spacing w:val="8"/>
          <w:szCs w:val="21"/>
        </w:rPr>
        <w:t>TOGAF9</w:t>
      </w:r>
      <w:r>
        <w:rPr>
          <w:rFonts w:hint="eastAsia" w:ascii="微软雅黑" w:hAnsi="微软雅黑" w:eastAsia="微软雅黑"/>
          <w:color w:val="000000"/>
          <w:spacing w:val="8"/>
          <w:szCs w:val="21"/>
        </w:rPr>
        <w:t>鉴定级认证的考生请注意</w:t>
      </w:r>
      <w:r>
        <w:rPr>
          <w:rFonts w:ascii="微软雅黑" w:hAnsi="微软雅黑" w:eastAsia="微软雅黑"/>
          <w:color w:val="000000"/>
          <w:spacing w:val="8"/>
          <w:szCs w:val="21"/>
        </w:rPr>
        <w:t>:100%</w:t>
      </w:r>
      <w:r>
        <w:rPr>
          <w:rFonts w:hint="eastAsia" w:ascii="微软雅黑" w:hAnsi="微软雅黑" w:eastAsia="微软雅黑"/>
          <w:color w:val="000000"/>
          <w:spacing w:val="8"/>
          <w:szCs w:val="21"/>
        </w:rPr>
        <w:t>包过、全国独一无二。</w:t>
      </w:r>
    </w:p>
    <w:p>
      <w:pPr>
        <w:snapToGrid w:val="0"/>
        <w:spacing w:line="440" w:lineRule="exact"/>
        <w:ind w:firstLine="420" w:firstLineChars="200"/>
        <w:rPr>
          <w:rFonts w:ascii="微软雅黑" w:hAnsi="微软雅黑" w:eastAsia="微软雅黑"/>
          <w:b/>
          <w:color w:val="008080"/>
          <w:szCs w:val="21"/>
        </w:rPr>
      </w:pPr>
      <w:r>
        <w:rPr>
          <w:rFonts w:hint="eastAsia" w:ascii="微软雅黑" w:hAnsi="微软雅黑" w:eastAsia="微软雅黑"/>
          <w:b/>
          <w:color w:val="008080"/>
          <w:szCs w:val="21"/>
        </w:rPr>
        <w:t>培训完成后，报名考证并交费的学员如何考试？</w:t>
      </w:r>
    </w:p>
    <w:p>
      <w:pPr>
        <w:autoSpaceDE w:val="0"/>
        <w:autoSpaceDN w:val="0"/>
        <w:adjustRightInd w:val="0"/>
        <w:snapToGrid w:val="0"/>
        <w:spacing w:line="440" w:lineRule="exact"/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 xml:space="preserve">1. </w:t>
      </w:r>
      <w:r>
        <w:rPr>
          <w:rFonts w:hint="eastAsia" w:ascii="微软雅黑" w:hAnsi="微软雅黑" w:eastAsia="微软雅黑"/>
          <w:szCs w:val="21"/>
        </w:rPr>
        <w:t>为帮学员顺利考取证书，中培课堂统一提供“模考中心”题库练习帐号，题型包含</w:t>
      </w:r>
      <w:r>
        <w:rPr>
          <w:rFonts w:ascii="微软雅黑" w:hAnsi="微软雅黑" w:eastAsia="微软雅黑"/>
          <w:kern w:val="0"/>
          <w:szCs w:val="21"/>
        </w:rPr>
        <w:t>TOGAF9.1</w:t>
      </w:r>
      <w:r>
        <w:rPr>
          <w:rFonts w:hint="eastAsia" w:ascii="微软雅黑" w:hAnsi="微软雅黑" w:eastAsia="微软雅黑"/>
          <w:kern w:val="0"/>
          <w:szCs w:val="21"/>
        </w:rPr>
        <w:t>体系基础（单选题）</w:t>
      </w:r>
      <w:r>
        <w:rPr>
          <w:rFonts w:hint="eastAsia" w:ascii="微软雅黑" w:hAnsi="微软雅黑" w:eastAsia="微软雅黑"/>
          <w:szCs w:val="21"/>
        </w:rPr>
        <w:t>、</w:t>
      </w:r>
      <w:r>
        <w:rPr>
          <w:rFonts w:ascii="微软雅黑" w:hAnsi="微软雅黑" w:eastAsia="微软雅黑"/>
          <w:kern w:val="0"/>
          <w:szCs w:val="21"/>
        </w:rPr>
        <w:t xml:space="preserve">TOGAF9.1 </w:t>
      </w:r>
      <w:r>
        <w:rPr>
          <w:rFonts w:hint="eastAsia" w:ascii="微软雅黑" w:hAnsi="微软雅黑" w:eastAsia="微软雅黑"/>
          <w:kern w:val="0"/>
          <w:szCs w:val="21"/>
        </w:rPr>
        <w:t>认证（情景题）</w:t>
      </w:r>
      <w:r>
        <w:rPr>
          <w:rFonts w:hint="eastAsia" w:ascii="微软雅黑" w:hAnsi="微软雅黑" w:eastAsia="微软雅黑"/>
          <w:szCs w:val="21"/>
        </w:rPr>
        <w:t>。</w:t>
      </w:r>
    </w:p>
    <w:p>
      <w:pPr>
        <w:autoSpaceDE w:val="0"/>
        <w:autoSpaceDN w:val="0"/>
        <w:adjustRightInd w:val="0"/>
        <w:snapToGrid w:val="0"/>
        <w:spacing w:line="440" w:lineRule="exact"/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kern w:val="0"/>
          <w:szCs w:val="21"/>
        </w:rPr>
        <w:t xml:space="preserve">2. </w:t>
      </w:r>
      <w:r>
        <w:rPr>
          <w:rFonts w:hint="eastAsia" w:ascii="微软雅黑" w:hAnsi="微软雅黑" w:eastAsia="微软雅黑"/>
          <w:kern w:val="0"/>
          <w:szCs w:val="21"/>
        </w:rPr>
        <w:t>学员可进入以下网址登记考试，</w:t>
      </w:r>
      <w:r>
        <w:rPr>
          <w:rFonts w:hint="eastAsia" w:ascii="微软雅黑" w:hAnsi="微软雅黑" w:eastAsia="微软雅黑"/>
          <w:color w:val="000000"/>
          <w:kern w:val="0"/>
          <w:szCs w:val="21"/>
        </w:rPr>
        <w:t>考点为</w:t>
      </w:r>
      <w:r>
        <w:rPr>
          <w:rFonts w:hint="eastAsia" w:ascii="微软雅黑" w:hAnsi="微软雅黑" w:eastAsia="微软雅黑" w:cs="Helvetica"/>
          <w:kern w:val="0"/>
          <w:szCs w:val="21"/>
        </w:rPr>
        <w:t>普尔文的全国</w:t>
      </w:r>
      <w:r>
        <w:rPr>
          <w:rFonts w:hint="eastAsia" w:ascii="微软雅黑" w:hAnsi="微软雅黑" w:eastAsia="微软雅黑"/>
          <w:kern w:val="0"/>
          <w:szCs w:val="21"/>
        </w:rPr>
        <w:t>任意一家</w:t>
      </w:r>
      <w:r>
        <w:rPr>
          <w:rFonts w:hint="eastAsia" w:ascii="微软雅黑" w:hAnsi="微软雅黑" w:eastAsia="微软雅黑" w:cs="Helvetica"/>
          <w:kern w:val="0"/>
          <w:szCs w:val="21"/>
        </w:rPr>
        <w:t>考试中心，</w:t>
      </w:r>
      <w:r>
        <w:rPr>
          <w:rFonts w:hint="eastAsia" w:ascii="微软雅黑" w:hAnsi="微软雅黑" w:eastAsia="微软雅黑"/>
          <w:color w:val="000000"/>
          <w:kern w:val="0"/>
          <w:szCs w:val="21"/>
        </w:rPr>
        <w:t>考试形式为网上考试：</w:t>
      </w:r>
    </w:p>
    <w:p>
      <w:pPr>
        <w:autoSpaceDE w:val="0"/>
        <w:autoSpaceDN w:val="0"/>
        <w:adjustRightInd w:val="0"/>
        <w:snapToGrid w:val="0"/>
        <w:spacing w:line="440" w:lineRule="exact"/>
        <w:rPr>
          <w:rFonts w:ascii="微软雅黑" w:hAnsi="微软雅黑" w:eastAsia="微软雅黑"/>
          <w:szCs w:val="21"/>
        </w:rPr>
      </w:pPr>
      <w:r>
        <w:fldChar w:fldCharType="begin"/>
      </w:r>
      <w:r>
        <w:instrText xml:space="preserve"> HYPERLINK "http://www.prometric.com.cn/home.asp?page_id=0" </w:instrText>
      </w:r>
      <w:r>
        <w:fldChar w:fldCharType="separate"/>
      </w:r>
      <w:r>
        <w:rPr>
          <w:rStyle w:val="8"/>
          <w:rFonts w:ascii="微软雅黑" w:hAnsi="微软雅黑" w:eastAsia="微软雅黑" w:cs="Arial"/>
          <w:color w:val="008080"/>
          <w:kern w:val="0"/>
          <w:szCs w:val="21"/>
        </w:rPr>
        <w:t>http://www.prometric.com.cn/home.asp?page_id=0</w:t>
      </w:r>
      <w:r>
        <w:rPr>
          <w:rStyle w:val="8"/>
          <w:rFonts w:ascii="微软雅黑" w:hAnsi="微软雅黑" w:eastAsia="微软雅黑" w:cs="Arial"/>
          <w:color w:val="008080"/>
          <w:kern w:val="0"/>
          <w:szCs w:val="21"/>
        </w:rPr>
        <w:fldChar w:fldCharType="end"/>
      </w:r>
      <w:r>
        <w:rPr>
          <w:rFonts w:ascii="微软雅黑" w:hAnsi="微软雅黑" w:eastAsia="微软雅黑"/>
          <w:kern w:val="0"/>
          <w:szCs w:val="21"/>
        </w:rPr>
        <w:t xml:space="preserve"> </w:t>
      </w:r>
      <w:r>
        <w:rPr>
          <w:rFonts w:hint="eastAsia" w:ascii="微软雅黑" w:hAnsi="微软雅黑" w:eastAsia="微软雅黑"/>
          <w:kern w:val="0"/>
          <w:szCs w:val="21"/>
        </w:rPr>
        <w:t>。</w:t>
      </w:r>
    </w:p>
    <w:p>
      <w:pPr>
        <w:autoSpaceDE w:val="0"/>
        <w:autoSpaceDN w:val="0"/>
        <w:adjustRightInd w:val="0"/>
        <w:snapToGrid w:val="0"/>
        <w:spacing w:line="440" w:lineRule="exact"/>
        <w:ind w:firstLine="420" w:firstLineChars="200"/>
        <w:rPr>
          <w:rFonts w:ascii="微软雅黑" w:hAnsi="微软雅黑" w:eastAsia="微软雅黑"/>
          <w:color w:val="0000FF"/>
          <w:kern w:val="0"/>
          <w:szCs w:val="21"/>
        </w:rPr>
      </w:pPr>
      <w:r>
        <w:rPr>
          <w:rFonts w:ascii="微软雅黑" w:hAnsi="微软雅黑" w:eastAsia="微软雅黑"/>
          <w:kern w:val="0"/>
          <w:szCs w:val="21"/>
        </w:rPr>
        <w:t xml:space="preserve">3. </w:t>
      </w:r>
      <w:r>
        <w:rPr>
          <w:rFonts w:hint="eastAsia" w:ascii="微软雅黑" w:hAnsi="微软雅黑" w:eastAsia="微软雅黑"/>
          <w:kern w:val="0"/>
          <w:szCs w:val="21"/>
        </w:rPr>
        <w:t>获取证书，</w:t>
      </w:r>
      <w:r>
        <w:rPr>
          <w:rFonts w:hint="eastAsia" w:ascii="微软雅黑" w:hAnsi="微软雅黑" w:eastAsia="微软雅黑"/>
          <w:color w:val="000000"/>
          <w:kern w:val="0"/>
          <w:szCs w:val="21"/>
        </w:rPr>
        <w:t>顺利通过考试</w:t>
      </w:r>
      <w:r>
        <w:rPr>
          <w:rFonts w:ascii="微软雅黑" w:hAnsi="微软雅黑" w:eastAsia="微软雅黑"/>
          <w:color w:val="000000"/>
          <w:kern w:val="0"/>
          <w:szCs w:val="21"/>
        </w:rPr>
        <w:t>4</w:t>
      </w:r>
      <w:r>
        <w:rPr>
          <w:rFonts w:hint="eastAsia" w:ascii="微软雅黑" w:hAnsi="微软雅黑" w:eastAsia="微软雅黑"/>
          <w:color w:val="000000"/>
          <w:kern w:val="0"/>
          <w:szCs w:val="21"/>
        </w:rPr>
        <w:t>周左右，统一到</w:t>
      </w:r>
      <w:r>
        <w:rPr>
          <w:rFonts w:ascii="微软雅黑" w:hAnsi="微软雅黑" w:eastAsia="微软雅黑"/>
          <w:kern w:val="0"/>
          <w:szCs w:val="21"/>
        </w:rPr>
        <w:t>The Open Group</w:t>
      </w:r>
      <w:r>
        <w:rPr>
          <w:rFonts w:hint="eastAsia" w:ascii="微软雅黑" w:hAnsi="微软雅黑" w:eastAsia="微软雅黑"/>
          <w:kern w:val="0"/>
          <w:szCs w:val="21"/>
        </w:rPr>
        <w:t>官网登录下面网址打印纸制证书：</w:t>
      </w:r>
      <w:r>
        <w:fldChar w:fldCharType="begin"/>
      </w:r>
      <w:r>
        <w:instrText xml:space="preserve"> HYPERLINK "http://certification.opengroup.org/togaf-atc-register" </w:instrText>
      </w:r>
      <w:r>
        <w:fldChar w:fldCharType="separate"/>
      </w:r>
      <w:r>
        <w:rPr>
          <w:rStyle w:val="8"/>
          <w:rFonts w:ascii="微软雅黑" w:hAnsi="微软雅黑" w:eastAsia="微软雅黑" w:cs="Arial"/>
          <w:color w:val="008080"/>
          <w:kern w:val="0"/>
          <w:szCs w:val="21"/>
        </w:rPr>
        <w:t>http://certification.opengroup.org/togaf-atc-register</w:t>
      </w:r>
      <w:r>
        <w:rPr>
          <w:rStyle w:val="8"/>
          <w:rFonts w:ascii="微软雅黑" w:hAnsi="微软雅黑" w:eastAsia="微软雅黑" w:cs="Arial"/>
          <w:color w:val="008080"/>
          <w:kern w:val="0"/>
          <w:szCs w:val="21"/>
        </w:rPr>
        <w:fldChar w:fldCharType="end"/>
      </w:r>
      <w:r>
        <w:rPr>
          <w:rFonts w:hint="eastAsia" w:ascii="微软雅黑" w:hAnsi="微软雅黑" w:eastAsia="微软雅黑"/>
          <w:color w:val="0000FF"/>
          <w:kern w:val="0"/>
          <w:szCs w:val="21"/>
        </w:rPr>
        <w:t>，</w:t>
      </w:r>
      <w:r>
        <w:rPr>
          <w:rFonts w:hint="eastAsia" w:ascii="微软雅黑" w:hAnsi="微软雅黑" w:eastAsia="微软雅黑"/>
          <w:kern w:val="0"/>
          <w:szCs w:val="21"/>
        </w:rPr>
        <w:t>证书为</w:t>
      </w:r>
      <w:r>
        <w:rPr>
          <w:rFonts w:ascii="微软雅黑" w:hAnsi="微软雅黑" w:eastAsia="微软雅黑"/>
          <w:kern w:val="0"/>
          <w:szCs w:val="21"/>
        </w:rPr>
        <w:t>The Open Group</w:t>
      </w:r>
      <w:r>
        <w:rPr>
          <w:rFonts w:hint="eastAsia" w:ascii="微软雅黑" w:hAnsi="微软雅黑" w:eastAsia="微软雅黑"/>
          <w:kern w:val="0"/>
          <w:szCs w:val="21"/>
        </w:rPr>
        <w:t>总部颁发的全球统一证书。</w:t>
      </w:r>
    </w:p>
    <w:p>
      <w:pPr>
        <w:autoSpaceDE w:val="0"/>
        <w:autoSpaceDN w:val="0"/>
        <w:adjustRightInd w:val="0"/>
        <w:snapToGrid w:val="0"/>
        <w:spacing w:line="440" w:lineRule="exact"/>
        <w:ind w:firstLine="420" w:firstLineChars="200"/>
        <w:rPr>
          <w:rFonts w:ascii="微软雅黑" w:hAnsi="微软雅黑" w:eastAsia="微软雅黑"/>
          <w:kern w:val="0"/>
          <w:szCs w:val="21"/>
        </w:rPr>
      </w:pPr>
      <w:r>
        <w:rPr>
          <w:rFonts w:ascii="微软雅黑" w:hAnsi="微软雅黑" w:eastAsia="微软雅黑"/>
          <w:kern w:val="0"/>
          <w:szCs w:val="21"/>
        </w:rPr>
        <w:t xml:space="preserve">4. </w:t>
      </w:r>
      <w:r>
        <w:rPr>
          <w:rFonts w:hint="eastAsia" w:ascii="微软雅黑" w:hAnsi="微软雅黑" w:eastAsia="微软雅黑" w:cs="Courier New"/>
          <w:szCs w:val="21"/>
        </w:rPr>
        <w:t>考试通过的学员的名字和认证信息也将发布到</w:t>
      </w:r>
      <w:r>
        <w:rPr>
          <w:rFonts w:ascii="微软雅黑" w:hAnsi="微软雅黑" w:eastAsia="微软雅黑"/>
          <w:kern w:val="0"/>
          <w:szCs w:val="21"/>
        </w:rPr>
        <w:t>The Open Group TOGAF</w:t>
      </w:r>
      <w:r>
        <w:rPr>
          <w:rFonts w:hint="eastAsia" w:ascii="微软雅黑" w:hAnsi="微软雅黑" w:eastAsia="微软雅黑" w:cs="Courier New"/>
          <w:szCs w:val="21"/>
        </w:rPr>
        <w:t>认证的官方网站上，并可公开查询。</w:t>
      </w:r>
      <w:r>
        <w:rPr>
          <w:rFonts w:hint="eastAsia" w:ascii="微软雅黑" w:hAnsi="微软雅黑" w:eastAsia="微软雅黑"/>
          <w:kern w:val="0"/>
          <w:szCs w:val="21"/>
        </w:rPr>
        <w:t>考试通过率为</w:t>
      </w:r>
      <w:r>
        <w:rPr>
          <w:rFonts w:ascii="微软雅黑" w:hAnsi="微软雅黑" w:eastAsia="微软雅黑"/>
          <w:kern w:val="0"/>
          <w:szCs w:val="21"/>
        </w:rPr>
        <w:t>95%</w:t>
      </w:r>
      <w:r>
        <w:rPr>
          <w:rFonts w:hint="eastAsia" w:ascii="微软雅黑" w:hAnsi="微软雅黑" w:eastAsia="微软雅黑"/>
          <w:kern w:val="0"/>
          <w:szCs w:val="21"/>
        </w:rPr>
        <w:t>，只要认真按中培辅导学习，保证顺利拿到证书。</w:t>
      </w:r>
    </w:p>
    <w:p>
      <w:pPr>
        <w:autoSpaceDE w:val="0"/>
        <w:autoSpaceDN w:val="0"/>
        <w:adjustRightInd w:val="0"/>
        <w:snapToGrid w:val="0"/>
        <w:spacing w:beforeLines="50"/>
        <w:ind w:firstLine="420" w:firstLineChars="200"/>
        <w:rPr>
          <w:rFonts w:ascii="微软雅黑" w:hAnsi="微软雅黑" w:eastAsia="微软雅黑"/>
          <w:color w:val="000000"/>
          <w:kern w:val="0"/>
          <w:szCs w:val="21"/>
        </w:rPr>
      </w:pPr>
      <w:r>
        <w:rPr>
          <w:rFonts w:ascii="微软雅黑" w:hAnsi="微软雅黑" w:eastAsia="微软雅黑"/>
          <w:color w:val="000000"/>
          <w:kern w:val="0"/>
          <w:szCs w:val="21"/>
        </w:rPr>
        <w:t>5. TOGAF 9</w:t>
      </w:r>
      <w:r>
        <w:rPr>
          <w:rFonts w:hint="eastAsia" w:ascii="微软雅黑" w:hAnsi="微软雅黑" w:eastAsia="微软雅黑"/>
          <w:color w:val="000000"/>
          <w:kern w:val="0"/>
          <w:szCs w:val="21"/>
        </w:rPr>
        <w:t>认证考试科目说明：</w:t>
      </w:r>
    </w:p>
    <w:tbl>
      <w:tblPr>
        <w:tblStyle w:val="9"/>
        <w:tblW w:w="974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8"/>
        <w:gridCol w:w="2203"/>
        <w:gridCol w:w="1316"/>
        <w:gridCol w:w="1429"/>
        <w:gridCol w:w="1291"/>
        <w:gridCol w:w="15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948" w:type="dxa"/>
            <w:shd w:val="clear" w:color="auto" w:fill="E0E0E0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Cs w:val="21"/>
              </w:rPr>
              <w:t>认证级别</w:t>
            </w:r>
          </w:p>
        </w:tc>
        <w:tc>
          <w:tcPr>
            <w:tcW w:w="2203" w:type="dxa"/>
            <w:shd w:val="clear" w:color="auto" w:fill="E0E0E0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Cs w:val="21"/>
              </w:rPr>
              <w:t>需考试科目</w:t>
            </w:r>
          </w:p>
        </w:tc>
        <w:tc>
          <w:tcPr>
            <w:tcW w:w="1316" w:type="dxa"/>
            <w:shd w:val="clear" w:color="auto" w:fill="E0E0E0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Cs w:val="21"/>
              </w:rPr>
              <w:t>考试题型</w:t>
            </w:r>
          </w:p>
        </w:tc>
        <w:tc>
          <w:tcPr>
            <w:tcW w:w="1429" w:type="dxa"/>
            <w:shd w:val="clear" w:color="auto" w:fill="E0E0E0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Cs w:val="21"/>
              </w:rPr>
              <w:t>考试时长</w:t>
            </w:r>
          </w:p>
        </w:tc>
        <w:tc>
          <w:tcPr>
            <w:tcW w:w="1291" w:type="dxa"/>
            <w:shd w:val="clear" w:color="auto" w:fill="E0E0E0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Cs w:val="21"/>
              </w:rPr>
              <w:t>题量</w:t>
            </w:r>
          </w:p>
        </w:tc>
        <w:tc>
          <w:tcPr>
            <w:tcW w:w="1560" w:type="dxa"/>
            <w:shd w:val="clear" w:color="auto" w:fill="E0E0E0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Cs w:val="21"/>
              </w:rPr>
              <w:t>通过最低分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948" w:type="dxa"/>
            <w:vMerge w:val="restart"/>
            <w:vAlign w:val="center"/>
          </w:tcPr>
          <w:p>
            <w:pPr>
              <w:widowControl/>
              <w:snapToGrid w:val="0"/>
              <w:ind w:firstLine="105" w:firstLineChars="50"/>
              <w:jc w:val="center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TOGAF9</w:t>
            </w:r>
          </w:p>
          <w:p>
            <w:pPr>
              <w:widowControl/>
              <w:snapToGrid w:val="0"/>
              <w:ind w:firstLine="105" w:firstLineChars="50"/>
              <w:jc w:val="center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鉴定级认证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snapToGrid w:val="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TOGAF9.1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体系基础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单选题</w:t>
            </w:r>
          </w:p>
        </w:tc>
        <w:tc>
          <w:tcPr>
            <w:tcW w:w="1429" w:type="dxa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60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分钟</w:t>
            </w:r>
          </w:p>
        </w:tc>
        <w:tc>
          <w:tcPr>
            <w:tcW w:w="1291" w:type="dxa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40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55%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，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22/40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948" w:type="dxa"/>
            <w:vMerge w:val="continue"/>
            <w:vAlign w:val="center"/>
          </w:tcPr>
          <w:p>
            <w:pPr>
              <w:widowControl/>
              <w:snapToGrid w:val="0"/>
              <w:ind w:firstLine="105" w:firstLineChars="50"/>
              <w:jc w:val="center"/>
              <w:rPr>
                <w:rFonts w:ascii="微软雅黑" w:hAnsi="微软雅黑" w:eastAsia="微软雅黑"/>
                <w:kern w:val="0"/>
                <w:szCs w:val="21"/>
              </w:rPr>
            </w:pPr>
          </w:p>
        </w:tc>
        <w:tc>
          <w:tcPr>
            <w:tcW w:w="2203" w:type="dxa"/>
            <w:vAlign w:val="center"/>
          </w:tcPr>
          <w:p>
            <w:pPr>
              <w:widowControl/>
              <w:snapToGrid w:val="0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 xml:space="preserve">TOGAF9.1 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认证</w:t>
            </w:r>
          </w:p>
        </w:tc>
        <w:tc>
          <w:tcPr>
            <w:tcW w:w="131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/>
                <w:kern w:val="0"/>
                <w:szCs w:val="21"/>
              </w:rPr>
              <w:t>情景题</w:t>
            </w:r>
          </w:p>
        </w:tc>
        <w:tc>
          <w:tcPr>
            <w:tcW w:w="1429" w:type="dxa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90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分钟</w:t>
            </w:r>
          </w:p>
        </w:tc>
        <w:tc>
          <w:tcPr>
            <w:tcW w:w="1291" w:type="dxa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8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微软雅黑" w:hAnsi="微软雅黑" w:eastAsia="微软雅黑"/>
                <w:kern w:val="0"/>
                <w:szCs w:val="21"/>
              </w:rPr>
            </w:pPr>
            <w:r>
              <w:rPr>
                <w:rFonts w:ascii="微软雅黑" w:hAnsi="微软雅黑" w:eastAsia="微软雅黑"/>
                <w:kern w:val="0"/>
                <w:szCs w:val="21"/>
              </w:rPr>
              <w:t>60%</w:t>
            </w:r>
            <w:r>
              <w:rPr>
                <w:rFonts w:hint="eastAsia" w:ascii="微软雅黑" w:hAnsi="微软雅黑" w:eastAsia="微软雅黑"/>
                <w:kern w:val="0"/>
                <w:szCs w:val="21"/>
              </w:rPr>
              <w:t>，</w:t>
            </w:r>
            <w:r>
              <w:rPr>
                <w:rFonts w:ascii="微软雅黑" w:hAnsi="微软雅黑" w:eastAsia="微软雅黑"/>
                <w:kern w:val="0"/>
                <w:szCs w:val="21"/>
              </w:rPr>
              <w:t>24/40</w:t>
            </w:r>
          </w:p>
        </w:tc>
      </w:tr>
    </w:tbl>
    <w:p>
      <w:pPr>
        <w:rPr>
          <w:rFonts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六、报名回执</w:t>
      </w:r>
    </w:p>
    <w:tbl>
      <w:tblPr>
        <w:tblStyle w:val="9"/>
        <w:tblW w:w="97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994"/>
        <w:gridCol w:w="814"/>
        <w:gridCol w:w="2305"/>
        <w:gridCol w:w="2188"/>
        <w:gridCol w:w="1021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单位名称</w:t>
            </w:r>
          </w:p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(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开发票名称</w:t>
            </w: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46" w:type="dxa"/>
            <w:gridSpan w:val="5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快递或通讯地址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邮编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410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学员姓名</w:t>
            </w:r>
          </w:p>
        </w:tc>
        <w:tc>
          <w:tcPr>
            <w:tcW w:w="994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职务</w:t>
            </w:r>
          </w:p>
        </w:tc>
        <w:tc>
          <w:tcPr>
            <w:tcW w:w="814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2305" w:type="dxa"/>
            <w:vAlign w:val="center"/>
          </w:tcPr>
          <w:p>
            <w:pPr>
              <w:tabs>
                <w:tab w:val="left" w:pos="360"/>
                <w:tab w:val="left" w:pos="540"/>
              </w:tabs>
              <w:ind w:firstLine="270" w:firstLineChars="150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Email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地址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1021" w:type="dxa"/>
            <w:vAlign w:val="center"/>
          </w:tcPr>
          <w:p>
            <w:pPr>
              <w:tabs>
                <w:tab w:val="left" w:pos="360"/>
                <w:tab w:val="left" w:pos="540"/>
              </w:tabs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培训地点</w:t>
            </w:r>
          </w:p>
        </w:tc>
        <w:tc>
          <w:tcPr>
            <w:tcW w:w="1018" w:type="dxa"/>
            <w:vAlign w:val="center"/>
          </w:tcPr>
          <w:p>
            <w:pPr>
              <w:tabs>
                <w:tab w:val="left" w:pos="360"/>
                <w:tab w:val="left" w:pos="540"/>
              </w:tabs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410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1410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1410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1410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2188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>
            <w:pPr>
              <w:tabs>
                <w:tab w:val="left" w:pos="360"/>
                <w:tab w:val="left" w:pos="540"/>
              </w:tabs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410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汇款</w:t>
            </w:r>
          </w:p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方式</w:t>
            </w:r>
          </w:p>
        </w:tc>
        <w:tc>
          <w:tcPr>
            <w:tcW w:w="6301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户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名：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北京中培伟业管理咨询有限公司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开户行：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北京农村商业银行卢沟桥支行营业部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帐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号：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 xml:space="preserve"> 0203 0101 0300 0033 172</w:t>
            </w:r>
          </w:p>
        </w:tc>
        <w:tc>
          <w:tcPr>
            <w:tcW w:w="2039" w:type="dxa"/>
            <w:gridSpan w:val="2"/>
            <w:vMerge w:val="restart"/>
            <w:vAlign w:val="center"/>
          </w:tcPr>
          <w:p>
            <w:pPr>
              <w:widowControl/>
              <w:ind w:firstLine="180" w:firstLineChars="100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学员签字或盖章</w:t>
            </w:r>
          </w:p>
          <w:p>
            <w:pPr>
              <w:pStyle w:val="2"/>
              <w:tabs>
                <w:tab w:val="left" w:pos="180"/>
              </w:tabs>
              <w:snapToGrid w:val="0"/>
              <w:spacing w:after="0" w:line="240" w:lineRule="auto"/>
              <w:ind w:left="0" w:leftChars="0" w:right="-3990" w:rightChars="-190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  <w:p>
            <w:pPr>
              <w:pStyle w:val="2"/>
              <w:tabs>
                <w:tab w:val="left" w:pos="180"/>
              </w:tabs>
              <w:snapToGrid w:val="0"/>
              <w:spacing w:after="0" w:line="240" w:lineRule="auto"/>
              <w:ind w:left="0" w:leftChars="0" w:right="-3990" w:rightChars="-1900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  <w:p>
            <w:pPr>
              <w:pStyle w:val="2"/>
              <w:tabs>
                <w:tab w:val="left" w:pos="180"/>
              </w:tabs>
              <w:snapToGrid w:val="0"/>
              <w:spacing w:after="0" w:line="240" w:lineRule="auto"/>
              <w:ind w:left="0" w:leftChars="0" w:right="-3990" w:rightChars="-1900"/>
              <w:rPr>
                <w:rFonts w:ascii="微软雅黑" w:hAnsi="微软雅黑" w:eastAsia="微软雅黑"/>
                <w:sz w:val="18"/>
                <w:szCs w:val="18"/>
              </w:rPr>
            </w:pPr>
          </w:p>
          <w:p>
            <w:pPr>
              <w:pStyle w:val="2"/>
              <w:tabs>
                <w:tab w:val="left" w:pos="180"/>
              </w:tabs>
              <w:snapToGrid w:val="0"/>
              <w:spacing w:after="0" w:line="240" w:lineRule="auto"/>
              <w:ind w:left="0" w:leftChars="0" w:right="-3990" w:rightChars="-1900" w:firstLine="180" w:firstLineChars="10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（此表复制有效）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6301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户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名：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中培创成（北京）科技有限公司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开户行：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建设银行北京生命园支行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帐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号：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 xml:space="preserve"> 1100 1048 6000 5250 6592</w:t>
            </w:r>
          </w:p>
        </w:tc>
        <w:tc>
          <w:tcPr>
            <w:tcW w:w="2039" w:type="dxa"/>
            <w:gridSpan w:val="2"/>
            <w:vMerge w:val="continue"/>
            <w:vAlign w:val="center"/>
          </w:tcPr>
          <w:p>
            <w:pPr>
              <w:widowControl/>
              <w:ind w:left="56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  <w:jc w:val="center"/>
        </w:trPr>
        <w:tc>
          <w:tcPr>
            <w:tcW w:w="1410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  <w:tc>
          <w:tcPr>
            <w:tcW w:w="6301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户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名：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北京高培伟业管理咨询有限公司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开户行：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中国工商银行股份有限公司北京菜市口支行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帐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微软雅黑" w:hAnsi="微软雅黑" w:eastAsia="微软雅黑"/>
                <w:kern w:val="0"/>
                <w:sz w:val="18"/>
                <w:szCs w:val="18"/>
              </w:rPr>
              <w:t>号：</w:t>
            </w:r>
            <w:r>
              <w:rPr>
                <w:rFonts w:ascii="微软雅黑" w:hAnsi="微软雅黑" w:eastAsia="微软雅黑"/>
                <w:kern w:val="0"/>
                <w:sz w:val="18"/>
                <w:szCs w:val="18"/>
              </w:rPr>
              <w:t xml:space="preserve"> 0200 0018 0920 0152 881</w:t>
            </w:r>
          </w:p>
        </w:tc>
        <w:tc>
          <w:tcPr>
            <w:tcW w:w="2039" w:type="dxa"/>
            <w:gridSpan w:val="2"/>
            <w:vMerge w:val="continue"/>
            <w:vAlign w:val="center"/>
          </w:tcPr>
          <w:p>
            <w:pPr>
              <w:widowControl/>
              <w:ind w:left="56"/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</w:tr>
    </w:tbl>
    <w:p>
      <w:pPr>
        <w:pStyle w:val="13"/>
        <w:numPr>
          <w:ilvl w:val="0"/>
          <w:numId w:val="23"/>
        </w:numPr>
        <w:tabs>
          <w:tab w:val="left" w:pos="720"/>
        </w:tabs>
        <w:spacing w:line="480" w:lineRule="auto"/>
        <w:ind w:right="359" w:rightChars="171" w:firstLine="0" w:firstLineChars="0"/>
        <w:rPr>
          <w:rFonts w:hint="eastAsia" w:ascii="微软雅黑" w:hAnsi="微软雅黑" w:eastAsia="微软雅黑" w:cs="仿宋_GB2312"/>
          <w:b/>
          <w:sz w:val="24"/>
          <w:szCs w:val="24"/>
        </w:rPr>
      </w:pPr>
      <w:r>
        <w:rPr>
          <w:rFonts w:hint="eastAsia" w:ascii="微软雅黑" w:hAnsi="微软雅黑" w:eastAsia="微软雅黑" w:cs="仿宋_GB2312"/>
          <w:b/>
          <w:sz w:val="24"/>
          <w:szCs w:val="24"/>
        </w:rPr>
        <w:t>联系方式</w:t>
      </w:r>
    </w:p>
    <w:p>
      <w:pPr>
        <w:spacing w:line="480" w:lineRule="exact"/>
        <w:rPr>
          <w:rFonts w:ascii="楷体" w:hAnsi="楷体" w:eastAsia="楷体"/>
          <w:b/>
          <w:bCs/>
          <w:color w:val="0070C0"/>
          <w:sz w:val="28"/>
        </w:rPr>
      </w:pPr>
      <w:r>
        <w:pict>
          <v:shape id="图片 29" o:spid="_x0000_s1026" o:spt="75" alt="未标题-2" type="#_x0000_t75" style="position:absolute;left:0pt;margin-left:367.5pt;margin-top:18.15pt;height:116.6pt;width:125.5pt;z-index:-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rPr>
          <w:rFonts w:hint="eastAsia" w:ascii="楷体" w:hAnsi="楷体" w:eastAsia="楷体"/>
          <w:b/>
          <w:bCs/>
          <w:color w:val="0070C0"/>
          <w:sz w:val="28"/>
        </w:rPr>
        <w:t>课程顾问：</w:t>
      </w:r>
      <w:r>
        <w:rPr>
          <w:rFonts w:hint="eastAsia" w:ascii="楷体" w:hAnsi="楷体" w:eastAsia="楷体"/>
          <w:b/>
          <w:bCs/>
          <w:color w:val="0070C0"/>
          <w:sz w:val="28"/>
          <w:lang w:val="en-US" w:eastAsia="zh-CN"/>
        </w:rPr>
        <w:t xml:space="preserve">  汪洋  </w:t>
      </w:r>
      <w:r>
        <w:rPr>
          <w:rFonts w:hint="eastAsia" w:ascii="楷体" w:hAnsi="楷体" w:eastAsia="楷体"/>
          <w:b/>
          <w:bCs/>
          <w:color w:val="0070C0"/>
          <w:sz w:val="28"/>
        </w:rPr>
        <w:t xml:space="preserve">  QQ:</w:t>
      </w:r>
      <w:r>
        <w:rPr>
          <w:rFonts w:hint="eastAsia" w:ascii="楷体" w:hAnsi="楷体" w:eastAsia="楷体"/>
          <w:b/>
          <w:bCs/>
          <w:color w:val="0070C0"/>
          <w:sz w:val="28"/>
          <w:lang w:val="en-US" w:eastAsia="zh-CN"/>
        </w:rPr>
        <w:t xml:space="preserve">  544371191</w:t>
      </w:r>
    </w:p>
    <w:p>
      <w:pPr>
        <w:spacing w:line="480" w:lineRule="exact"/>
        <w:rPr>
          <w:rFonts w:hint="eastAsia" w:ascii="楷体" w:hAnsi="楷体" w:eastAsia="楷体"/>
          <w:b/>
          <w:bCs/>
          <w:color w:val="0070C0"/>
          <w:sz w:val="28"/>
        </w:rPr>
      </w:pPr>
      <w:r>
        <w:rPr>
          <w:rFonts w:hint="eastAsia" w:ascii="楷体" w:hAnsi="楷体" w:eastAsia="楷体"/>
          <w:b/>
          <w:bCs/>
          <w:color w:val="0070C0"/>
          <w:sz w:val="28"/>
        </w:rPr>
        <w:t xml:space="preserve">手机： </w:t>
      </w:r>
      <w:r>
        <w:rPr>
          <w:rFonts w:hint="eastAsia" w:ascii="楷体" w:hAnsi="楷体" w:eastAsia="楷体"/>
          <w:b/>
          <w:bCs/>
          <w:color w:val="0070C0"/>
          <w:sz w:val="28"/>
          <w:lang w:val="en-US" w:eastAsia="zh-CN"/>
        </w:rPr>
        <w:t xml:space="preserve">13164235168     </w:t>
      </w:r>
    </w:p>
    <w:p>
      <w:pPr>
        <w:spacing w:line="480" w:lineRule="exact"/>
        <w:rPr>
          <w:rFonts w:hint="eastAsia" w:ascii="楷体" w:hAnsi="楷体" w:eastAsia="楷体"/>
          <w:b/>
          <w:bCs/>
          <w:color w:val="0070C0"/>
          <w:sz w:val="28"/>
        </w:rPr>
      </w:pPr>
      <w:bookmarkStart w:id="0" w:name="_GoBack"/>
      <w:bookmarkEnd w:id="0"/>
      <w:r>
        <w:rPr>
          <w:rFonts w:hint="eastAsia" w:ascii="楷体" w:hAnsi="楷体" w:eastAsia="楷体"/>
          <w:b/>
          <w:bCs/>
          <w:color w:val="0070C0"/>
          <w:sz w:val="28"/>
          <w:lang w:eastAsia="zh-CN"/>
        </w:rPr>
        <w:t>座机</w:t>
      </w:r>
      <w:r>
        <w:rPr>
          <w:rFonts w:hint="eastAsia" w:ascii="楷体" w:hAnsi="楷体" w:eastAsia="楷体"/>
          <w:b/>
          <w:bCs/>
          <w:color w:val="0070C0"/>
          <w:sz w:val="28"/>
        </w:rPr>
        <w:t>：</w:t>
      </w:r>
      <w:r>
        <w:rPr>
          <w:rFonts w:hint="eastAsia" w:ascii="楷体" w:hAnsi="楷体" w:eastAsia="楷体"/>
          <w:b/>
          <w:bCs/>
          <w:color w:val="0070C0"/>
          <w:sz w:val="28"/>
          <w:lang w:val="en-US" w:eastAsia="zh-CN"/>
        </w:rPr>
        <w:t>010-51420955</w:t>
      </w:r>
    </w:p>
    <w:p>
      <w:pPr>
        <w:pStyle w:val="13"/>
        <w:numPr>
          <w:numId w:val="0"/>
        </w:numPr>
        <w:tabs>
          <w:tab w:val="left" w:pos="720"/>
        </w:tabs>
        <w:spacing w:line="480" w:lineRule="auto"/>
        <w:ind w:right="359" w:rightChars="171"/>
        <w:rPr>
          <w:rFonts w:ascii="微软雅黑" w:hAnsi="微软雅黑" w:eastAsia="微软雅黑"/>
          <w:b/>
          <w:szCs w:val="21"/>
        </w:rPr>
      </w:pPr>
      <w:r>
        <w:rPr>
          <w:rFonts w:hint="eastAsia" w:ascii="楷体" w:hAnsi="楷体" w:eastAsia="楷体"/>
          <w:b/>
          <w:bCs/>
          <w:color w:val="0070C0"/>
          <w:sz w:val="30"/>
          <w:szCs w:val="30"/>
        </w:rPr>
        <w:t>Email ：</w:t>
      </w:r>
      <w:r>
        <w:rPr>
          <w:rFonts w:hint="eastAsia"/>
          <w:b/>
          <w:bCs/>
          <w:color w:val="0070C0"/>
          <w:sz w:val="30"/>
          <w:szCs w:val="30"/>
        </w:rPr>
        <w:t xml:space="preserve"> </w:t>
      </w:r>
      <w:r>
        <w:rPr>
          <w:rFonts w:hint="eastAsia"/>
          <w:b/>
          <w:bCs/>
          <w:color w:val="0070C0"/>
          <w:sz w:val="30"/>
          <w:szCs w:val="30"/>
          <w:lang w:val="en-US" w:eastAsia="zh-CN"/>
        </w:rPr>
        <w:t>544371191@qq.com</w:t>
      </w:r>
      <w:r>
        <w:rPr>
          <w:rFonts w:ascii="微软雅黑" w:hAnsi="微软雅黑" w:eastAsia="微软雅黑"/>
          <w:szCs w:val="21"/>
        </w:rPr>
        <w:t xml:space="preserve">                                </w:t>
      </w:r>
      <w:r>
        <w:rPr>
          <w:rFonts w:hint="eastAsia" w:ascii="微软雅黑" w:hAnsi="微软雅黑" w:eastAsia="微软雅黑"/>
          <w:szCs w:val="21"/>
        </w:rPr>
        <w:t>二零一七年一月一日</w:t>
      </w:r>
    </w:p>
    <w:sectPr>
      <w:footerReference r:id="rId3" w:type="default"/>
      <w:footerReference r:id="rId4" w:type="even"/>
      <w:pgSz w:w="11907" w:h="16838"/>
      <w:pgMar w:top="468" w:right="987" w:bottom="964" w:left="945" w:header="851" w:footer="323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240" w:firstLineChars="100"/>
      <w:rPr>
        <w:b/>
        <w:color w:val="3399FF"/>
        <w:sz w:val="24"/>
        <w:szCs w:val="24"/>
      </w:rPr>
    </w:pPr>
    <w:r>
      <w:rPr>
        <w:rFonts w:ascii="微软雅黑" w:hAnsi="微软雅黑" w:eastAsia="微软雅黑"/>
        <w:b/>
        <w:color w:val="3399FF"/>
        <w:sz w:val="24"/>
        <w:szCs w:val="24"/>
      </w:rPr>
      <w:pict>
        <v:shape id="_x0000_i1026" o:spt="75" type="#_x0000_t75" style="height:13.5pt;width:61.5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  <w:r>
      <w:rPr>
        <w:rFonts w:ascii="微软雅黑" w:hAnsi="微软雅黑" w:eastAsia="微软雅黑"/>
        <w:b/>
        <w:color w:val="3399FF"/>
        <w:sz w:val="24"/>
        <w:szCs w:val="24"/>
      </w:rPr>
      <w:t xml:space="preserve">                                 </w:t>
    </w:r>
    <w:r>
      <w:rPr>
        <w:rFonts w:ascii="微软雅黑" w:hAnsi="微软雅黑" w:eastAsia="微软雅黑"/>
        <w:b/>
        <w:color w:val="008080"/>
        <w:sz w:val="24"/>
        <w:szCs w:val="24"/>
      </w:rPr>
      <w:t xml:space="preserve">  </w:t>
    </w:r>
    <w:r>
      <w:rPr>
        <w:rFonts w:hint="eastAsia" w:ascii="微软雅黑" w:hAnsi="微软雅黑" w:eastAsia="微软雅黑"/>
        <w:b/>
        <w:color w:val="008080"/>
        <w:sz w:val="24"/>
        <w:szCs w:val="24"/>
      </w:rPr>
      <w:t>企业</w:t>
    </w:r>
    <w:r>
      <w:rPr>
        <w:rFonts w:ascii="微软雅黑" w:hAnsi="微软雅黑" w:eastAsia="微软雅黑"/>
        <w:b/>
        <w:color w:val="008080"/>
        <w:sz w:val="24"/>
        <w:szCs w:val="24"/>
      </w:rPr>
      <w:t>IT</w:t>
    </w:r>
    <w:r>
      <w:rPr>
        <w:rFonts w:hint="eastAsia" w:ascii="微软雅黑" w:hAnsi="微软雅黑" w:eastAsia="微软雅黑"/>
        <w:b/>
        <w:color w:val="008080"/>
        <w:sz w:val="24"/>
        <w:szCs w:val="24"/>
      </w:rPr>
      <w:t>专家、您的选择、我们的承诺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</w:pPr>
    <w:r>
      <w:rPr>
        <w:rStyle w:val="6"/>
        <w:rFonts w:cs="Arial"/>
      </w:rPr>
      <w:fldChar w:fldCharType="begin"/>
    </w:r>
    <w:r>
      <w:rPr>
        <w:rStyle w:val="6"/>
        <w:rFonts w:cs="Arial"/>
      </w:rPr>
      <w:instrText xml:space="preserve">Page</w:instrText>
    </w:r>
    <w:r>
      <w:rPr>
        <w:rStyle w:val="6"/>
        <w:rFonts w:cs="Arial"/>
      </w:rPr>
      <w:fldChar w:fldCharType="separate"/>
    </w:r>
    <w:r>
      <w:rPr>
        <w:rStyle w:val="6"/>
        <w:rFonts w:cs="Arial"/>
      </w:rPr>
      <w:t>1</w:t>
    </w:r>
    <w:r>
      <w:rPr>
        <w:rStyle w:val="6"/>
        <w:rFonts w:cs="Arial"/>
      </w:rP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A51"/>
    <w:multiLevelType w:val="multilevel"/>
    <w:tmpl w:val="01500A51"/>
    <w:lvl w:ilvl="0" w:tentative="0">
      <w:start w:val="1"/>
      <w:numFmt w:val="decimal"/>
      <w:lvlText w:val="%1."/>
      <w:lvlJc w:val="left"/>
      <w:pPr>
        <w:tabs>
          <w:tab w:val="left" w:pos="0"/>
        </w:tabs>
        <w:ind w:left="420" w:hanging="420"/>
      </w:pPr>
      <w:rPr>
        <w:rFonts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0"/>
        </w:tabs>
        <w:ind w:left="3780" w:hanging="420"/>
      </w:pPr>
      <w:rPr>
        <w:rFonts w:cs="Times New Roman"/>
      </w:rPr>
    </w:lvl>
  </w:abstractNum>
  <w:abstractNum w:abstractNumId="1">
    <w:nsid w:val="07BF51E1"/>
    <w:multiLevelType w:val="multilevel"/>
    <w:tmpl w:val="07BF51E1"/>
    <w:lvl w:ilvl="0" w:tentative="0">
      <w:start w:val="1"/>
      <w:numFmt w:val="decimal"/>
      <w:lvlText w:val="%1."/>
      <w:lvlJc w:val="left"/>
      <w:pPr>
        <w:tabs>
          <w:tab w:val="left" w:pos="0"/>
        </w:tabs>
        <w:ind w:left="420" w:hanging="420"/>
      </w:pPr>
      <w:rPr>
        <w:rFonts w:hint="default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0A6A3743"/>
    <w:multiLevelType w:val="multilevel"/>
    <w:tmpl w:val="0A6A3743"/>
    <w:lvl w:ilvl="0" w:tentative="0">
      <w:start w:val="1"/>
      <w:numFmt w:val="decimal"/>
      <w:lvlText w:val="%1."/>
      <w:lvlJc w:val="left"/>
      <w:pPr>
        <w:tabs>
          <w:tab w:val="left" w:pos="0"/>
        </w:tabs>
        <w:ind w:left="420" w:hanging="420"/>
      </w:pPr>
      <w:rPr>
        <w:rFonts w:hint="default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hint="default" w:ascii="Wingdings" w:hAnsi="Wingdings"/>
      </w:rPr>
    </w:lvl>
  </w:abstractNum>
  <w:abstractNum w:abstractNumId="3">
    <w:nsid w:val="0F561BA7"/>
    <w:multiLevelType w:val="multilevel"/>
    <w:tmpl w:val="0F561BA7"/>
    <w:lvl w:ilvl="0" w:tentative="0">
      <w:start w:val="1"/>
      <w:numFmt w:val="decimal"/>
      <w:lvlText w:val="%1."/>
      <w:lvlJc w:val="left"/>
      <w:pPr>
        <w:tabs>
          <w:tab w:val="left" w:pos="0"/>
        </w:tabs>
        <w:ind w:left="420" w:hanging="420"/>
      </w:pPr>
      <w:rPr>
        <w:rFonts w:hint="default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hint="default" w:ascii="Wingdings" w:hAnsi="Wingdings"/>
      </w:rPr>
    </w:lvl>
  </w:abstractNum>
  <w:abstractNum w:abstractNumId="4">
    <w:nsid w:val="248A783D"/>
    <w:multiLevelType w:val="multilevel"/>
    <w:tmpl w:val="248A783D"/>
    <w:lvl w:ilvl="0" w:tentative="0">
      <w:start w:val="1"/>
      <w:numFmt w:val="decimal"/>
      <w:lvlText w:val="%1."/>
      <w:lvlJc w:val="left"/>
      <w:pPr>
        <w:tabs>
          <w:tab w:val="left" w:pos="0"/>
        </w:tabs>
        <w:ind w:left="420" w:hanging="420"/>
      </w:pPr>
      <w:rPr>
        <w:rFonts w:hint="default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hint="default" w:ascii="Wingdings" w:hAnsi="Wingdings"/>
      </w:rPr>
    </w:lvl>
  </w:abstractNum>
  <w:abstractNum w:abstractNumId="5">
    <w:nsid w:val="26123F2F"/>
    <w:multiLevelType w:val="multilevel"/>
    <w:tmpl w:val="26123F2F"/>
    <w:lvl w:ilvl="0" w:tentative="0">
      <w:start w:val="1"/>
      <w:numFmt w:val="decimal"/>
      <w:lvlText w:val="%1."/>
      <w:lvlJc w:val="left"/>
      <w:pPr>
        <w:tabs>
          <w:tab w:val="left" w:pos="0"/>
        </w:tabs>
        <w:ind w:left="420" w:hanging="420"/>
      </w:pPr>
      <w:rPr>
        <w:rFonts w:hint="default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hint="default" w:ascii="Wingdings" w:hAnsi="Wingdings"/>
      </w:rPr>
    </w:lvl>
  </w:abstractNum>
  <w:abstractNum w:abstractNumId="6">
    <w:nsid w:val="2B7A2CC9"/>
    <w:multiLevelType w:val="multilevel"/>
    <w:tmpl w:val="2B7A2CC9"/>
    <w:lvl w:ilvl="0" w:tentative="0">
      <w:start w:val="1"/>
      <w:numFmt w:val="decimal"/>
      <w:lvlText w:val="%1."/>
      <w:lvlJc w:val="left"/>
      <w:pPr>
        <w:tabs>
          <w:tab w:val="left" w:pos="0"/>
        </w:tabs>
        <w:ind w:left="420" w:hanging="420"/>
      </w:pPr>
      <w:rPr>
        <w:rFonts w:hint="default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hint="default" w:ascii="Wingdings" w:hAnsi="Wingdings"/>
      </w:rPr>
    </w:lvl>
  </w:abstractNum>
  <w:abstractNum w:abstractNumId="7">
    <w:nsid w:val="2E581E3E"/>
    <w:multiLevelType w:val="multilevel"/>
    <w:tmpl w:val="2E581E3E"/>
    <w:lvl w:ilvl="0" w:tentative="0">
      <w:start w:val="1"/>
      <w:numFmt w:val="decimal"/>
      <w:lvlText w:val="%1."/>
      <w:lvlJc w:val="left"/>
      <w:pPr>
        <w:tabs>
          <w:tab w:val="left" w:pos="0"/>
        </w:tabs>
        <w:ind w:left="420" w:hanging="420"/>
      </w:pPr>
      <w:rPr>
        <w:rFonts w:hint="default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hint="default" w:ascii="Wingdings" w:hAnsi="Wingdings"/>
      </w:rPr>
    </w:lvl>
  </w:abstractNum>
  <w:abstractNum w:abstractNumId="8">
    <w:nsid w:val="35802817"/>
    <w:multiLevelType w:val="multilevel"/>
    <w:tmpl w:val="35802817"/>
    <w:lvl w:ilvl="0" w:tentative="0">
      <w:start w:val="1"/>
      <w:numFmt w:val="decimal"/>
      <w:lvlText w:val="%1."/>
      <w:lvlJc w:val="left"/>
      <w:pPr>
        <w:tabs>
          <w:tab w:val="left" w:pos="0"/>
        </w:tabs>
        <w:ind w:left="420" w:hanging="420"/>
      </w:pPr>
      <w:rPr>
        <w:rFonts w:hint="default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hint="default" w:ascii="Wingdings" w:hAnsi="Wingdings"/>
      </w:rPr>
    </w:lvl>
  </w:abstractNum>
  <w:abstractNum w:abstractNumId="9">
    <w:nsid w:val="374502BA"/>
    <w:multiLevelType w:val="multilevel"/>
    <w:tmpl w:val="374502BA"/>
    <w:lvl w:ilvl="0" w:tentative="0">
      <w:start w:val="1"/>
      <w:numFmt w:val="decimal"/>
      <w:lvlText w:val="%1."/>
      <w:lvlJc w:val="left"/>
      <w:pPr>
        <w:tabs>
          <w:tab w:val="left" w:pos="0"/>
        </w:tabs>
        <w:ind w:left="420" w:hanging="420"/>
      </w:pPr>
      <w:rPr>
        <w:rFonts w:hint="default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hint="default" w:ascii="Wingdings" w:hAnsi="Wingdings"/>
      </w:rPr>
    </w:lvl>
  </w:abstractNum>
  <w:abstractNum w:abstractNumId="10">
    <w:nsid w:val="397C16AF"/>
    <w:multiLevelType w:val="multilevel"/>
    <w:tmpl w:val="397C16AF"/>
    <w:lvl w:ilvl="0" w:tentative="0">
      <w:start w:val="1"/>
      <w:numFmt w:val="decimal"/>
      <w:lvlText w:val="%1."/>
      <w:lvlJc w:val="left"/>
      <w:pPr>
        <w:tabs>
          <w:tab w:val="left" w:pos="0"/>
        </w:tabs>
        <w:ind w:left="420" w:hanging="420"/>
      </w:pPr>
      <w:rPr>
        <w:rFonts w:hint="default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hint="default" w:ascii="Wingdings" w:hAnsi="Wingdings"/>
      </w:rPr>
    </w:lvl>
  </w:abstractNum>
  <w:abstractNum w:abstractNumId="11">
    <w:nsid w:val="3B75460E"/>
    <w:multiLevelType w:val="multilevel"/>
    <w:tmpl w:val="3B75460E"/>
    <w:lvl w:ilvl="0" w:tentative="0">
      <w:start w:val="1"/>
      <w:numFmt w:val="decimal"/>
      <w:lvlText w:val="%1."/>
      <w:lvlJc w:val="left"/>
      <w:pPr>
        <w:tabs>
          <w:tab w:val="left" w:pos="0"/>
        </w:tabs>
        <w:ind w:left="420" w:hanging="420"/>
      </w:pPr>
      <w:rPr>
        <w:rFonts w:hint="default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hint="default" w:ascii="Wingdings" w:hAnsi="Wingdings"/>
      </w:rPr>
    </w:lvl>
  </w:abstractNum>
  <w:abstractNum w:abstractNumId="12">
    <w:nsid w:val="45F345EA"/>
    <w:multiLevelType w:val="multilevel"/>
    <w:tmpl w:val="45F345EA"/>
    <w:lvl w:ilvl="0" w:tentative="0">
      <w:start w:val="1"/>
      <w:numFmt w:val="decimal"/>
      <w:lvlText w:val="%1."/>
      <w:lvlJc w:val="left"/>
      <w:pPr>
        <w:tabs>
          <w:tab w:val="left" w:pos="0"/>
        </w:tabs>
        <w:ind w:left="420" w:hanging="420"/>
      </w:pPr>
      <w:rPr>
        <w:rFonts w:hint="default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hint="default" w:ascii="Wingdings" w:hAnsi="Wingdings"/>
      </w:rPr>
    </w:lvl>
  </w:abstractNum>
  <w:abstractNum w:abstractNumId="13">
    <w:nsid w:val="48467A4D"/>
    <w:multiLevelType w:val="multilevel"/>
    <w:tmpl w:val="48467A4D"/>
    <w:lvl w:ilvl="0" w:tentative="0">
      <w:start w:val="1"/>
      <w:numFmt w:val="decimal"/>
      <w:lvlText w:val="%1."/>
      <w:lvlJc w:val="left"/>
      <w:pPr>
        <w:tabs>
          <w:tab w:val="left" w:pos="0"/>
        </w:tabs>
        <w:ind w:left="420" w:hanging="420"/>
      </w:pPr>
      <w:rPr>
        <w:rFonts w:hint="default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hint="default" w:ascii="Wingdings" w:hAnsi="Wingdings"/>
      </w:rPr>
    </w:lvl>
  </w:abstractNum>
  <w:abstractNum w:abstractNumId="14">
    <w:nsid w:val="4A666EC0"/>
    <w:multiLevelType w:val="multilevel"/>
    <w:tmpl w:val="4A666EC0"/>
    <w:lvl w:ilvl="0" w:tentative="0">
      <w:start w:val="1"/>
      <w:numFmt w:val="decimal"/>
      <w:lvlText w:val="%1."/>
      <w:lvlJc w:val="left"/>
      <w:pPr>
        <w:tabs>
          <w:tab w:val="left" w:pos="0"/>
        </w:tabs>
        <w:ind w:left="420" w:hanging="420"/>
      </w:pPr>
      <w:rPr>
        <w:rFonts w:hint="default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hint="default" w:ascii="Wingdings" w:hAnsi="Wingdings"/>
      </w:rPr>
    </w:lvl>
  </w:abstractNum>
  <w:abstractNum w:abstractNumId="15">
    <w:nsid w:val="50A04CFF"/>
    <w:multiLevelType w:val="multilevel"/>
    <w:tmpl w:val="50A04CFF"/>
    <w:lvl w:ilvl="0" w:tentative="0">
      <w:start w:val="1"/>
      <w:numFmt w:val="decimal"/>
      <w:lvlText w:val="%1."/>
      <w:lvlJc w:val="left"/>
      <w:pPr>
        <w:tabs>
          <w:tab w:val="left" w:pos="0"/>
        </w:tabs>
        <w:ind w:left="420" w:hanging="420"/>
      </w:pPr>
      <w:rPr>
        <w:rFonts w:hint="default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hint="default" w:ascii="Wingdings" w:hAnsi="Wingdings"/>
      </w:rPr>
    </w:lvl>
  </w:abstractNum>
  <w:abstractNum w:abstractNumId="16">
    <w:nsid w:val="58216E32"/>
    <w:multiLevelType w:val="singleLevel"/>
    <w:tmpl w:val="58216E32"/>
    <w:lvl w:ilvl="0" w:tentative="0">
      <w:start w:val="7"/>
      <w:numFmt w:val="chineseCounting"/>
      <w:suff w:val="nothing"/>
      <w:lvlText w:val="%1、"/>
      <w:lvlJc w:val="left"/>
    </w:lvl>
  </w:abstractNum>
  <w:abstractNum w:abstractNumId="17">
    <w:nsid w:val="5880667A"/>
    <w:multiLevelType w:val="multilevel"/>
    <w:tmpl w:val="5880667A"/>
    <w:lvl w:ilvl="0" w:tentative="0">
      <w:start w:val="1"/>
      <w:numFmt w:val="decimal"/>
      <w:lvlText w:val="%1."/>
      <w:lvlJc w:val="left"/>
      <w:pPr>
        <w:tabs>
          <w:tab w:val="left" w:pos="0"/>
        </w:tabs>
        <w:ind w:left="420" w:hanging="420"/>
      </w:pPr>
      <w:rPr>
        <w:rFonts w:hint="default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hint="default" w:ascii="Wingdings" w:hAnsi="Wingdings"/>
      </w:rPr>
    </w:lvl>
  </w:abstractNum>
  <w:abstractNum w:abstractNumId="18">
    <w:nsid w:val="5C130051"/>
    <w:multiLevelType w:val="multilevel"/>
    <w:tmpl w:val="5C130051"/>
    <w:lvl w:ilvl="0" w:tentative="0">
      <w:start w:val="1"/>
      <w:numFmt w:val="decimal"/>
      <w:lvlText w:val="%1."/>
      <w:lvlJc w:val="left"/>
      <w:pPr>
        <w:tabs>
          <w:tab w:val="left" w:pos="0"/>
        </w:tabs>
        <w:ind w:left="420" w:hanging="420"/>
      </w:pPr>
      <w:rPr>
        <w:rFonts w:hint="default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hint="default" w:ascii="Wingdings" w:hAnsi="Wingdings"/>
      </w:rPr>
    </w:lvl>
  </w:abstractNum>
  <w:abstractNum w:abstractNumId="19">
    <w:nsid w:val="5E593AA8"/>
    <w:multiLevelType w:val="multilevel"/>
    <w:tmpl w:val="5E593AA8"/>
    <w:lvl w:ilvl="0" w:tentative="0">
      <w:start w:val="1"/>
      <w:numFmt w:val="decimal"/>
      <w:lvlText w:val="%1."/>
      <w:lvlJc w:val="left"/>
      <w:pPr>
        <w:tabs>
          <w:tab w:val="left" w:pos="0"/>
        </w:tabs>
        <w:ind w:left="420" w:hanging="420"/>
      </w:pPr>
      <w:rPr>
        <w:rFonts w:hint="default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hint="default" w:ascii="Wingdings" w:hAnsi="Wingdings"/>
      </w:rPr>
    </w:lvl>
  </w:abstractNum>
  <w:abstractNum w:abstractNumId="20">
    <w:nsid w:val="6E9B7084"/>
    <w:multiLevelType w:val="multilevel"/>
    <w:tmpl w:val="6E9B7084"/>
    <w:lvl w:ilvl="0" w:tentative="0">
      <w:start w:val="1"/>
      <w:numFmt w:val="decimal"/>
      <w:lvlText w:val="%1."/>
      <w:lvlJc w:val="left"/>
      <w:pPr>
        <w:tabs>
          <w:tab w:val="left" w:pos="0"/>
        </w:tabs>
        <w:ind w:left="420" w:hanging="420"/>
      </w:pPr>
      <w:rPr>
        <w:rFonts w:hint="default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hint="default" w:ascii="Wingdings" w:hAnsi="Wingdings"/>
      </w:rPr>
    </w:lvl>
  </w:abstractNum>
  <w:abstractNum w:abstractNumId="21">
    <w:nsid w:val="71B03A12"/>
    <w:multiLevelType w:val="multilevel"/>
    <w:tmpl w:val="71B03A12"/>
    <w:lvl w:ilvl="0" w:tentative="0">
      <w:start w:val="1"/>
      <w:numFmt w:val="decimal"/>
      <w:lvlText w:val="%1."/>
      <w:lvlJc w:val="left"/>
      <w:pPr>
        <w:tabs>
          <w:tab w:val="left" w:pos="0"/>
        </w:tabs>
        <w:ind w:left="420" w:hanging="420"/>
      </w:pPr>
      <w:rPr>
        <w:rFonts w:hint="default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hint="default" w:ascii="Wingdings" w:hAnsi="Wingdings"/>
      </w:rPr>
    </w:lvl>
  </w:abstractNum>
  <w:abstractNum w:abstractNumId="22">
    <w:nsid w:val="7EC4766F"/>
    <w:multiLevelType w:val="multilevel"/>
    <w:tmpl w:val="7EC4766F"/>
    <w:lvl w:ilvl="0" w:tentative="0">
      <w:start w:val="1"/>
      <w:numFmt w:val="decimal"/>
      <w:lvlText w:val="%1."/>
      <w:lvlJc w:val="left"/>
      <w:pPr>
        <w:tabs>
          <w:tab w:val="left" w:pos="0"/>
        </w:tabs>
        <w:ind w:left="420" w:hanging="420"/>
      </w:pPr>
      <w:rPr>
        <w:rFonts w:hint="default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11"/>
  </w:num>
  <w:num w:numId="5">
    <w:abstractNumId w:val="20"/>
  </w:num>
  <w:num w:numId="6">
    <w:abstractNumId w:val="6"/>
  </w:num>
  <w:num w:numId="7">
    <w:abstractNumId w:val="17"/>
  </w:num>
  <w:num w:numId="8">
    <w:abstractNumId w:val="9"/>
  </w:num>
  <w:num w:numId="9">
    <w:abstractNumId w:val="2"/>
  </w:num>
  <w:num w:numId="10">
    <w:abstractNumId w:val="14"/>
  </w:num>
  <w:num w:numId="11">
    <w:abstractNumId w:val="8"/>
  </w:num>
  <w:num w:numId="12">
    <w:abstractNumId w:val="1"/>
  </w:num>
  <w:num w:numId="13">
    <w:abstractNumId w:val="13"/>
  </w:num>
  <w:num w:numId="14">
    <w:abstractNumId w:val="7"/>
  </w:num>
  <w:num w:numId="15">
    <w:abstractNumId w:val="4"/>
  </w:num>
  <w:num w:numId="16">
    <w:abstractNumId w:val="15"/>
  </w:num>
  <w:num w:numId="17">
    <w:abstractNumId w:val="5"/>
  </w:num>
  <w:num w:numId="18">
    <w:abstractNumId w:val="19"/>
  </w:num>
  <w:num w:numId="19">
    <w:abstractNumId w:val="22"/>
  </w:num>
  <w:num w:numId="20">
    <w:abstractNumId w:val="3"/>
  </w:num>
  <w:num w:numId="21">
    <w:abstractNumId w:val="21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7380"/>
    <w:rsid w:val="0000037F"/>
    <w:rsid w:val="00000577"/>
    <w:rsid w:val="00004E00"/>
    <w:rsid w:val="00013AC4"/>
    <w:rsid w:val="00067832"/>
    <w:rsid w:val="000A6657"/>
    <w:rsid w:val="00102EAC"/>
    <w:rsid w:val="0010368E"/>
    <w:rsid w:val="001121ED"/>
    <w:rsid w:val="00133995"/>
    <w:rsid w:val="00147EE4"/>
    <w:rsid w:val="0016652E"/>
    <w:rsid w:val="00177896"/>
    <w:rsid w:val="00181C49"/>
    <w:rsid w:val="001C3B6D"/>
    <w:rsid w:val="001C561C"/>
    <w:rsid w:val="001D338C"/>
    <w:rsid w:val="00226B69"/>
    <w:rsid w:val="002A7452"/>
    <w:rsid w:val="002B7380"/>
    <w:rsid w:val="00313C59"/>
    <w:rsid w:val="00315304"/>
    <w:rsid w:val="00316F16"/>
    <w:rsid w:val="0033763D"/>
    <w:rsid w:val="003512ED"/>
    <w:rsid w:val="00353D60"/>
    <w:rsid w:val="0036108B"/>
    <w:rsid w:val="003775E0"/>
    <w:rsid w:val="00383C84"/>
    <w:rsid w:val="003B2EDD"/>
    <w:rsid w:val="003D2FCE"/>
    <w:rsid w:val="0044278F"/>
    <w:rsid w:val="00447838"/>
    <w:rsid w:val="00477DFA"/>
    <w:rsid w:val="004A5F2D"/>
    <w:rsid w:val="004C0DEA"/>
    <w:rsid w:val="004C57DC"/>
    <w:rsid w:val="004E10C9"/>
    <w:rsid w:val="004E3323"/>
    <w:rsid w:val="004E7E2F"/>
    <w:rsid w:val="004F1743"/>
    <w:rsid w:val="00523ED3"/>
    <w:rsid w:val="00592D76"/>
    <w:rsid w:val="005A41F8"/>
    <w:rsid w:val="005C4108"/>
    <w:rsid w:val="005E0728"/>
    <w:rsid w:val="00642EA9"/>
    <w:rsid w:val="006A5D6E"/>
    <w:rsid w:val="006C6A54"/>
    <w:rsid w:val="00723E39"/>
    <w:rsid w:val="007241F4"/>
    <w:rsid w:val="00736D16"/>
    <w:rsid w:val="007703F4"/>
    <w:rsid w:val="00844253"/>
    <w:rsid w:val="0084721B"/>
    <w:rsid w:val="00851897"/>
    <w:rsid w:val="008523E3"/>
    <w:rsid w:val="008738B5"/>
    <w:rsid w:val="008A022F"/>
    <w:rsid w:val="008A72D0"/>
    <w:rsid w:val="008B5C85"/>
    <w:rsid w:val="008D676A"/>
    <w:rsid w:val="008E4D44"/>
    <w:rsid w:val="008E7162"/>
    <w:rsid w:val="00905AC2"/>
    <w:rsid w:val="00953F90"/>
    <w:rsid w:val="0096088F"/>
    <w:rsid w:val="00984C36"/>
    <w:rsid w:val="009A13EE"/>
    <w:rsid w:val="00A05E1D"/>
    <w:rsid w:val="00A1518A"/>
    <w:rsid w:val="00A23362"/>
    <w:rsid w:val="00A25C3B"/>
    <w:rsid w:val="00A27C59"/>
    <w:rsid w:val="00A63887"/>
    <w:rsid w:val="00A7078F"/>
    <w:rsid w:val="00AA1DF6"/>
    <w:rsid w:val="00AC7CDB"/>
    <w:rsid w:val="00AF0B5A"/>
    <w:rsid w:val="00B012C3"/>
    <w:rsid w:val="00B40AE7"/>
    <w:rsid w:val="00B566B9"/>
    <w:rsid w:val="00B7398B"/>
    <w:rsid w:val="00B826AB"/>
    <w:rsid w:val="00BB50F7"/>
    <w:rsid w:val="00BC72E1"/>
    <w:rsid w:val="00BD7883"/>
    <w:rsid w:val="00BF41BB"/>
    <w:rsid w:val="00C00A6A"/>
    <w:rsid w:val="00C46708"/>
    <w:rsid w:val="00CD093A"/>
    <w:rsid w:val="00D00124"/>
    <w:rsid w:val="00D207AD"/>
    <w:rsid w:val="00D719F6"/>
    <w:rsid w:val="00D72DE3"/>
    <w:rsid w:val="00D7377D"/>
    <w:rsid w:val="00DB5938"/>
    <w:rsid w:val="00DB7E44"/>
    <w:rsid w:val="00DE0584"/>
    <w:rsid w:val="00DF7FC6"/>
    <w:rsid w:val="00E42A33"/>
    <w:rsid w:val="00E433FB"/>
    <w:rsid w:val="00E9442E"/>
    <w:rsid w:val="00E95204"/>
    <w:rsid w:val="00EE25F9"/>
    <w:rsid w:val="00F21320"/>
    <w:rsid w:val="00F42F82"/>
    <w:rsid w:val="00F56A29"/>
    <w:rsid w:val="00F96AE3"/>
    <w:rsid w:val="00FA173F"/>
    <w:rsid w:val="00FC4A88"/>
    <w:rsid w:val="00FE48E5"/>
    <w:rsid w:val="00FE76F7"/>
    <w:rsid w:val="0D1344FD"/>
    <w:rsid w:val="1DEC4E4B"/>
    <w:rsid w:val="2A685448"/>
    <w:rsid w:val="3DC33F1C"/>
    <w:rsid w:val="4ACC0EE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4"/>
    <w:uiPriority w:val="99"/>
    <w:pPr>
      <w:spacing w:after="120" w:line="480" w:lineRule="auto"/>
      <w:ind w:left="420" w:leftChars="200"/>
    </w:pPr>
    <w:rPr>
      <w:rFonts w:ascii="Times New Roman" w:hAnsi="Times New Roman" w:cs="Times New Roman"/>
      <w:szCs w:val="20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7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4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rFonts w:cs="Times New Roman"/>
      <w:kern w:val="0"/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FollowedHyperlink"/>
    <w:basedOn w:val="5"/>
    <w:qFormat/>
    <w:uiPriority w:val="99"/>
    <w:rPr>
      <w:rFonts w:cs="Times New Roman"/>
      <w:color w:val="800080"/>
      <w:u w:val="single"/>
    </w:rPr>
  </w:style>
  <w:style w:type="character" w:styleId="8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10">
    <w:name w:val="Body Text Indent 2 Char"/>
    <w:basedOn w:val="5"/>
    <w:link w:val="2"/>
    <w:semiHidden/>
    <w:locked/>
    <w:uiPriority w:val="99"/>
    <w:rPr>
      <w:rFonts w:ascii="Calibri" w:hAnsi="Calibri" w:cs="Times New Roman"/>
    </w:rPr>
  </w:style>
  <w:style w:type="character" w:customStyle="1" w:styleId="11">
    <w:name w:val="Footer Char"/>
    <w:basedOn w:val="5"/>
    <w:link w:val="3"/>
    <w:semiHidden/>
    <w:locked/>
    <w:uiPriority w:val="99"/>
    <w:rPr>
      <w:rFonts w:ascii="Calibri" w:hAnsi="Calibri" w:cs="Times New Roman"/>
      <w:sz w:val="18"/>
    </w:rPr>
  </w:style>
  <w:style w:type="character" w:customStyle="1" w:styleId="12">
    <w:name w:val="Header Char"/>
    <w:basedOn w:val="5"/>
    <w:link w:val="4"/>
    <w:semiHidden/>
    <w:qFormat/>
    <w:locked/>
    <w:uiPriority w:val="99"/>
    <w:rPr>
      <w:rFonts w:ascii="Calibri" w:hAnsi="Calibri" w:cs="Times New Roman"/>
      <w:sz w:val="18"/>
    </w:rPr>
  </w:style>
  <w:style w:type="paragraph" w:customStyle="1" w:styleId="13">
    <w:name w:val="List Paragraph1"/>
    <w:basedOn w:val="1"/>
    <w:qFormat/>
    <w:uiPriority w:val="99"/>
    <w:pPr>
      <w:ind w:firstLine="200" w:firstLineChars="200"/>
    </w:pPr>
  </w:style>
  <w:style w:type="character" w:customStyle="1" w:styleId="14">
    <w:name w:val="Body Text Indent 2 Char1"/>
    <w:link w:val="2"/>
    <w:locked/>
    <w:uiPriority w:val="99"/>
    <w:rPr>
      <w:rFonts w:eastAsia="宋体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764</Words>
  <Characters>4359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2016-10-09T03:34:00Z</dcterms:created>
  <dc:creator>WangXu</dc:creator>
  <cp:lastModifiedBy>wang</cp:lastModifiedBy>
  <dcterms:modified xsi:type="dcterms:W3CDTF">2016-11-08T06:16:48Z</dcterms:modified>
  <dc:title> 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