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Lines="50" w:line="440" w:lineRule="exact"/>
        <w:ind w:left="-11" w:firstLine="11"/>
        <w:jc w:val="center"/>
        <w:rPr>
          <w:rFonts w:ascii="微软雅黑" w:hAnsi="微软雅黑" w:eastAsia="微软雅黑"/>
          <w:b/>
          <w:bCs w:val="0"/>
          <w:sz w:val="46"/>
          <w:szCs w:val="46"/>
        </w:rPr>
      </w:pPr>
      <w:bookmarkStart w:id="0" w:name="OLE_LINK1"/>
      <w:r>
        <w:rPr>
          <w:rFonts w:hint="eastAsia" w:ascii="微软雅黑" w:hAnsi="微软雅黑" w:eastAsia="微软雅黑"/>
          <w:b/>
          <w:bCs w:val="0"/>
          <w:sz w:val="46"/>
          <w:szCs w:val="46"/>
        </w:rPr>
        <w:t>《报表分析与业绩评价》</w:t>
      </w:r>
    </w:p>
    <w:p>
      <w:pPr>
        <w:spacing w:beforeLines="50" w:afterLines="100" w:line="440" w:lineRule="exact"/>
        <w:rPr>
          <w:rFonts w:hint="eastAsia" w:ascii="宋体" w:hAnsi="宋体"/>
          <w:sz w:val="24"/>
          <w:lang w:val="en-US" w:eastAsia="zh-CN"/>
        </w:rPr>
      </w:pPr>
      <w:r>
        <w:rPr>
          <w:rFonts w:hint="eastAsia" w:ascii="微软雅黑" w:hAnsi="微软雅黑" w:eastAsia="微软雅黑"/>
          <w:b/>
          <w:bCs w:val="0"/>
          <w:sz w:val="30"/>
          <w:szCs w:val="30"/>
        </w:rPr>
        <w:t>上课时间：</w:t>
      </w:r>
      <w:r>
        <w:rPr>
          <w:rFonts w:hint="eastAsia" w:ascii="宋体" w:hAnsi="宋体"/>
          <w:sz w:val="24"/>
        </w:rPr>
        <w:t>2016年</w:t>
      </w:r>
      <w:r>
        <w:rPr>
          <w:rFonts w:hint="eastAsia" w:ascii="宋体" w:hAnsi="宋体"/>
          <w:sz w:val="24"/>
          <w:lang w:val="en-US" w:eastAsia="zh-CN"/>
        </w:rPr>
        <w:t>12月17</w:t>
      </w:r>
      <w:r>
        <w:rPr>
          <w:rFonts w:hint="eastAsia" w:ascii="宋体" w:hAnsi="宋体"/>
          <w:sz w:val="24"/>
        </w:rPr>
        <w:t xml:space="preserve">日                 </w:t>
      </w:r>
      <w:r>
        <w:rPr>
          <w:rFonts w:hint="eastAsia" w:ascii="黑体" w:hAnsi="黑体" w:eastAsia="黑体" w:cs="黑体"/>
          <w:b/>
          <w:bCs/>
          <w:sz w:val="30"/>
          <w:szCs w:val="30"/>
        </w:rPr>
        <w:t xml:space="preserve"> </w:t>
      </w:r>
      <w:r>
        <w:rPr>
          <w:rFonts w:hint="eastAsia" w:ascii="黑体" w:hAnsi="黑体" w:eastAsia="黑体" w:cs="黑体"/>
          <w:b/>
          <w:bCs/>
          <w:sz w:val="30"/>
          <w:szCs w:val="30"/>
          <w:lang w:eastAsia="zh-CN"/>
        </w:rPr>
        <w:t>课程费用</w:t>
      </w:r>
      <w:r>
        <w:rPr>
          <w:rFonts w:hint="eastAsia" w:ascii="微软雅黑" w:hAnsi="微软雅黑" w:eastAsia="微软雅黑"/>
          <w:b/>
          <w:sz w:val="30"/>
          <w:szCs w:val="30"/>
        </w:rPr>
        <w:t>：</w:t>
      </w:r>
      <w:r>
        <w:rPr>
          <w:rFonts w:hint="eastAsia" w:ascii="宋体" w:hAnsi="宋体"/>
          <w:sz w:val="24"/>
          <w:lang w:val="en-US" w:eastAsia="zh-CN"/>
        </w:rPr>
        <w:t>1800元/人</w:t>
      </w:r>
    </w:p>
    <w:p>
      <w:pPr>
        <w:spacing w:beforeLines="50" w:afterLines="100" w:line="440" w:lineRule="exact"/>
        <w:rPr>
          <w:rFonts w:hint="eastAsia" w:ascii="宋体" w:hAnsi="宋体"/>
          <w:sz w:val="24"/>
          <w:lang w:val="en-US" w:eastAsia="zh-CN"/>
        </w:rPr>
      </w:pPr>
      <w:r>
        <w:rPr>
          <w:rFonts w:hint="eastAsia" w:ascii="黑体" w:hAnsi="黑体" w:eastAsia="黑体" w:cs="黑体"/>
          <w:sz w:val="30"/>
          <w:szCs w:val="30"/>
          <w:lang w:val="en-US" w:eastAsia="zh-CN"/>
        </w:rPr>
        <w:t>课程对象：</w:t>
      </w:r>
      <w:r>
        <w:rPr>
          <w:rFonts w:hint="eastAsia" w:ascii="宋体" w:hAnsi="宋体"/>
          <w:sz w:val="24"/>
          <w:lang w:val="en-US" w:eastAsia="zh-CN"/>
        </w:rPr>
        <w:t>总会计师、审计师、财务总监、财务经理、投融资财经人士</w:t>
      </w:r>
      <w:bookmarkStart w:id="1" w:name="_GoBack"/>
      <w:bookmarkEnd w:id="1"/>
    </w:p>
    <w:bookmarkEnd w:id="0"/>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主讲老师：</w:t>
      </w:r>
      <w:r>
        <w:rPr>
          <w:rFonts w:hint="eastAsia" w:ascii="微软雅黑" w:hAnsi="微软雅黑" w:eastAsia="微软雅黑"/>
          <w:b/>
          <w:sz w:val="30"/>
          <w:szCs w:val="30"/>
          <w:lang w:val="en-US" w:eastAsia="zh-CN"/>
        </w:rPr>
        <w:t>刘老师</w:t>
      </w:r>
    </w:p>
    <w:p>
      <w:pPr>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ascii="微软雅黑" w:hAnsi="微软雅黑" w:eastAsia="微软雅黑"/>
          <w:b/>
          <w:sz w:val="30"/>
          <w:szCs w:val="30"/>
        </w:rPr>
      </w:pPr>
      <w:r>
        <w:rPr>
          <w:rFonts w:hint="eastAsia" w:ascii="宋体" w:hAnsi="宋体"/>
          <w:bCs/>
          <w:sz w:val="24"/>
        </w:rPr>
        <w:drawing>
          <wp:anchor distT="0" distB="0" distL="114300" distR="114300" simplePos="0" relativeHeight="251658240" behindDoc="0" locked="0" layoutInCell="1" allowOverlap="1">
            <wp:simplePos x="0" y="0"/>
            <wp:positionH relativeFrom="column">
              <wp:posOffset>18415</wp:posOffset>
            </wp:positionH>
            <wp:positionV relativeFrom="paragraph">
              <wp:posOffset>9525</wp:posOffset>
            </wp:positionV>
            <wp:extent cx="1417320" cy="1726565"/>
            <wp:effectExtent l="0" t="0" r="11430" b="6985"/>
            <wp:wrapSquare wrapText="bothSides"/>
            <wp:docPr id="8" name="Picture 2" descr="刘娥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刘娥平"/>
                    <pic:cNvPicPr>
                      <a:picLocks noChangeAspect="1"/>
                    </pic:cNvPicPr>
                  </pic:nvPicPr>
                  <pic:blipFill>
                    <a:blip r:embed="rId6"/>
                    <a:stretch>
                      <a:fillRect/>
                    </a:stretch>
                  </pic:blipFill>
                  <pic:spPr>
                    <a:xfrm>
                      <a:off x="0" y="0"/>
                      <a:ext cx="1417320" cy="1726565"/>
                    </a:xfrm>
                    <a:prstGeom prst="rect">
                      <a:avLst/>
                    </a:prstGeom>
                    <a:noFill/>
                    <a:ln w="9525">
                      <a:noFill/>
                    </a:ln>
                  </pic:spPr>
                </pic:pic>
              </a:graphicData>
            </a:graphic>
          </wp:anchor>
        </w:drawing>
      </w:r>
      <w:r>
        <w:rPr>
          <w:rFonts w:hint="eastAsia" w:asciiTheme="minorEastAsia" w:hAnsiTheme="minorEastAsia"/>
          <w:sz w:val="24"/>
        </w:rPr>
        <w:t>中山大学金融投资研究中心主任</w:t>
      </w:r>
      <w:r>
        <w:rPr>
          <w:rFonts w:hint="eastAsia" w:asciiTheme="minorEastAsia" w:hAnsiTheme="minorEastAsia"/>
          <w:sz w:val="24"/>
          <w:lang w:eastAsia="zh-CN"/>
        </w:rPr>
        <w:t>；</w:t>
      </w:r>
    </w:p>
    <w:p>
      <w:pPr>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ascii="微软雅黑" w:hAnsi="微软雅黑" w:eastAsia="微软雅黑"/>
          <w:b/>
          <w:sz w:val="30"/>
          <w:szCs w:val="30"/>
        </w:rPr>
      </w:pPr>
      <w:r>
        <w:rPr>
          <w:rFonts w:hint="eastAsia" w:asciiTheme="minorEastAsia" w:hAnsiTheme="minorEastAsia"/>
          <w:sz w:val="24"/>
        </w:rPr>
        <w:t>中山大学管理学院教授，财务与投资管理专业博士生导师</w:t>
      </w:r>
      <w:r>
        <w:rPr>
          <w:rFonts w:hint="eastAsia" w:asciiTheme="minorEastAsia" w:hAnsiTheme="minorEastAsia"/>
          <w:sz w:val="24"/>
          <w:lang w:eastAsia="zh-CN"/>
        </w:rPr>
        <w:t>；</w:t>
      </w:r>
    </w:p>
    <w:p>
      <w:pPr>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ascii="微软雅黑" w:hAnsi="微软雅黑" w:eastAsia="微软雅黑"/>
          <w:b/>
          <w:sz w:val="30"/>
          <w:szCs w:val="30"/>
        </w:rPr>
      </w:pPr>
      <w:r>
        <w:rPr>
          <w:rFonts w:hint="eastAsia" w:asciiTheme="minorEastAsia" w:hAnsiTheme="minorEastAsia"/>
          <w:sz w:val="24"/>
        </w:rPr>
        <w:t>广东省省情调查与对策咨询专家库专家</w:t>
      </w:r>
      <w:r>
        <w:rPr>
          <w:rFonts w:hint="eastAsia" w:asciiTheme="minorEastAsia" w:hAnsiTheme="minorEastAsia"/>
          <w:sz w:val="24"/>
          <w:lang w:eastAsia="zh-CN"/>
        </w:rPr>
        <w:t>；</w:t>
      </w:r>
    </w:p>
    <w:p>
      <w:pPr>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ascii="微软雅黑" w:hAnsi="微软雅黑" w:eastAsia="微软雅黑"/>
          <w:b/>
          <w:sz w:val="30"/>
          <w:szCs w:val="30"/>
        </w:rPr>
      </w:pPr>
      <w:r>
        <w:rPr>
          <w:rFonts w:hint="eastAsia" w:asciiTheme="minorEastAsia" w:hAnsiTheme="minorEastAsia"/>
          <w:sz w:val="24"/>
        </w:rPr>
        <w:t>广东省政府项目评审财务专家</w:t>
      </w:r>
      <w:r>
        <w:rPr>
          <w:rFonts w:hint="eastAsia" w:asciiTheme="minorEastAsia" w:hAnsiTheme="minorEastAsia"/>
          <w:sz w:val="24"/>
          <w:lang w:eastAsia="zh-CN"/>
        </w:rPr>
        <w:t>；</w:t>
      </w:r>
    </w:p>
    <w:p>
      <w:pPr>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after="157" w:afterLines="50" w:line="520" w:lineRule="exact"/>
        <w:ind w:left="420" w:leftChars="0" w:right="0" w:rightChars="0" w:hanging="420" w:firstLineChars="0"/>
        <w:jc w:val="both"/>
        <w:textAlignment w:val="auto"/>
        <w:outlineLvl w:val="9"/>
        <w:rPr>
          <w:rFonts w:ascii="微软雅黑" w:hAnsi="微软雅黑" w:eastAsia="微软雅黑"/>
          <w:b/>
          <w:sz w:val="30"/>
          <w:szCs w:val="30"/>
        </w:rPr>
      </w:pPr>
      <w:r>
        <w:rPr>
          <w:rFonts w:hint="eastAsia" w:asciiTheme="minorEastAsia" w:hAnsiTheme="minorEastAsia"/>
          <w:sz w:val="24"/>
        </w:rPr>
        <w:t>主要从事企业财务管理，投资项目评估等课程的教学研究</w:t>
      </w:r>
      <w:r>
        <w:rPr>
          <w:rFonts w:hint="eastAsia" w:asciiTheme="minorEastAsia" w:hAnsiTheme="minorEastAsia"/>
          <w:sz w:val="24"/>
          <w:lang w:eastAsia="zh-CN"/>
        </w:rPr>
        <w:t>。</w:t>
      </w: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课程大纲</w:t>
      </w:r>
    </w:p>
    <w:p>
      <w:pPr>
        <w:pStyle w:val="6"/>
        <w:numPr>
          <w:ilvl w:val="0"/>
          <w:numId w:val="2"/>
        </w:numPr>
        <w:spacing w:beforeLines="70" w:line="480" w:lineRule="exact"/>
        <w:ind w:firstLineChars="0"/>
        <w:rPr>
          <w:b/>
          <w:sz w:val="24"/>
        </w:rPr>
        <w:sectPr>
          <w:headerReference r:id="rId3" w:type="default"/>
          <w:footerReference r:id="rId4" w:type="default"/>
          <w:pgSz w:w="11906" w:h="16838"/>
          <w:pgMar w:top="1440" w:right="1134" w:bottom="1440" w:left="1134" w:header="851" w:footer="992" w:gutter="0"/>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bCs w:val="0"/>
          <w:sz w:val="24"/>
        </w:rPr>
      </w:pPr>
      <w:r>
        <w:rPr>
          <w:rFonts w:hint="eastAsia"/>
          <w:b/>
          <w:bCs w:val="0"/>
          <w:sz w:val="24"/>
        </w:rPr>
        <w:t>一、财务报表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是指企业对外提供的反映企业某一特定日期的财务状况和某一会计期间的经营成果、现金流量等会计信息的文件。包括：资产负债表、利润表和现金流量表。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1、资产负债表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sectPr>
          <w:type w:val="continuous"/>
          <w:pgSz w:w="11906" w:h="16838"/>
          <w:pgMar w:top="1440" w:right="1134" w:bottom="1440" w:left="113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（1）流动资产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（2）非流动资产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（3）长期股权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（4）投资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（5）固定资产、无形资产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sectPr>
          <w:type w:val="continuous"/>
          <w:pgSz w:w="11906" w:h="16838"/>
          <w:pgMar w:top="1440" w:right="1134" w:bottom="1440" w:left="1134" w:header="851" w:footer="992" w:gutter="0"/>
          <w:cols w:equalWidth="0" w:num="2">
            <w:col w:w="4606" w:space="425"/>
            <w:col w:w="4606"/>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2、利润表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3、现金流量表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sectPr>
          <w:type w:val="continuous"/>
          <w:pgSz w:w="11906" w:h="16838"/>
          <w:pgMar w:top="1440" w:right="1134" w:bottom="1440" w:left="113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（1）经营活动产生的现金流量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（2）投资活动产生的现金流量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（3）筹资活动产生的现金流量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sectPr>
          <w:type w:val="continuous"/>
          <w:pgSz w:w="11906" w:h="16838"/>
          <w:pgMar w:top="1440" w:right="1134" w:bottom="1440" w:left="1134" w:header="851" w:footer="992" w:gutter="0"/>
          <w:cols w:equalWidth="0" w:num="2">
            <w:col w:w="4606" w:space="425"/>
            <w:col w:w="4606"/>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right="0" w:rightChars="0" w:firstLine="0" w:firstLineChars="0"/>
        <w:jc w:val="both"/>
        <w:textAlignment w:val="auto"/>
        <w:outlineLvl w:val="9"/>
        <w:rPr>
          <w:rFonts w:hint="eastAsia"/>
          <w:b/>
          <w:bCs w:val="0"/>
          <w:sz w:val="24"/>
        </w:rPr>
      </w:pPr>
      <w:r>
        <w:rPr>
          <w:rFonts w:hint="eastAsia"/>
          <w:b/>
          <w:bCs w:val="0"/>
          <w:sz w:val="24"/>
        </w:rPr>
        <w:t>二、财务报表分析与评价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1、结构比率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2、盈利能力比率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3、营运能力比率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4、偿债能力比率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b w:val="0"/>
          <w:bCs/>
          <w:sz w:val="24"/>
        </w:rPr>
      </w:pPr>
      <w:r>
        <w:rPr>
          <w:rFonts w:hint="eastAsia"/>
          <w:b w:val="0"/>
          <w:bCs/>
          <w:sz w:val="24"/>
        </w:rPr>
        <w:t>5、成长能力比率</w:t>
      </w:r>
    </w:p>
    <w:sectPr>
      <w:type w:val="continuous"/>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宋体"/>
    <w:panose1 w:val="020B0503020204020204"/>
    <w:charset w:val="86"/>
    <w:family w:val="swiss"/>
    <w:pitch w:val="default"/>
    <w:sig w:usb0="00000000" w:usb1="00000000" w:usb2="00000016" w:usb3="00000000" w:csb0="0004001F" w:csb1="00000000"/>
  </w:font>
  <w:font w:name="Calibri Light">
    <w:altName w:val="MV Boli"/>
    <w:panose1 w:val="020F0302020204030204"/>
    <w:charset w:val="00"/>
    <w:family w:val="decorative"/>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MV Boli">
    <w:panose1 w:val="02000500030200090000"/>
    <w:charset w:val="00"/>
    <w:family w:val="auto"/>
    <w:pitch w:val="default"/>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zh-CN"/>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97155</wp:posOffset>
              </wp:positionV>
              <wp:extent cx="4572000" cy="757555"/>
              <wp:effectExtent l="0" t="0" r="0" b="0"/>
              <wp:wrapNone/>
              <wp:docPr id="4"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pPr>
                            <w:rPr>
                              <w:rFonts w:ascii="宋体" w:hAnsi="宋体" w:cs="微软雅黑"/>
                              <w:b/>
                              <w:szCs w:val="21"/>
                            </w:rPr>
                          </w:pPr>
                          <w:r>
                            <w:rPr>
                              <w:rFonts w:hint="eastAsia" w:ascii="宋体" w:hAnsi="宋体" w:cs="微软雅黑"/>
                              <w:b/>
                              <w:szCs w:val="21"/>
                            </w:rPr>
                            <w:t>中大招生联系电话：</w:t>
                          </w:r>
                          <w:r>
                            <w:rPr>
                              <w:rFonts w:hint="eastAsia" w:ascii="宋体" w:hAnsi="宋体" w:cs="微软雅黑"/>
                              <w:b/>
                              <w:szCs w:val="21"/>
                              <w:lang w:val="en-US" w:eastAsia="zh-CN"/>
                            </w:rPr>
                            <w:t>4009-020-882</w:t>
                          </w:r>
                        </w:p>
                        <w:p>
                          <w:pPr>
                            <w:spacing w:line="440" w:lineRule="exact"/>
                            <w:rPr>
                              <w:rFonts w:ascii="微软雅黑" w:hAnsi="微软雅黑" w:eastAsia="微软雅黑" w:cs="微软雅黑"/>
                              <w:szCs w:val="21"/>
                            </w:rPr>
                          </w:pPr>
                          <w:r>
                            <w:rPr>
                              <w:rFonts w:hint="eastAsia" w:ascii="宋体" w:hAnsi="宋体" w:cs="微软雅黑"/>
                              <w:b/>
                              <w:szCs w:val="21"/>
                            </w:rPr>
                            <w:t>详情请登录学员服务网站：</w:t>
                          </w:r>
                          <w:r>
                            <w:rPr>
                              <w:rFonts w:hint="eastAsia" w:ascii="宋体" w:hAnsi="宋体" w:cs="微软雅黑"/>
                              <w:szCs w:val="21"/>
                            </w:rPr>
                            <w:t>www.zdmba.com.cn</w:t>
                          </w:r>
                        </w:p>
                        <w:p>
                          <w:pPr>
                            <w:rPr>
                              <w:rFonts w:ascii="微软雅黑" w:hAnsi="微软雅黑" w:eastAsia="微软雅黑" w:cs="微软雅黑"/>
                              <w:szCs w:val="21"/>
                            </w:rPr>
                          </w:pPr>
                        </w:p>
                      </w:txbxContent>
                    </wps:txbx>
                    <wps:bodyPr upright="1"/>
                  </wps:wsp>
                </a:graphicData>
              </a:graphic>
            </wp:anchor>
          </w:drawing>
        </mc:Choice>
        <mc:Fallback>
          <w:pict>
            <v:shape id="Text Box 3" o:spid="_x0000_s1026" o:spt="202" type="#_x0000_t202" style="position:absolute;left:0pt;margin-left:-9.75pt;margin-top:7.65pt;height:59.65pt;width:360pt;z-index:251661312;mso-width-relative:page;mso-height-relative:page;" filled="f" stroked="f" coordsize="21600,21600" o:gfxdata="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aiBSa1wAAAAoBAAAPAAAAAAAAAAEAIAAAACIAAABkcnMv&#10;ZG93bnJldi54bWxQSwECFAAUAAAACACHTuJAeYUUJ5IBAAAgAwAADgAAAAAAAAABACAAAAAmAQAA&#10;ZHJzL2Uyb0RvYy54bWxQSwUGAAAAAAYABgBZAQAAKgUAAAAA&#10;">
              <v:fill on="f" focussize="0,0"/>
              <v:stroke on="f" joinstyle="miter"/>
              <v:imagedata o:title=""/>
              <o:lock v:ext="edit" aspectratio="f"/>
              <v:textbox>
                <w:txbxContent>
                  <w:p>
                    <w:pPr>
                      <w:rPr>
                        <w:rFonts w:ascii="宋体" w:hAnsi="宋体" w:cs="微软雅黑"/>
                        <w:b/>
                        <w:szCs w:val="21"/>
                      </w:rPr>
                    </w:pPr>
                    <w:r>
                      <w:rPr>
                        <w:rFonts w:hint="eastAsia" w:ascii="宋体" w:hAnsi="宋体" w:cs="微软雅黑"/>
                        <w:b/>
                        <w:szCs w:val="21"/>
                      </w:rPr>
                      <w:t>中大招生联系电话：</w:t>
                    </w:r>
                    <w:r>
                      <w:rPr>
                        <w:rFonts w:hint="eastAsia" w:ascii="宋体" w:hAnsi="宋体" w:cs="微软雅黑"/>
                        <w:b/>
                        <w:szCs w:val="21"/>
                        <w:lang w:val="en-US" w:eastAsia="zh-CN"/>
                      </w:rPr>
                      <w:t>4009-020-882</w:t>
                    </w:r>
                  </w:p>
                  <w:p>
                    <w:pPr>
                      <w:spacing w:line="440" w:lineRule="exact"/>
                      <w:rPr>
                        <w:rFonts w:ascii="微软雅黑" w:hAnsi="微软雅黑" w:eastAsia="微软雅黑" w:cs="微软雅黑"/>
                        <w:szCs w:val="21"/>
                      </w:rPr>
                    </w:pPr>
                    <w:r>
                      <w:rPr>
                        <w:rFonts w:hint="eastAsia" w:ascii="宋体" w:hAnsi="宋体" w:cs="微软雅黑"/>
                        <w:b/>
                        <w:szCs w:val="21"/>
                      </w:rPr>
                      <w:t>详情请登录学员服务网站：</w:t>
                    </w:r>
                    <w:r>
                      <w:rPr>
                        <w:rFonts w:hint="eastAsia" w:ascii="宋体" w:hAnsi="宋体" w:cs="微软雅黑"/>
                        <w:szCs w:val="21"/>
                      </w:rPr>
                      <w:t>www.zdmba.com.cn</w:t>
                    </w:r>
                  </w:p>
                  <w:p>
                    <w:pPr>
                      <w:rPr>
                        <w:rFonts w:ascii="微软雅黑" w:hAnsi="微软雅黑" w:eastAsia="微软雅黑" w:cs="微软雅黑"/>
                        <w:szCs w:val="21"/>
                      </w:rPr>
                    </w:pPr>
                  </w:p>
                </w:txbxContent>
              </v:textbox>
            </v:shape>
          </w:pict>
        </mc:Fallback>
      </mc:AlternateContent>
    </w:r>
    <w:r>
      <w:rPr>
        <w:rFonts w:hint="eastAsia"/>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205740</wp:posOffset>
          </wp:positionV>
          <wp:extent cx="7332345" cy="534035"/>
          <wp:effectExtent l="0" t="0" r="1905" b="0"/>
          <wp:wrapNone/>
          <wp:docPr id="5" name="Picture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图片2"/>
                  <pic:cNvPicPr>
                    <a:picLocks noChangeAspect="1"/>
                  </pic:cNvPicPr>
                </pic:nvPicPr>
                <pic:blipFill>
                  <a:blip r:embed="rId1"/>
                  <a:stretch>
                    <a:fillRect/>
                  </a:stretch>
                </pic:blipFill>
                <pic:spPr>
                  <a:xfrm>
                    <a:off x="0" y="0"/>
                    <a:ext cx="7332345" cy="534035"/>
                  </a:xfrm>
                  <a:prstGeom prst="rect">
                    <a:avLst/>
                  </a:prstGeom>
                  <a:noFill/>
                  <a:ln w="9525">
                    <a:noFill/>
                    <a:miter/>
                  </a:ln>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9525" b="0"/>
              <wp:wrapNone/>
              <wp:docPr id="6" name="Rectangle 5"/>
              <wp:cNvGraphicFramePr/>
              <a:graphic xmlns:a="http://schemas.openxmlformats.org/drawingml/2006/main">
                <a:graphicData uri="http://schemas.microsoft.com/office/word/2010/wordprocessingShape">
                  <wps:wsp>
                    <wps:cNvSpPr/>
                    <wps:spPr>
                      <a:xfrm>
                        <a:off x="0" y="0"/>
                        <a:ext cx="7362825" cy="133350"/>
                      </a:xfrm>
                      <a:prstGeom prst="rect">
                        <a:avLst/>
                      </a:prstGeom>
                      <a:solidFill>
                        <a:srgbClr val="FFFFFF"/>
                      </a:solidFill>
                      <a:ln w="9525">
                        <a:noFill/>
                        <a:miter/>
                      </a:ln>
                      <a:effectLst/>
                    </wps:spPr>
                    <wps:bodyPr upright="1"/>
                  </wps:wsp>
                </a:graphicData>
              </a:graphic>
            </wp:anchor>
          </w:drawing>
        </mc:Choice>
        <mc:Fallback>
          <w:pict>
            <v:rect id="Rectangle 5" o:spid="_x0000_s1026" o:spt="1" style="position:absolute;left:0pt;margin-left:-86.3pt;margin-top:44.85pt;height:10.5pt;width:579.75pt;z-index:251663360;mso-width-relative:page;mso-height-relative:page;" fillcolor="#FFFFFF" filled="t" stroked="f" coordsize="21600,21600" o:gfxdata="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qeSwNgAAAALAQAADwAAAAAA&#10;AAABACAAAAAiAAAAZHJzL2Rvd25yZXYueG1sUEsBAhQAFAAAAAgAh07iQDZdl8ihAQAANQMAAA4A&#10;AAAAAAAAAQAgAAAAJwEAAGRycy9lMm9Eb2MueG1sUEsFBgAAAAAGAAYAWQEAADoFAAAAAA==&#10;">
              <v:fill on="t" focussize="0,0"/>
              <v:stroke on="f"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9525" b="9525"/>
              <wp:wrapNone/>
              <wp:docPr id="7" name="Rectangle 6"/>
              <wp:cNvGraphicFramePr/>
              <a:graphic xmlns:a="http://schemas.openxmlformats.org/drawingml/2006/main">
                <a:graphicData uri="http://schemas.microsoft.com/office/word/2010/wordprocessingShape">
                  <wps:wsp>
                    <wps:cNvSpPr/>
                    <wps:spPr>
                      <a:xfrm>
                        <a:off x="0" y="0"/>
                        <a:ext cx="6029325" cy="352425"/>
                      </a:xfrm>
                      <a:prstGeom prst="rect">
                        <a:avLst/>
                      </a:prstGeom>
                      <a:solidFill>
                        <a:srgbClr val="FFFFFF"/>
                      </a:solidFill>
                      <a:ln w="9525">
                        <a:noFill/>
                        <a:miter/>
                      </a:ln>
                      <a:effectLst/>
                    </wps:spPr>
                    <wps:bodyPr upright="1"/>
                  </wps:wsp>
                </a:graphicData>
              </a:graphic>
            </wp:anchor>
          </w:drawing>
        </mc:Choice>
        <mc:Fallback>
          <w:pict>
            <v:rect id="Rectangle 6" o:spid="_x0000_s1026" o:spt="1" style="position:absolute;left:0pt;margin-left:-31.6pt;margin-top:-12.15pt;height:27.75pt;width:474.75pt;z-index:251658240;mso-width-relative:page;mso-height-relative:page;" fillcolor="#FFFFFF" filled="t" stroked="f" coordsize="21600,21600" o:gfxdata="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SBKx71wAAAAoBAAAPAAAAAAAAAAEA&#10;IAAAACIAAABkcnMvZG93bnJldi54bWxQSwECFAAUAAAACACHTuJASsMCqp4BAAA1AwAADgAAAAAA&#10;AAABACAAAAAmAQAAZHJzL2Uyb0RvYy54bWxQSwUGAAAAAAYABgBZAQAANgUAAAAA&#10;">
              <v:fill on="t" focussize="0,0"/>
              <v:stroke on="f" joinstyle="miter"/>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right="840" w:rightChars="400"/>
    </w:pPr>
    <w:r>
      <w:rPr>
        <w:rFonts w:hint="eastAsia"/>
      </w:rPr>
      <w:drawing>
        <wp:anchor distT="0" distB="0" distL="114300" distR="114300" simplePos="0" relativeHeight="251660288" behindDoc="0" locked="0" layoutInCell="1" allowOverlap="1">
          <wp:simplePos x="0" y="0"/>
          <wp:positionH relativeFrom="column">
            <wp:posOffset>-779780</wp:posOffset>
          </wp:positionH>
          <wp:positionV relativeFrom="paragraph">
            <wp:posOffset>-466090</wp:posOffset>
          </wp:positionV>
          <wp:extent cx="7359015" cy="903605"/>
          <wp:effectExtent l="0" t="0" r="13335" b="11430"/>
          <wp:wrapNone/>
          <wp:docPr id="2"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图片1"/>
                  <pic:cNvPicPr>
                    <a:picLocks noChangeAspect="1"/>
                  </pic:cNvPicPr>
                </pic:nvPicPr>
                <pic:blipFill>
                  <a:blip r:embed="rId1"/>
                  <a:stretch>
                    <a:fillRect/>
                  </a:stretch>
                </pic:blipFill>
                <pic:spPr>
                  <a:xfrm>
                    <a:off x="0" y="0"/>
                    <a:ext cx="7359015" cy="903605"/>
                  </a:xfrm>
                  <a:prstGeom prst="rect">
                    <a:avLst/>
                  </a:prstGeom>
                  <a:noFill/>
                  <a:ln w="9525">
                    <a:noFill/>
                    <a:miter/>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0" r="9525" b="9525"/>
              <wp:wrapNone/>
              <wp:docPr id="1" name="Rectangle 2"/>
              <wp:cNvGraphicFramePr/>
              <a:graphic xmlns:a="http://schemas.openxmlformats.org/drawingml/2006/main">
                <a:graphicData uri="http://schemas.microsoft.com/office/word/2010/wordprocessingShape">
                  <wps:wsp>
                    <wps:cNvSpPr/>
                    <wps:spPr>
                      <a:xfrm>
                        <a:off x="0" y="0"/>
                        <a:ext cx="6562725" cy="676275"/>
                      </a:xfrm>
                      <a:prstGeom prst="rect">
                        <a:avLst/>
                      </a:prstGeom>
                      <a:solidFill>
                        <a:srgbClr val="FFFFFF"/>
                      </a:solidFill>
                      <a:ln w="9525">
                        <a:noFill/>
                        <a:miter/>
                      </a:ln>
                      <a:effectLst/>
                    </wps:spPr>
                    <wps:bodyPr upright="1"/>
                  </wps:wsp>
                </a:graphicData>
              </a:graphic>
            </wp:anchor>
          </w:drawing>
        </mc:Choice>
        <mc:Fallback>
          <w:pict>
            <v:rect id="Rectangle 2" o:spid="_x0000_s1026" o:spt="1" style="position:absolute;left:0pt;margin-left:-66.05pt;margin-top:-23.9pt;height:53.25pt;width:516.75pt;z-index:251659264;mso-width-relative:page;mso-height-relative:page;" fillcolor="#FFFFFF" filled="t" stroked="f" coordsize="21600,21600" o:gfxdata="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1HaHtkAAAALAQAADwAAAAAAAAAB&#10;ACAAAAAiAAAAZHJzL2Rvd25yZXYueG1sUEsBAhQAFAAAAAgAh07iQMSq38mdAQAANQMAAA4AAAAA&#10;AAAAAQAgAAAAKAEAAGRycy9lMm9Eb2MueG1sUEsFBgAAAAAGAAYAWQEAADcFAAAAAA==&#10;">
              <v:fill on="t" focussize="0,0"/>
              <v:stroke on="f"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323"/>
    <w:multiLevelType w:val="multilevel"/>
    <w:tmpl w:val="310B3323"/>
    <w:lvl w:ilvl="0" w:tentative="0">
      <w:start w:val="1"/>
      <w:numFmt w:val="none"/>
      <w:lvlText w:val="一、"/>
      <w:lvlJc w:val="left"/>
      <w:pPr>
        <w:ind w:left="510" w:hanging="51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19EC63"/>
    <w:multiLevelType w:val="singleLevel"/>
    <w:tmpl w:val="5719EC63"/>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3D"/>
    <w:rsid w:val="002733C4"/>
    <w:rsid w:val="00347A5F"/>
    <w:rsid w:val="00427DA2"/>
    <w:rsid w:val="004B483D"/>
    <w:rsid w:val="006F7178"/>
    <w:rsid w:val="007B68B9"/>
    <w:rsid w:val="00A628C7"/>
    <w:rsid w:val="00B545A7"/>
    <w:rsid w:val="00D056E5"/>
    <w:rsid w:val="00D15FD7"/>
    <w:rsid w:val="00DD79C4"/>
    <w:rsid w:val="00EB7374"/>
    <w:rsid w:val="00F6060F"/>
    <w:rsid w:val="00FE0E7A"/>
    <w:rsid w:val="01331E45"/>
    <w:rsid w:val="07C6192A"/>
    <w:rsid w:val="09C05201"/>
    <w:rsid w:val="0DC23337"/>
    <w:rsid w:val="105000F8"/>
    <w:rsid w:val="184123F5"/>
    <w:rsid w:val="25CD7544"/>
    <w:rsid w:val="298B645C"/>
    <w:rsid w:val="307820FC"/>
    <w:rsid w:val="32323F2B"/>
    <w:rsid w:val="384F5916"/>
    <w:rsid w:val="411E1D16"/>
    <w:rsid w:val="49451AB7"/>
    <w:rsid w:val="515C3FAB"/>
    <w:rsid w:val="52A9707A"/>
    <w:rsid w:val="5444705A"/>
    <w:rsid w:val="6ADD71C8"/>
    <w:rsid w:val="7F873E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2</Pages>
  <Words>114</Words>
  <Characters>654</Characters>
  <Lines>5</Lines>
  <Paragraphs>1</Paragraphs>
  <ScaleCrop>false</ScaleCrop>
  <LinksUpToDate>false</LinksUpToDate>
  <CharactersWithSpaces>767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杜建婷</dc:creator>
  <cp:lastModifiedBy>Administrator</cp:lastModifiedBy>
  <dcterms:modified xsi:type="dcterms:W3CDTF">2016-11-10T03:41:06Z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