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line="500" w:lineRule="exact"/>
        <w:jc w:val="center"/>
        <w:rPr>
          <w:rFonts w:ascii="黑体" w:eastAsia="黑体"/>
          <w:b/>
          <w:bCs/>
          <w:shadow/>
          <w:color w:val="FF6600"/>
          <w:sz w:val="48"/>
          <w:szCs w:val="48"/>
        </w:rPr>
      </w:pPr>
      <w:r>
        <w:rPr>
          <w:rFonts w:hint="eastAsia" w:ascii="黑体" w:eastAsia="黑体"/>
          <w:b/>
          <w:bCs/>
          <w:shadow/>
          <w:color w:val="FF6600"/>
          <w:sz w:val="48"/>
          <w:szCs w:val="48"/>
        </w:rPr>
        <w:t>企业战略管理与核心竞争力</w:t>
      </w:r>
    </w:p>
    <w:p>
      <w:pPr>
        <w:tabs>
          <w:tab w:val="left" w:pos="1620"/>
        </w:tabs>
        <w:spacing w:line="432" w:lineRule="exact"/>
        <w:jc w:val="left"/>
        <w:rPr>
          <w:rFonts w:ascii="宋体" w:hAnsi="宋体"/>
          <w:b/>
          <w:bCs/>
          <w:shadow/>
          <w:sz w:val="24"/>
        </w:rPr>
      </w:pPr>
      <w:r>
        <w:rPr>
          <w:shadow/>
          <w:szCs w:val="21"/>
        </w:rPr>
        <w:t>================================================================================</w:t>
      </w:r>
    </w:p>
    <w:p>
      <w:pPr>
        <w:tabs>
          <w:tab w:val="left" w:pos="1620"/>
        </w:tabs>
        <w:spacing w:line="432" w:lineRule="exact"/>
        <w:jc w:val="left"/>
        <w:rPr>
          <w:rFonts w:ascii="宋体" w:hAnsi="宋体"/>
          <w:szCs w:val="21"/>
        </w:rPr>
      </w:pPr>
      <w:r>
        <w:rPr>
          <w:rFonts w:hint="eastAsia" w:ascii="黑体" w:hAnsi="宋体" w:eastAsia="黑体"/>
          <w:color w:val="0000FF"/>
          <w:sz w:val="24"/>
        </w:rPr>
        <w:t>【举办单位】</w:t>
      </w:r>
      <w:r>
        <w:rPr>
          <w:rFonts w:hint="eastAsia" w:ascii="宋体" w:hAnsi="宋体"/>
          <w:szCs w:val="21"/>
        </w:rPr>
        <w:t>睿诚企业管理咨询有限公司</w:t>
      </w:r>
    </w:p>
    <w:p>
      <w:pPr>
        <w:tabs>
          <w:tab w:val="left" w:pos="1620"/>
        </w:tabs>
        <w:spacing w:line="432" w:lineRule="exact"/>
        <w:jc w:val="left"/>
        <w:rPr>
          <w:rFonts w:ascii="黑体" w:hAnsi="宋体" w:eastAsia="黑体"/>
          <w:sz w:val="24"/>
        </w:rPr>
      </w:pPr>
      <w:r>
        <w:rPr>
          <w:rFonts w:hint="eastAsia" w:ascii="黑体" w:hAnsi="宋体" w:eastAsia="黑体"/>
          <w:color w:val="0000FF"/>
          <w:sz w:val="24"/>
        </w:rPr>
        <w:t>【培训时间】</w:t>
      </w:r>
      <w:r>
        <w:rPr>
          <w:rFonts w:hint="eastAsia" w:ascii="宋体" w:hAnsi="宋体"/>
          <w:szCs w:val="21"/>
        </w:rPr>
        <w:t>201</w:t>
      </w:r>
      <w:r>
        <w:rPr>
          <w:rFonts w:hint="eastAsia" w:ascii="宋体" w:hAnsi="宋体"/>
          <w:szCs w:val="21"/>
          <w:lang w:val="en-US" w:eastAsia="zh-CN"/>
        </w:rPr>
        <w:t>7</w:t>
      </w:r>
      <w:bookmarkStart w:id="0" w:name="_GoBack"/>
      <w:bookmarkEnd w:id="0"/>
      <w:r>
        <w:rPr>
          <w:rFonts w:hint="eastAsia" w:ascii="宋体" w:hAnsi="宋体"/>
          <w:szCs w:val="21"/>
        </w:rPr>
        <w:t>年03月25-26月；（AM9</w:t>
      </w:r>
      <w:r>
        <w:rPr>
          <w:rFonts w:ascii="宋体" w:hAnsi="宋体"/>
          <w:szCs w:val="21"/>
        </w:rPr>
        <w:t>:30-</w:t>
      </w:r>
      <w:r>
        <w:rPr>
          <w:rFonts w:hint="eastAsia" w:ascii="宋体" w:hAnsi="宋体"/>
          <w:szCs w:val="21"/>
        </w:rPr>
        <w:t>PM</w:t>
      </w:r>
      <w:r>
        <w:rPr>
          <w:rFonts w:ascii="宋体" w:hAnsi="宋体"/>
          <w:szCs w:val="21"/>
        </w:rPr>
        <w:t>5:30）</w:t>
      </w:r>
      <w:r>
        <w:rPr>
          <w:rFonts w:hint="eastAsia" w:ascii="宋体" w:hAnsi="宋体"/>
          <w:szCs w:val="21"/>
        </w:rPr>
        <w:t xml:space="preserve"> </w:t>
      </w:r>
      <w:r>
        <w:rPr>
          <w:rFonts w:hint="eastAsia" w:ascii="黑体" w:hAnsi="宋体" w:eastAsia="黑体"/>
          <w:sz w:val="24"/>
        </w:rPr>
        <w:t xml:space="preserve">  </w:t>
      </w:r>
    </w:p>
    <w:p>
      <w:pPr>
        <w:tabs>
          <w:tab w:val="left" w:pos="1620"/>
        </w:tabs>
        <w:spacing w:line="432" w:lineRule="exact"/>
        <w:jc w:val="left"/>
        <w:rPr>
          <w:rFonts w:ascii="黑体" w:hAnsi="宋体" w:eastAsia="黑体"/>
          <w:sz w:val="24"/>
        </w:rPr>
      </w:pPr>
      <w:r>
        <w:rPr>
          <w:rFonts w:hint="eastAsia" w:ascii="黑体" w:hAnsi="宋体" w:eastAsia="黑体"/>
          <w:color w:val="0000FF"/>
          <w:sz w:val="24"/>
        </w:rPr>
        <w:t>【培训地点】</w:t>
      </w:r>
      <w:r>
        <w:rPr>
          <w:rFonts w:ascii="宋体" w:hAnsi="宋体"/>
          <w:szCs w:val="21"/>
        </w:rPr>
        <w:t>广州中山大学</w:t>
      </w:r>
    </w:p>
    <w:p>
      <w:pPr>
        <w:tabs>
          <w:tab w:val="left" w:pos="1620"/>
        </w:tabs>
        <w:spacing w:line="432" w:lineRule="exact"/>
        <w:jc w:val="left"/>
        <w:rPr>
          <w:rFonts w:ascii="黑体" w:hAnsi="宋体" w:eastAsia="黑体"/>
          <w:sz w:val="24"/>
        </w:rPr>
      </w:pPr>
      <w:r>
        <w:rPr>
          <w:rFonts w:hint="eastAsia" w:ascii="黑体" w:hAnsi="宋体" w:eastAsia="黑体"/>
          <w:color w:val="0000FF"/>
          <w:sz w:val="24"/>
        </w:rPr>
        <w:t>【收费标准】</w:t>
      </w:r>
      <w:r>
        <w:rPr>
          <w:rFonts w:hint="eastAsia" w:ascii="宋体" w:hAnsi="宋体"/>
          <w:szCs w:val="21"/>
        </w:rPr>
        <w:t>3800元/人（含授课费、资料费、会务费、午餐费）</w:t>
      </w:r>
    </w:p>
    <w:p>
      <w:pPr>
        <w:spacing w:line="432" w:lineRule="exact"/>
        <w:rPr>
          <w:rFonts w:ascii="黑体" w:hAnsi="宋体" w:eastAsia="黑体"/>
          <w:sz w:val="24"/>
        </w:rPr>
      </w:pPr>
      <w:r>
        <w:rPr>
          <w:rFonts w:hint="eastAsia" w:ascii="黑体" w:hAnsi="宋体" w:eastAsia="黑体"/>
          <w:color w:val="0000FF"/>
          <w:sz w:val="24"/>
        </w:rPr>
        <w:t>【授课形式】</w:t>
      </w:r>
      <w:r>
        <w:rPr>
          <w:rFonts w:hint="eastAsia" w:ascii="宋体" w:hAnsi="宋体"/>
          <w:szCs w:val="21"/>
        </w:rPr>
        <w:t>启发式讲授、互动式教学、小组游戏、角色扮演、案例分析</w:t>
      </w:r>
    </w:p>
    <w:p>
      <w:pPr>
        <w:spacing w:line="432" w:lineRule="exact"/>
        <w:jc w:val="center"/>
        <w:rPr>
          <w:rFonts w:ascii="楷体_GB2312" w:eastAsia="楷体_GB2312"/>
          <w:b/>
          <w:bCs/>
          <w:color w:val="000000"/>
          <w:sz w:val="84"/>
        </w:rPr>
      </w:pPr>
      <w:r>
        <w:rPr>
          <w:shadow/>
          <w:szCs w:val="21"/>
        </w:rPr>
        <w:t>================================================================================</w:t>
      </w:r>
    </w:p>
    <w:p>
      <w:pPr>
        <w:tabs>
          <w:tab w:val="left" w:pos="720"/>
        </w:tabs>
        <w:spacing w:line="432" w:lineRule="exact"/>
        <w:rPr>
          <w:rFonts w:ascii="黑体" w:hAnsi="宋体" w:eastAsia="黑体"/>
          <w:color w:val="0000FF"/>
          <w:sz w:val="24"/>
        </w:rPr>
      </w:pPr>
      <w:r>
        <w:rPr>
          <w:rFonts w:hint="eastAsia" w:ascii="黑体" w:hAnsi="宋体" w:eastAsia="黑体"/>
          <w:color w:val="0000FF"/>
          <w:sz w:val="24"/>
        </w:rPr>
        <w:t>一、课程背景：</w:t>
      </w:r>
    </w:p>
    <w:p>
      <w:pPr>
        <w:spacing w:line="432" w:lineRule="exact"/>
        <w:ind w:firstLine="420" w:firstLineChars="200"/>
        <w:rPr>
          <w:rFonts w:ascii="宋体" w:hAnsi="宋体"/>
          <w:bCs/>
          <w:iCs/>
          <w:color w:val="000000"/>
          <w:szCs w:val="21"/>
        </w:rPr>
      </w:pPr>
      <w:r>
        <w:rPr>
          <w:rFonts w:hint="eastAsia" w:ascii="宋体" w:hAnsi="宋体"/>
          <w:bCs/>
          <w:iCs/>
          <w:color w:val="000000"/>
          <w:szCs w:val="21"/>
        </w:rPr>
        <w:t>人无远虑，必有近忧。企业也是一样：没有战略 就是努力跑错方向。中国很多企业，在战略规划 上常常表现为“有战无略”。这一方面是由于好多企业创办人忙于应酬拉关系和营销，不能好好的静下心来思考；但更多的原因却出在对战略管理的认识不够或错误认知，存在着很多的误区。</w:t>
      </w:r>
    </w:p>
    <w:p>
      <w:pPr>
        <w:spacing w:line="432" w:lineRule="exact"/>
        <w:ind w:firstLine="420" w:firstLineChars="200"/>
        <w:rPr>
          <w:rFonts w:ascii="宋体" w:hAnsi="宋体"/>
          <w:bCs/>
          <w:iCs/>
          <w:color w:val="000000"/>
          <w:szCs w:val="21"/>
        </w:rPr>
      </w:pPr>
      <w:r>
        <w:rPr>
          <w:rFonts w:hint="eastAsia" w:ascii="宋体" w:hAnsi="宋体"/>
          <w:bCs/>
          <w:iCs/>
          <w:color w:val="000000"/>
          <w:szCs w:val="21"/>
        </w:rPr>
        <w:t>一个企业好的战略规划表现在二个方面，一个是低成本，一个是差异化，这是企业才能够活下去的出路。如何能够实现低成本、差异化的企业战略 ？在课程中老师会带领我们的企业家们一起层层剖析企业所面临的问题，通过一个个案例分析、运用企业战略的制定和实施方法、工具，为您的企业确定正确的未来发展方向，找到您的“出路”，塑造基业常青的企业。</w:t>
      </w:r>
    </w:p>
    <w:p>
      <w:pPr>
        <w:tabs>
          <w:tab w:val="left" w:pos="720"/>
        </w:tabs>
        <w:spacing w:line="432" w:lineRule="exact"/>
        <w:rPr>
          <w:rFonts w:ascii="黑体" w:hAnsi="宋体" w:eastAsia="黑体"/>
          <w:color w:val="0000FF"/>
          <w:sz w:val="24"/>
        </w:rPr>
      </w:pPr>
      <w:r>
        <w:rPr>
          <w:rFonts w:hint="eastAsia" w:ascii="黑体" w:hAnsi="宋体" w:eastAsia="黑体"/>
          <w:color w:val="0000FF"/>
          <w:sz w:val="24"/>
        </w:rPr>
        <w:t>二、课程大纲：</w:t>
      </w:r>
    </w:p>
    <w:p>
      <w:pPr>
        <w:tabs>
          <w:tab w:val="left" w:pos="720"/>
        </w:tabs>
        <w:spacing w:line="432" w:lineRule="exact"/>
        <w:rPr>
          <w:rFonts w:ascii="黑体" w:hAnsi="宋体" w:eastAsia="黑体"/>
          <w:color w:val="0000FF"/>
          <w:sz w:val="24"/>
        </w:rPr>
        <w:sectPr>
          <w:headerReference r:id="rId3" w:type="default"/>
          <w:type w:val="continuous"/>
          <w:pgSz w:w="11906" w:h="16838"/>
          <w:pgMar w:top="1021" w:right="1077" w:bottom="851" w:left="1134" w:header="454" w:footer="454" w:gutter="0"/>
          <w:cols w:space="425" w:num="1"/>
          <w:docGrid w:type="linesAndChars" w:linePitch="312" w:charSpace="0"/>
        </w:sectPr>
      </w:pPr>
    </w:p>
    <w:p>
      <w:pPr>
        <w:tabs>
          <w:tab w:val="left" w:pos="720"/>
        </w:tabs>
        <w:spacing w:line="432" w:lineRule="exact"/>
        <w:rPr>
          <w:iCs/>
        </w:rPr>
      </w:pPr>
      <w:r>
        <w:rPr>
          <w:rFonts w:hint="eastAsia"/>
          <w:iCs/>
        </w:rPr>
        <w:t>一、战略是什么</w:t>
      </w:r>
    </w:p>
    <w:p>
      <w:pPr>
        <w:tabs>
          <w:tab w:val="left" w:pos="720"/>
        </w:tabs>
        <w:spacing w:line="432" w:lineRule="exact"/>
        <w:rPr>
          <w:iCs/>
        </w:rPr>
      </w:pPr>
      <w:r>
        <w:rPr>
          <w:rFonts w:hint="eastAsia"/>
          <w:iCs/>
        </w:rPr>
        <w:t>1、什么是企业战略？</w:t>
      </w:r>
    </w:p>
    <w:p>
      <w:pPr>
        <w:tabs>
          <w:tab w:val="left" w:pos="720"/>
        </w:tabs>
        <w:spacing w:line="432" w:lineRule="exact"/>
        <w:rPr>
          <w:iCs/>
        </w:rPr>
      </w:pPr>
      <w:r>
        <w:rPr>
          <w:rFonts w:hint="eastAsia"/>
          <w:iCs/>
        </w:rPr>
        <w:t>2、企业战略的构成要素</w:t>
      </w:r>
    </w:p>
    <w:p>
      <w:pPr>
        <w:tabs>
          <w:tab w:val="left" w:pos="720"/>
        </w:tabs>
        <w:spacing w:line="432" w:lineRule="exact"/>
        <w:rPr>
          <w:iCs/>
        </w:rPr>
      </w:pPr>
      <w:r>
        <w:rPr>
          <w:rFonts w:hint="eastAsia"/>
          <w:iCs/>
        </w:rPr>
        <w:t>3、企业战略的管理流程</w:t>
      </w:r>
    </w:p>
    <w:p>
      <w:pPr>
        <w:tabs>
          <w:tab w:val="left" w:pos="720"/>
        </w:tabs>
        <w:spacing w:line="432" w:lineRule="exact"/>
        <w:rPr>
          <w:iCs/>
        </w:rPr>
      </w:pPr>
      <w:r>
        <w:rPr>
          <w:rFonts w:hint="eastAsia"/>
          <w:iCs/>
        </w:rPr>
        <w:t>二、根据什么制定战略－－战略设计的六大基石</w:t>
      </w:r>
    </w:p>
    <w:p>
      <w:pPr>
        <w:tabs>
          <w:tab w:val="left" w:pos="720"/>
        </w:tabs>
        <w:spacing w:line="432" w:lineRule="exact"/>
        <w:rPr>
          <w:iCs/>
        </w:rPr>
      </w:pPr>
      <w:r>
        <w:rPr>
          <w:rFonts w:hint="eastAsia"/>
          <w:iCs/>
        </w:rPr>
        <w:t>1、欲做战略，先定愿景</w:t>
      </w:r>
    </w:p>
    <w:p>
      <w:pPr>
        <w:tabs>
          <w:tab w:val="left" w:pos="720"/>
        </w:tabs>
        <w:spacing w:line="432" w:lineRule="exact"/>
        <w:rPr>
          <w:iCs/>
        </w:rPr>
      </w:pPr>
      <w:r>
        <w:rPr>
          <w:rFonts w:hint="eastAsia"/>
          <w:iCs/>
        </w:rPr>
        <w:t>2、市场趋势分析</w:t>
      </w:r>
    </w:p>
    <w:p>
      <w:pPr>
        <w:tabs>
          <w:tab w:val="left" w:pos="720"/>
        </w:tabs>
        <w:spacing w:line="432" w:lineRule="exact"/>
        <w:rPr>
          <w:iCs/>
        </w:rPr>
      </w:pPr>
      <w:r>
        <w:rPr>
          <w:rFonts w:hint="eastAsia"/>
          <w:iCs/>
        </w:rPr>
        <w:t>3、行业环境分析</w:t>
      </w:r>
    </w:p>
    <w:p>
      <w:pPr>
        <w:tabs>
          <w:tab w:val="left" w:pos="720"/>
        </w:tabs>
        <w:spacing w:line="432" w:lineRule="exact"/>
        <w:rPr>
          <w:iCs/>
        </w:rPr>
      </w:pPr>
      <w:r>
        <w:rPr>
          <w:rFonts w:hint="eastAsia"/>
          <w:iCs/>
        </w:rPr>
        <w:t>4、竞争结构分析</w:t>
      </w:r>
    </w:p>
    <w:p>
      <w:pPr>
        <w:tabs>
          <w:tab w:val="left" w:pos="720"/>
        </w:tabs>
        <w:spacing w:line="432" w:lineRule="exact"/>
        <w:rPr>
          <w:iCs/>
        </w:rPr>
      </w:pPr>
      <w:r>
        <w:rPr>
          <w:rFonts w:hint="eastAsia"/>
          <w:iCs/>
        </w:rPr>
        <w:t>5、企业资源能力分析</w:t>
      </w:r>
    </w:p>
    <w:p>
      <w:pPr>
        <w:tabs>
          <w:tab w:val="left" w:pos="720"/>
        </w:tabs>
        <w:spacing w:line="432" w:lineRule="exact"/>
        <w:rPr>
          <w:iCs/>
        </w:rPr>
      </w:pPr>
      <w:r>
        <w:rPr>
          <w:rFonts w:hint="eastAsia"/>
          <w:iCs/>
        </w:rPr>
        <w:t>6、企业优势与短板分析</w:t>
      </w:r>
    </w:p>
    <w:p>
      <w:pPr>
        <w:tabs>
          <w:tab w:val="left" w:pos="720"/>
        </w:tabs>
        <w:spacing w:line="432" w:lineRule="exact"/>
        <w:rPr>
          <w:iCs/>
        </w:rPr>
      </w:pPr>
      <w:r>
        <w:rPr>
          <w:rFonts w:hint="eastAsia"/>
          <w:iCs/>
        </w:rPr>
        <w:t>三、企业的总体战略</w:t>
      </w:r>
    </w:p>
    <w:p>
      <w:pPr>
        <w:tabs>
          <w:tab w:val="left" w:pos="720"/>
        </w:tabs>
        <w:spacing w:line="432" w:lineRule="exact"/>
        <w:rPr>
          <w:iCs/>
        </w:rPr>
      </w:pPr>
      <w:r>
        <w:rPr>
          <w:rFonts w:hint="eastAsia"/>
          <w:iCs/>
        </w:rPr>
        <w:t>1、企业总体战略及加强型战略</w:t>
      </w:r>
    </w:p>
    <w:p>
      <w:pPr>
        <w:tabs>
          <w:tab w:val="left" w:pos="720"/>
        </w:tabs>
        <w:spacing w:line="432" w:lineRule="exact"/>
        <w:rPr>
          <w:iCs/>
        </w:rPr>
      </w:pPr>
      <w:r>
        <w:rPr>
          <w:rFonts w:hint="eastAsia"/>
          <w:iCs/>
        </w:rPr>
        <w:t>2、稳定与收缩战略</w:t>
      </w:r>
    </w:p>
    <w:p>
      <w:pPr>
        <w:tabs>
          <w:tab w:val="left" w:pos="720"/>
        </w:tabs>
        <w:spacing w:line="432" w:lineRule="exact"/>
        <w:rPr>
          <w:iCs/>
        </w:rPr>
      </w:pPr>
      <w:r>
        <w:rPr>
          <w:rFonts w:hint="eastAsia"/>
          <w:iCs/>
        </w:rPr>
        <w:t>3、一体化战略</w:t>
      </w:r>
    </w:p>
    <w:p>
      <w:pPr>
        <w:tabs>
          <w:tab w:val="left" w:pos="720"/>
        </w:tabs>
        <w:spacing w:line="432" w:lineRule="exact"/>
        <w:rPr>
          <w:iCs/>
        </w:rPr>
      </w:pPr>
      <w:r>
        <w:rPr>
          <w:rFonts w:hint="eastAsia"/>
          <w:iCs/>
        </w:rPr>
        <w:t>4、多元化战略</w:t>
      </w:r>
    </w:p>
    <w:p>
      <w:pPr>
        <w:tabs>
          <w:tab w:val="left" w:pos="720"/>
        </w:tabs>
        <w:spacing w:line="432" w:lineRule="exact"/>
        <w:rPr>
          <w:iCs/>
        </w:rPr>
      </w:pPr>
      <w:r>
        <w:rPr>
          <w:rFonts w:hint="eastAsia"/>
          <w:iCs/>
        </w:rPr>
        <w:t>四、可供选择的竞争战略</w:t>
      </w:r>
    </w:p>
    <w:p>
      <w:pPr>
        <w:tabs>
          <w:tab w:val="left" w:pos="720"/>
        </w:tabs>
        <w:spacing w:line="432" w:lineRule="exact"/>
        <w:rPr>
          <w:iCs/>
        </w:rPr>
      </w:pPr>
      <w:r>
        <w:rPr>
          <w:rFonts w:hint="eastAsia"/>
          <w:iCs/>
        </w:rPr>
        <w:t>1、成本领先策略</w:t>
      </w:r>
    </w:p>
    <w:p>
      <w:pPr>
        <w:tabs>
          <w:tab w:val="left" w:pos="720"/>
        </w:tabs>
        <w:spacing w:line="432" w:lineRule="exact"/>
        <w:rPr>
          <w:iCs/>
        </w:rPr>
      </w:pPr>
      <w:r>
        <w:rPr>
          <w:rFonts w:hint="eastAsia"/>
          <w:iCs/>
        </w:rPr>
        <w:t>2、构建不同差异策略</w:t>
      </w:r>
    </w:p>
    <w:p>
      <w:pPr>
        <w:tabs>
          <w:tab w:val="left" w:pos="720"/>
        </w:tabs>
        <w:spacing w:line="432" w:lineRule="exact"/>
        <w:rPr>
          <w:iCs/>
        </w:rPr>
      </w:pPr>
      <w:r>
        <w:rPr>
          <w:rFonts w:hint="eastAsia"/>
          <w:iCs/>
        </w:rPr>
        <w:t>3、集中化策略</w:t>
      </w:r>
    </w:p>
    <w:p>
      <w:pPr>
        <w:tabs>
          <w:tab w:val="left" w:pos="720"/>
        </w:tabs>
        <w:spacing w:line="432" w:lineRule="exact"/>
        <w:rPr>
          <w:iCs/>
        </w:rPr>
      </w:pPr>
      <w:r>
        <w:rPr>
          <w:rFonts w:hint="eastAsia"/>
          <w:iCs/>
        </w:rPr>
        <w:t>4、成本领先和差异化整合策略</w:t>
      </w:r>
    </w:p>
    <w:p>
      <w:pPr>
        <w:tabs>
          <w:tab w:val="left" w:pos="720"/>
        </w:tabs>
        <w:spacing w:line="432" w:lineRule="exact"/>
        <w:rPr>
          <w:iCs/>
        </w:rPr>
      </w:pPr>
      <w:r>
        <w:rPr>
          <w:rFonts w:hint="eastAsia"/>
          <w:iCs/>
        </w:rPr>
        <w:t>5、战略联盟策略</w:t>
      </w:r>
    </w:p>
    <w:p>
      <w:pPr>
        <w:tabs>
          <w:tab w:val="left" w:pos="720"/>
        </w:tabs>
        <w:spacing w:line="432" w:lineRule="exact"/>
        <w:rPr>
          <w:iCs/>
        </w:rPr>
      </w:pPr>
      <w:r>
        <w:rPr>
          <w:rFonts w:hint="eastAsia"/>
          <w:iCs/>
        </w:rPr>
        <w:t>五、构建战略执行体系</w:t>
      </w:r>
    </w:p>
    <w:p>
      <w:pPr>
        <w:tabs>
          <w:tab w:val="left" w:pos="720"/>
        </w:tabs>
        <w:spacing w:line="432" w:lineRule="exact"/>
        <w:rPr>
          <w:iCs/>
        </w:rPr>
      </w:pPr>
      <w:r>
        <w:rPr>
          <w:rFonts w:hint="eastAsia"/>
          <w:iCs/>
        </w:rPr>
        <w:t>1、战略目标的分解</w:t>
      </w:r>
    </w:p>
    <w:p>
      <w:pPr>
        <w:tabs>
          <w:tab w:val="left" w:pos="720"/>
        </w:tabs>
        <w:spacing w:line="432" w:lineRule="exact"/>
        <w:rPr>
          <w:iCs/>
        </w:rPr>
      </w:pPr>
      <w:r>
        <w:rPr>
          <w:rFonts w:hint="eastAsia"/>
          <w:iCs/>
        </w:rPr>
        <w:t>2、优化核心流程</w:t>
      </w:r>
    </w:p>
    <w:p>
      <w:pPr>
        <w:tabs>
          <w:tab w:val="left" w:pos="720"/>
        </w:tabs>
        <w:spacing w:line="432" w:lineRule="exact"/>
        <w:rPr>
          <w:iCs/>
        </w:rPr>
      </w:pPr>
      <w:r>
        <w:rPr>
          <w:rFonts w:hint="eastAsia"/>
          <w:iCs/>
        </w:rPr>
        <w:t>3、再造权责体系</w:t>
      </w:r>
    </w:p>
    <w:p>
      <w:pPr>
        <w:tabs>
          <w:tab w:val="left" w:pos="720"/>
        </w:tabs>
        <w:spacing w:line="432" w:lineRule="exact"/>
        <w:rPr>
          <w:iCs/>
        </w:rPr>
      </w:pPr>
      <w:r>
        <w:rPr>
          <w:rFonts w:hint="eastAsia"/>
          <w:iCs/>
        </w:rPr>
        <w:t>4、创新绩效模式</w:t>
      </w:r>
    </w:p>
    <w:p>
      <w:pPr>
        <w:tabs>
          <w:tab w:val="left" w:pos="720"/>
        </w:tabs>
        <w:spacing w:line="432" w:lineRule="exact"/>
        <w:rPr>
          <w:iCs/>
        </w:rPr>
      </w:pPr>
      <w:r>
        <w:rPr>
          <w:rFonts w:hint="eastAsia"/>
          <w:iCs/>
        </w:rPr>
        <w:t>5、改革激励机制</w:t>
      </w:r>
    </w:p>
    <w:p>
      <w:pPr>
        <w:tabs>
          <w:tab w:val="left" w:pos="720"/>
        </w:tabs>
        <w:spacing w:line="432" w:lineRule="exact"/>
        <w:rPr>
          <w:iCs/>
        </w:rPr>
      </w:pPr>
      <w:r>
        <w:rPr>
          <w:rFonts w:hint="eastAsia"/>
          <w:iCs/>
        </w:rPr>
        <w:t>6、建立教练体制，造就卓越战略执行系统与执行者竞争地位和行业吸引力</w:t>
      </w:r>
    </w:p>
    <w:p>
      <w:pPr>
        <w:tabs>
          <w:tab w:val="left" w:pos="720"/>
        </w:tabs>
        <w:spacing w:line="432" w:lineRule="exact"/>
        <w:rPr>
          <w:iCs/>
        </w:rPr>
      </w:pPr>
      <w:r>
        <w:rPr>
          <w:rFonts w:hint="eastAsia"/>
          <w:iCs/>
        </w:rPr>
        <w:t>7、培育利于推动战略执行的企业文化</w:t>
      </w:r>
    </w:p>
    <w:p>
      <w:pPr>
        <w:tabs>
          <w:tab w:val="left" w:pos="720"/>
        </w:tabs>
        <w:spacing w:line="432" w:lineRule="exact"/>
        <w:rPr>
          <w:iCs/>
        </w:rPr>
      </w:pPr>
      <w:r>
        <w:rPr>
          <w:rFonts w:hint="eastAsia"/>
          <w:iCs/>
        </w:rPr>
        <w:t>六、核心竞争力是什么</w:t>
      </w:r>
    </w:p>
    <w:p>
      <w:pPr>
        <w:tabs>
          <w:tab w:val="left" w:pos="720"/>
        </w:tabs>
        <w:spacing w:line="432" w:lineRule="exact"/>
        <w:rPr>
          <w:iCs/>
        </w:rPr>
      </w:pPr>
      <w:r>
        <w:rPr>
          <w:rFonts w:hint="eastAsia"/>
          <w:iCs/>
        </w:rPr>
        <w:t>七、案例研讨</w:t>
      </w:r>
    </w:p>
    <w:p>
      <w:pPr>
        <w:tabs>
          <w:tab w:val="left" w:pos="720"/>
        </w:tabs>
        <w:spacing w:line="432" w:lineRule="exact"/>
        <w:rPr>
          <w:rFonts w:ascii="黑体" w:hAnsi="宋体" w:eastAsia="黑体"/>
          <w:color w:val="0000FF"/>
          <w:sz w:val="24"/>
        </w:rPr>
      </w:pPr>
      <w:r>
        <w:rPr>
          <w:rFonts w:hint="eastAsia" w:ascii="黑体" w:hAnsi="宋体" w:eastAsia="黑体"/>
          <w:color w:val="0000FF"/>
          <w:sz w:val="24"/>
        </w:rPr>
        <w:t>三、讲师简介：董权老师</w:t>
      </w:r>
    </w:p>
    <w:p>
      <w:pPr>
        <w:tabs>
          <w:tab w:val="left" w:pos="180"/>
        </w:tabs>
        <w:spacing w:line="432" w:lineRule="exact"/>
        <w:ind w:firstLine="735" w:firstLineChars="350"/>
        <w:rPr>
          <w:rFonts w:ascii="宋体" w:hAnsi="宋体"/>
          <w:bCs/>
          <w:iCs/>
          <w:color w:val="000000"/>
          <w:szCs w:val="21"/>
        </w:rPr>
      </w:pPr>
      <w:r>
        <w:rPr>
          <w:rFonts w:hint="eastAsia" w:ascii="宋体" w:hAnsi="宋体"/>
          <w:bCs/>
          <w:iCs/>
          <w:color w:val="000000"/>
          <w:szCs w:val="21"/>
        </w:rPr>
        <w:t>董权先生是北京大学访问学者、北京大学当代企业文化研究所高级研究员、西北大学客座教授、清华大学特聘教授，着名管理学家、营销专家、资深人力资源专家,2004年中国十大优秀培训师，2005年度中国十大魅力培训师。中国人力资源开发研究会常务理事，江苏省政府“二十一世纪企业管理论坛”特别顾问和主持人；山东省人民政府、省经贸委，新疆自治区人民政府、自治区旅游局特别顾问，同时也是多家省、市政府和企业的首席顾问以及国内多家大学的客座教授。</w:t>
      </w:r>
    </w:p>
    <w:p>
      <w:pPr>
        <w:tabs>
          <w:tab w:val="left" w:pos="180"/>
        </w:tabs>
        <w:spacing w:line="432" w:lineRule="exact"/>
        <w:rPr>
          <w:rFonts w:ascii="宋体" w:hAnsi="宋体"/>
          <w:bCs/>
          <w:iCs/>
          <w:color w:val="000000"/>
          <w:szCs w:val="21"/>
        </w:rPr>
      </w:pPr>
      <w:r>
        <w:rPr>
          <w:rFonts w:hint="eastAsia" w:ascii="宋体" w:hAnsi="宋体"/>
          <w:bCs/>
          <w:iCs/>
          <w:color w:val="000000"/>
          <w:szCs w:val="21"/>
        </w:rPr>
        <w:t>　　《中外管理》杂志、《中国人力资源开发》杂志、《中外工商》杂志等十余家国家级专业期刊特约撰稿人、专栏作家。多次受邀为北京大学、清华大学、西北大学等着名学府的MBA、EMBA班讲学。长于企业战略制订、企业文化建设、品牌策划、企业人力资源及营销体系建设、城市营销战略等管理领域。</w:t>
      </w:r>
    </w:p>
    <w:p>
      <w:pPr>
        <w:tabs>
          <w:tab w:val="left" w:pos="180"/>
        </w:tabs>
        <w:spacing w:line="432" w:lineRule="exact"/>
        <w:rPr>
          <w:rFonts w:ascii="宋体" w:hAnsi="宋体"/>
          <w:bCs/>
          <w:iCs/>
          <w:color w:val="000000"/>
          <w:szCs w:val="21"/>
        </w:rPr>
      </w:pPr>
      <w:r>
        <w:rPr>
          <w:rFonts w:hint="eastAsia" w:ascii="宋体" w:hAnsi="宋体"/>
          <w:bCs/>
          <w:iCs/>
          <w:color w:val="000000"/>
          <w:szCs w:val="21"/>
        </w:rPr>
        <w:t>详细介绍：在国内咨询业和培训业享有盛名，被业界称为“国内咨询和培训业最好的结合者和实践者”。</w:t>
      </w:r>
    </w:p>
    <w:p>
      <w:pPr>
        <w:tabs>
          <w:tab w:val="left" w:pos="180"/>
        </w:tabs>
        <w:spacing w:line="432" w:lineRule="exact"/>
        <w:rPr>
          <w:rFonts w:ascii="宋体" w:hAnsi="宋体"/>
          <w:bCs/>
          <w:iCs/>
          <w:color w:val="000000"/>
          <w:szCs w:val="21"/>
        </w:rPr>
      </w:pPr>
      <w:r>
        <w:rPr>
          <w:rFonts w:hint="eastAsia" w:ascii="宋体" w:hAnsi="宋体"/>
          <w:bCs/>
          <w:iCs/>
          <w:color w:val="000000"/>
          <w:szCs w:val="21"/>
        </w:rPr>
        <w:t>服务过的企业：中国诚通控股有限公司、中石油运输总公司、中国石油润滑油公司、中国工商银行、中国银行、中国建设银行、中国农业银行、国家开发银行、中石油江苏分公司、神华公司、中国移动山西分公司、中国电信、风帆蓄电池、河北宝硕集团、平安保险公司、太平洋人寿、光明集团、北京利玛软件信息技术有限公司、泰康人寿、辽宁香香集团、中国医药集团、新东方学校、汽车进出口贸易总公司、江西铜业集团、湖南电力总公司及苏宁电器连锁和特许经营、南京中央集团、保定国家高新技术产业开发区、赣州经贸委等多家知名企业和政府的咨询管理项目、企业托管服务和管理培训。在国内咨询业和培训业享有盛名。</w:t>
      </w:r>
    </w:p>
    <w:p>
      <w:pPr>
        <w:tabs>
          <w:tab w:val="left" w:pos="180"/>
        </w:tabs>
        <w:spacing w:line="240" w:lineRule="atLeast"/>
        <w:rPr>
          <w:rFonts w:ascii="宋体" w:hAnsi="宋体"/>
          <w:b/>
          <w:bCs/>
          <w:color w:val="FF0000"/>
        </w:rPr>
      </w:pPr>
      <w:r>
        <w:rPr>
          <w:rFonts w:hint="eastAsia" w:ascii="宋体" w:hAnsi="宋体"/>
          <w:b/>
          <w:bCs/>
          <w:color w:val="FF0000"/>
        </w:rPr>
        <w:t xml:space="preserve">- - - - - - - - </w:t>
      </w:r>
      <w:r>
        <w:rPr>
          <w:rFonts w:hint="eastAsia" w:ascii="宋体" w:hAnsi="宋体"/>
          <w:b/>
          <w:bCs/>
          <w:color w:val="FF0000"/>
        </w:rPr>
        <w:sym w:font="Wingdings" w:char="F022"/>
      </w:r>
      <w:r>
        <w:rPr>
          <w:rFonts w:hint="eastAsia" w:ascii="宋体" w:hAnsi="宋体"/>
          <w:b/>
          <w:bCs/>
          <w:color w:val="FF0000"/>
        </w:rPr>
        <w:t>- - - - - - - -</w:t>
      </w:r>
      <w:r>
        <w:rPr>
          <w:rFonts w:hint="eastAsia" w:ascii="楷体_GB2312" w:hAnsi="宋体" w:eastAsia="楷体_GB2312" w:cs="宋体"/>
          <w:b/>
          <w:color w:val="FF0000"/>
          <w:kern w:val="0"/>
          <w:sz w:val="36"/>
          <w:szCs w:val="36"/>
        </w:rPr>
        <w:t xml:space="preserve"> 培训报名回执表</w:t>
      </w:r>
      <w:r>
        <w:rPr>
          <w:rFonts w:hint="eastAsia" w:ascii="宋体" w:hAnsi="宋体"/>
          <w:b/>
          <w:bCs/>
          <w:color w:val="FF0000"/>
        </w:rPr>
        <w:t xml:space="preserve"> - - - - - - - - -</w:t>
      </w:r>
      <w:r>
        <w:rPr>
          <w:rFonts w:hint="eastAsia" w:ascii="宋体" w:hAnsi="宋体"/>
          <w:b/>
          <w:bCs/>
          <w:color w:val="FF0000"/>
        </w:rPr>
        <w:sym w:font="Wingdings" w:char="F022"/>
      </w:r>
      <w:r>
        <w:rPr>
          <w:rFonts w:hint="eastAsia" w:ascii="宋体" w:hAnsi="宋体"/>
          <w:b/>
          <w:bCs/>
          <w:color w:val="FF0000"/>
        </w:rPr>
        <w:t xml:space="preserve">- - -- -  - - </w:t>
      </w:r>
    </w:p>
    <w:tbl>
      <w:tblPr>
        <w:tblStyle w:val="15"/>
        <w:tblW w:w="10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923"/>
        <w:gridCol w:w="1130"/>
        <w:gridCol w:w="929"/>
        <w:gridCol w:w="492"/>
        <w:gridCol w:w="1001"/>
        <w:gridCol w:w="829"/>
        <w:gridCol w:w="3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8" w:hRule="atLeast"/>
        </w:trPr>
        <w:tc>
          <w:tcPr>
            <w:tcW w:w="160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r>
              <w:rPr>
                <w:rFonts w:hint="eastAsia" w:ascii="宋体" w:hAnsi="宋体" w:cs="Arial"/>
                <w:bCs/>
                <w:color w:val="000000"/>
                <w:sz w:val="20"/>
              </w:rPr>
              <w:t>课程名称</w:t>
            </w:r>
          </w:p>
        </w:tc>
        <w:tc>
          <w:tcPr>
            <w:tcW w:w="8611"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60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r>
              <w:rPr>
                <w:rFonts w:hint="eastAsia" w:ascii="宋体" w:hAnsi="宋体" w:cs="Arial"/>
                <w:bCs/>
                <w:color w:val="000000"/>
                <w:sz w:val="20"/>
              </w:rPr>
              <w:t>上课时间</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r>
              <w:rPr>
                <w:rFonts w:hint="eastAsia" w:ascii="宋体" w:hAnsi="宋体" w:cs="Arial"/>
                <w:bCs/>
                <w:color w:val="000000"/>
                <w:sz w:val="20"/>
              </w:rPr>
              <w:t>上课地区</w:t>
            </w:r>
          </w:p>
        </w:tc>
        <w:tc>
          <w:tcPr>
            <w:tcW w:w="413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0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r>
              <w:rPr>
                <w:rFonts w:hint="eastAsia" w:ascii="宋体" w:hAnsi="宋体" w:cs="Arial"/>
                <w:bCs/>
                <w:color w:val="000000"/>
                <w:sz w:val="20"/>
              </w:rPr>
              <w:t>公司名称</w:t>
            </w:r>
          </w:p>
        </w:tc>
        <w:tc>
          <w:tcPr>
            <w:tcW w:w="8611" w:type="dxa"/>
            <w:gridSpan w:val="7"/>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03" w:type="dxa"/>
            <w:tcBorders>
              <w:top w:val="single" w:color="auto" w:sz="4" w:space="0"/>
              <w:left w:val="single" w:color="auto" w:sz="4" w:space="0"/>
              <w:bottom w:val="nil"/>
              <w:right w:val="single" w:color="auto" w:sz="4" w:space="0"/>
            </w:tcBorders>
            <w:vAlign w:val="center"/>
          </w:tcPr>
          <w:p>
            <w:pPr>
              <w:rPr>
                <w:rFonts w:ascii="宋体" w:hAnsi="宋体" w:cs="Arial"/>
                <w:bCs/>
                <w:color w:val="000000"/>
                <w:sz w:val="20"/>
              </w:rPr>
            </w:pPr>
            <w:r>
              <w:rPr>
                <w:rFonts w:hint="eastAsia" w:ascii="宋体" w:hAnsi="宋体" w:cs="Arial"/>
                <w:bCs/>
                <w:color w:val="000000"/>
                <w:sz w:val="20"/>
              </w:rPr>
              <w:t>联 系 人</w:t>
            </w:r>
          </w:p>
        </w:tc>
        <w:tc>
          <w:tcPr>
            <w:tcW w:w="2982" w:type="dxa"/>
            <w:gridSpan w:val="3"/>
            <w:tcBorders>
              <w:top w:val="single" w:color="auto" w:sz="4" w:space="0"/>
              <w:left w:val="single" w:color="auto" w:sz="4" w:space="0"/>
              <w:bottom w:val="nil"/>
              <w:right w:val="single" w:color="auto" w:sz="4" w:space="0"/>
            </w:tcBorders>
            <w:vAlign w:val="center"/>
          </w:tcPr>
          <w:p>
            <w:pPr>
              <w:rPr>
                <w:rFonts w:ascii="宋体" w:hAnsi="宋体" w:cs="Arial"/>
                <w:bCs/>
                <w:color w:val="000000"/>
                <w:sz w:val="20"/>
              </w:rPr>
            </w:pPr>
          </w:p>
        </w:tc>
        <w:tc>
          <w:tcPr>
            <w:tcW w:w="1493" w:type="dxa"/>
            <w:gridSpan w:val="2"/>
            <w:tcBorders>
              <w:top w:val="single" w:color="auto" w:sz="4" w:space="0"/>
              <w:left w:val="single" w:color="auto" w:sz="4" w:space="0"/>
              <w:bottom w:val="nil"/>
              <w:right w:val="single" w:color="auto" w:sz="4" w:space="0"/>
            </w:tcBorders>
            <w:vAlign w:val="center"/>
          </w:tcPr>
          <w:p>
            <w:pPr>
              <w:rPr>
                <w:rFonts w:ascii="宋体" w:hAnsi="宋体" w:cs="Arial"/>
                <w:bCs/>
                <w:color w:val="000000"/>
                <w:sz w:val="20"/>
              </w:rPr>
            </w:pPr>
            <w:r>
              <w:rPr>
                <w:rFonts w:hint="eastAsia" w:ascii="宋体" w:hAnsi="宋体" w:cs="Arial"/>
                <w:bCs/>
                <w:color w:val="000000"/>
                <w:sz w:val="20"/>
              </w:rPr>
              <w:t>部    门</w:t>
            </w:r>
          </w:p>
        </w:tc>
        <w:tc>
          <w:tcPr>
            <w:tcW w:w="4136" w:type="dxa"/>
            <w:gridSpan w:val="2"/>
            <w:tcBorders>
              <w:top w:val="single" w:color="auto" w:sz="4" w:space="0"/>
              <w:left w:val="single" w:color="auto" w:sz="4" w:space="0"/>
              <w:bottom w:val="nil"/>
              <w:right w:val="single" w:color="auto" w:sz="4" w:space="0"/>
            </w:tcBorders>
            <w:vAlign w:val="center"/>
          </w:tcPr>
          <w:p>
            <w:pPr>
              <w:rPr>
                <w:rFonts w:ascii="宋体" w:hAnsi="宋体" w:cs="Arial"/>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60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r>
              <w:rPr>
                <w:rFonts w:hint="eastAsia" w:ascii="宋体" w:hAnsi="宋体" w:cs="Arial"/>
                <w:bCs/>
                <w:color w:val="000000"/>
                <w:sz w:val="20"/>
              </w:rPr>
              <w:t>电    话</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r>
              <w:rPr>
                <w:rFonts w:hint="eastAsia" w:ascii="宋体" w:hAnsi="宋体" w:cs="Arial"/>
                <w:bCs/>
                <w:color w:val="000000"/>
                <w:sz w:val="20"/>
              </w:rPr>
              <w:t>手    机</w:t>
            </w:r>
          </w:p>
        </w:tc>
        <w:tc>
          <w:tcPr>
            <w:tcW w:w="413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60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r>
              <w:rPr>
                <w:rFonts w:hint="eastAsia" w:ascii="宋体" w:hAnsi="宋体" w:cs="Arial"/>
                <w:bCs/>
                <w:color w:val="000000"/>
                <w:sz w:val="20"/>
              </w:rPr>
              <w:t>传    真</w:t>
            </w:r>
          </w:p>
        </w:tc>
        <w:tc>
          <w:tcPr>
            <w:tcW w:w="298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p>
        </w:tc>
        <w:tc>
          <w:tcPr>
            <w:tcW w:w="14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r>
              <w:rPr>
                <w:rFonts w:hint="eastAsia" w:ascii="宋体" w:hAnsi="宋体" w:cs="Arial"/>
                <w:bCs/>
                <w:color w:val="000000"/>
                <w:sz w:val="20"/>
              </w:rPr>
              <w:t xml:space="preserve">E-Mail </w:t>
            </w:r>
          </w:p>
        </w:tc>
        <w:tc>
          <w:tcPr>
            <w:tcW w:w="413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03" w:type="dxa"/>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r>
              <w:rPr>
                <w:rFonts w:hint="eastAsia" w:ascii="宋体" w:hAnsi="宋体" w:cs="Arial"/>
                <w:bCs/>
                <w:color w:val="000000"/>
                <w:sz w:val="20"/>
              </w:rPr>
              <w:t>参会学员姓名</w:t>
            </w:r>
          </w:p>
        </w:tc>
        <w:tc>
          <w:tcPr>
            <w:tcW w:w="205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 w:val="20"/>
              </w:rPr>
            </w:pPr>
            <w:r>
              <w:rPr>
                <w:rFonts w:hint="eastAsia" w:ascii="宋体" w:hAnsi="宋体" w:cs="Arial"/>
                <w:bCs/>
                <w:color w:val="000000"/>
                <w:sz w:val="20"/>
              </w:rPr>
              <w:t>部门/职务</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 w:val="20"/>
              </w:rPr>
            </w:pPr>
            <w:r>
              <w:rPr>
                <w:rFonts w:hint="eastAsia" w:ascii="宋体" w:hAnsi="宋体" w:cs="Arial"/>
                <w:bCs/>
                <w:color w:val="000000"/>
                <w:sz w:val="20"/>
              </w:rPr>
              <w:t>性别</w:t>
            </w:r>
          </w:p>
        </w:tc>
        <w:tc>
          <w:tcPr>
            <w:tcW w:w="23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 w:val="20"/>
              </w:rPr>
            </w:pPr>
            <w:r>
              <w:rPr>
                <w:rFonts w:hint="eastAsia" w:ascii="宋体" w:hAnsi="宋体" w:cs="Arial"/>
                <w:bCs/>
                <w:color w:val="000000"/>
                <w:sz w:val="20"/>
              </w:rPr>
              <w:t>联系电话/手机</w:t>
            </w:r>
          </w:p>
        </w:tc>
        <w:tc>
          <w:tcPr>
            <w:tcW w:w="330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bCs/>
                <w:color w:val="000000"/>
                <w:sz w:val="20"/>
              </w:rPr>
            </w:pPr>
            <w:r>
              <w:rPr>
                <w:rFonts w:hint="eastAsia" w:ascii="宋体" w:hAnsi="宋体" w:cs="Arial"/>
                <w:bCs/>
                <w:color w:val="000000"/>
                <w:sz w:val="2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03"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2053"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929"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2322" w:type="dxa"/>
            <w:gridSpan w:val="3"/>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03"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2053"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929"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2322" w:type="dxa"/>
            <w:gridSpan w:val="3"/>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03"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2053"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929"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2322" w:type="dxa"/>
            <w:gridSpan w:val="3"/>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603"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2053" w:type="dxa"/>
            <w:gridSpan w:val="2"/>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929"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2322" w:type="dxa"/>
            <w:gridSpan w:val="3"/>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c>
          <w:tcPr>
            <w:tcW w:w="3307" w:type="dxa"/>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5077" w:type="dxa"/>
            <w:gridSpan w:val="5"/>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r>
              <w:rPr>
                <w:rFonts w:hint="eastAsia" w:ascii="Arial" w:hAnsi="Arial" w:cs="Arial"/>
                <w:sz w:val="20"/>
                <w:szCs w:val="20"/>
              </w:rPr>
              <w:t xml:space="preserve">付款方式：现金□     支票  □     转帐 □    </w:t>
            </w:r>
          </w:p>
        </w:tc>
        <w:tc>
          <w:tcPr>
            <w:tcW w:w="5137" w:type="dxa"/>
            <w:gridSpan w:val="3"/>
            <w:tcBorders>
              <w:top w:val="single" w:color="auto" w:sz="4" w:space="0"/>
              <w:left w:val="single" w:color="auto" w:sz="4" w:space="0"/>
              <w:bottom w:val="single" w:color="auto" w:sz="4" w:space="0"/>
              <w:right w:val="single" w:color="auto" w:sz="4" w:space="0"/>
            </w:tcBorders>
            <w:vAlign w:val="center"/>
          </w:tcPr>
          <w:p>
            <w:pPr>
              <w:rPr>
                <w:rFonts w:ascii="Arial" w:hAnsi="Arial" w:cs="Arial"/>
                <w:sz w:val="20"/>
                <w:szCs w:val="20"/>
                <w:highlight w:val="yellow"/>
              </w:rPr>
            </w:pPr>
            <w:r>
              <w:rPr>
                <w:rFonts w:hint="eastAsia" w:ascii="宋体" w:hAnsi="宋体" w:cs="Arial"/>
                <w:color w:val="000000"/>
                <w:kern w:val="0"/>
                <w:sz w:val="20"/>
              </w:rPr>
              <w:t xml:space="preserve">总费用合计： </w:t>
            </w:r>
            <w:r>
              <w:rPr>
                <w:rFonts w:hint="eastAsia" w:ascii="宋体" w:hAnsi="宋体"/>
                <w:color w:val="000000"/>
                <w:sz w:val="20"/>
              </w:rPr>
              <w:t>￥</w:t>
            </w:r>
            <w:r>
              <w:rPr>
                <w:rFonts w:ascii="宋体" w:hAnsi="宋体"/>
                <w:color w:val="000000"/>
                <w:sz w:val="20"/>
                <w:u w:val="single"/>
              </w:rPr>
              <w:t xml:space="preserve">  </w:t>
            </w:r>
            <w:r>
              <w:rPr>
                <w:rFonts w:hint="eastAsia" w:ascii="宋体" w:hAnsi="宋体"/>
                <w:color w:val="000000"/>
                <w:sz w:val="20"/>
                <w:u w:val="single"/>
              </w:rPr>
              <w:t xml:space="preserve">   </w:t>
            </w:r>
            <w:r>
              <w:rPr>
                <w:rFonts w:ascii="宋体" w:hAnsi="宋体"/>
                <w:color w:val="000000"/>
                <w:sz w:val="20"/>
                <w:u w:val="single"/>
              </w:rPr>
              <w:t xml:space="preserve">  </w:t>
            </w:r>
            <w:r>
              <w:rPr>
                <w:rFonts w:hint="eastAsia" w:ascii="宋体" w:hAnsi="宋体"/>
                <w:color w:val="000000"/>
                <w:sz w:val="20"/>
                <w:u w:val="single"/>
              </w:rPr>
              <w:t xml:space="preserve">   </w:t>
            </w:r>
            <w:r>
              <w:rPr>
                <w:rFonts w:ascii="宋体" w:hAnsi="宋体"/>
                <w:color w:val="000000"/>
                <w:sz w:val="20"/>
                <w:u w:val="single"/>
              </w:rPr>
              <w:t xml:space="preserve">     </w:t>
            </w:r>
            <w:r>
              <w:rPr>
                <w:rFonts w:hint="eastAsia" w:ascii="宋体" w:hAnsi="宋体"/>
                <w:color w:val="000000"/>
                <w:sz w:val="2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1" w:hRule="atLeast"/>
        </w:trPr>
        <w:tc>
          <w:tcPr>
            <w:tcW w:w="252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Arial"/>
                <w:bCs/>
                <w:color w:val="000000"/>
                <w:sz w:val="20"/>
              </w:rPr>
            </w:pPr>
            <w:r>
              <w:rPr>
                <w:rFonts w:hint="eastAsia" w:ascii="宋体" w:hAnsi="宋体"/>
                <w:color w:val="000000"/>
                <w:sz w:val="20"/>
              </w:rPr>
              <w:t>汇款帐号</w:t>
            </w:r>
          </w:p>
        </w:tc>
        <w:tc>
          <w:tcPr>
            <w:tcW w:w="7688"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rPr>
            </w:pPr>
            <w:r>
              <w:rPr>
                <w:rFonts w:hint="eastAsia" w:ascii="宋体" w:hAnsi="宋体"/>
                <w:color w:val="000000"/>
                <w:sz w:val="20"/>
              </w:rPr>
              <w:t>开户名称：东莞市睿诚企业管理咨询有限公司</w:t>
            </w:r>
          </w:p>
          <w:p>
            <w:pPr>
              <w:rPr>
                <w:rFonts w:ascii="宋体" w:hAnsi="宋体"/>
                <w:color w:val="000000"/>
                <w:sz w:val="20"/>
              </w:rPr>
            </w:pPr>
            <w:r>
              <w:rPr>
                <w:rFonts w:hint="eastAsia" w:ascii="宋体" w:hAnsi="宋体"/>
                <w:color w:val="000000"/>
                <w:sz w:val="20"/>
              </w:rPr>
              <w:t>帐    号：7448 3101 8260 0040 836</w:t>
            </w:r>
          </w:p>
          <w:p>
            <w:pPr>
              <w:rPr>
                <w:rFonts w:ascii="宋体" w:hAnsi="宋体"/>
                <w:b/>
                <w:color w:val="000000"/>
                <w:sz w:val="20"/>
              </w:rPr>
            </w:pPr>
            <w:r>
              <w:rPr>
                <w:rFonts w:hint="eastAsia" w:ascii="宋体" w:hAnsi="宋体"/>
                <w:color w:val="000000"/>
                <w:sz w:val="20"/>
              </w:rPr>
              <w:t>开 户 行：中信银行东莞分行南城支行</w:t>
            </w:r>
          </w:p>
          <w:p>
            <w:pPr>
              <w:rPr>
                <w:rFonts w:ascii="宋体" w:hAnsi="宋体"/>
                <w:color w:val="000000"/>
                <w:sz w:val="20"/>
              </w:rPr>
            </w:pPr>
            <w:r>
              <w:rPr>
                <w:rFonts w:hint="eastAsia" w:ascii="宋体" w:hAnsi="宋体"/>
                <w:color w:val="000000"/>
                <w:sz w:val="20"/>
              </w:rPr>
              <w:t>汇款用途：咨询服务费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252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rPr>
            </w:pPr>
            <w:r>
              <w:rPr>
                <w:rFonts w:hint="eastAsia" w:ascii="宋体" w:hAnsi="宋体"/>
                <w:color w:val="000000"/>
                <w:sz w:val="20"/>
              </w:rPr>
              <w:t>住宿要求</w:t>
            </w:r>
          </w:p>
        </w:tc>
        <w:tc>
          <w:tcPr>
            <w:tcW w:w="7688"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sz w:val="20"/>
              </w:rPr>
            </w:pPr>
            <w:r>
              <w:rPr>
                <w:rFonts w:hint="eastAsia" w:ascii="宋体" w:hAnsi="宋体" w:cs="宋体"/>
                <w:kern w:val="0"/>
                <w:szCs w:val="21"/>
              </w:rPr>
              <w:t>预定：双人房</w:t>
            </w:r>
            <w:r>
              <w:rPr>
                <w:rFonts w:hint="eastAsia" w:ascii="宋体" w:hAnsi="宋体" w:cs="宋体"/>
                <w:kern w:val="0"/>
                <w:szCs w:val="21"/>
                <w:u w:val="single"/>
              </w:rPr>
              <w:t>___</w:t>
            </w:r>
            <w:r>
              <w:rPr>
                <w:rFonts w:hint="eastAsia" w:ascii="宋体" w:hAnsi="宋体" w:cs="宋体"/>
                <w:kern w:val="0"/>
                <w:szCs w:val="21"/>
              </w:rPr>
              <w:t>间；单人房</w:t>
            </w:r>
            <w:r>
              <w:rPr>
                <w:rFonts w:hint="eastAsia" w:ascii="宋体" w:hAnsi="宋体" w:cs="宋体"/>
                <w:kern w:val="0"/>
                <w:szCs w:val="21"/>
                <w:u w:val="single"/>
              </w:rPr>
              <w:t>___</w:t>
            </w:r>
            <w:r>
              <w:rPr>
                <w:rFonts w:hint="eastAsia" w:ascii="宋体" w:hAnsi="宋体" w:cs="宋体"/>
                <w:kern w:val="0"/>
                <w:szCs w:val="21"/>
              </w:rPr>
              <w:t>间，住宿时间：</w:t>
            </w:r>
            <w:r>
              <w:rPr>
                <w:rFonts w:hint="eastAsia" w:ascii="宋体" w:hAnsi="宋体" w:cs="宋体"/>
                <w:kern w:val="0"/>
                <w:szCs w:val="21"/>
                <w:u w:val="single"/>
              </w:rPr>
              <w:t>_ _</w:t>
            </w:r>
            <w:r>
              <w:rPr>
                <w:rFonts w:hint="eastAsia" w:ascii="宋体" w:hAnsi="宋体" w:cs="宋体"/>
                <w:kern w:val="0"/>
                <w:szCs w:val="21"/>
              </w:rPr>
              <w:t xml:space="preserve">月 </w:t>
            </w:r>
            <w:r>
              <w:rPr>
                <w:rFonts w:hint="eastAsia" w:ascii="宋体" w:hAnsi="宋体" w:cs="宋体"/>
                <w:kern w:val="0"/>
                <w:szCs w:val="21"/>
                <w:u w:val="single"/>
              </w:rPr>
              <w:t xml:space="preserve">__ </w:t>
            </w:r>
            <w:r>
              <w:rPr>
                <w:rFonts w:hint="eastAsia" w:ascii="宋体" w:hAnsi="宋体" w:cs="宋体"/>
                <w:kern w:val="0"/>
                <w:szCs w:val="21"/>
              </w:rPr>
              <w:t xml:space="preserve"> 至 </w:t>
            </w:r>
            <w:r>
              <w:rPr>
                <w:rFonts w:hint="eastAsia" w:ascii="宋体" w:hAnsi="宋体" w:cs="宋体"/>
                <w:kern w:val="0"/>
                <w:szCs w:val="21"/>
                <w:u w:val="single"/>
              </w:rPr>
              <w:t>_ _</w:t>
            </w:r>
            <w:r>
              <w:rPr>
                <w:rFonts w:hint="eastAsia" w:ascii="宋体" w:hAnsi="宋体" w:cs="宋体"/>
                <w:kern w:val="0"/>
                <w:szCs w:val="21"/>
              </w:rPr>
              <w:t xml:space="preserve"> 日(不用预定请留空)</w:t>
            </w:r>
          </w:p>
        </w:tc>
      </w:tr>
    </w:tbl>
    <w:p>
      <w:pPr>
        <w:spacing w:line="400" w:lineRule="exact"/>
        <w:jc w:val="left"/>
      </w:pPr>
    </w:p>
    <w:p>
      <w:pPr>
        <w:spacing w:line="20" w:lineRule="exact"/>
        <w:rPr>
          <w:b/>
          <w:bCs/>
          <w:sz w:val="48"/>
        </w:rPr>
      </w:pPr>
    </w:p>
    <w:sectPr>
      <w:type w:val="continuous"/>
      <w:pgSz w:w="11906" w:h="16838"/>
      <w:pgMar w:top="1021" w:right="1077" w:bottom="851" w:left="1134" w:header="454" w:footer="45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altName w:val="Arial Unicode MS"/>
    <w:panose1 w:val="02010609030101010101"/>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both"/>
    </w:pPr>
    <w:r>
      <w:pict>
        <v:shape id="_x0000_i1025" o:spt="75" type="#_x0000_t75" style="height:42.75pt;width:273pt;" filled="f" o:preferrelative="t" stroked="f" coordsize="21600,21600">
          <v:path/>
          <v:fill on="f" focussize="0,0"/>
          <v:stroke on="f" joinstyle="miter"/>
          <v:imagedata r:id="rId1" o:title="公司页眉3"/>
          <o:lock v:ext="edit" aspectratio="t"/>
          <w10:wrap type="none"/>
          <w10:anchorlock/>
        </v:shape>
      </w:pic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21AE3"/>
    <w:multiLevelType w:val="multilevel"/>
    <w:tmpl w:val="6E921AE3"/>
    <w:lvl w:ilvl="0" w:tentative="0">
      <w:start w:val="1"/>
      <w:numFmt w:val="upperLetter"/>
      <w:pStyle w:val="4"/>
      <w:lvlText w:val="%1."/>
      <w:lvlJc w:val="left"/>
      <w:pPr>
        <w:tabs>
          <w:tab w:val="left" w:pos="1140"/>
        </w:tabs>
        <w:ind w:left="1140" w:hanging="420"/>
      </w:pPr>
    </w:lvl>
    <w:lvl w:ilvl="1" w:tentative="0">
      <w:start w:val="1"/>
      <w:numFmt w:val="upperLetter"/>
      <w:lvlText w:val="%2."/>
      <w:lvlJc w:val="left"/>
      <w:pPr>
        <w:tabs>
          <w:tab w:val="left" w:pos="1560"/>
        </w:tabs>
        <w:ind w:left="1560" w:hanging="420"/>
      </w:pPr>
    </w:lvl>
    <w:lvl w:ilvl="2" w:tentative="0">
      <w:start w:val="1"/>
      <w:numFmt w:val="lowerRoman"/>
      <w:lvlText w:val="%3."/>
      <w:lvlJc w:val="right"/>
      <w:pPr>
        <w:tabs>
          <w:tab w:val="left" w:pos="1980"/>
        </w:tabs>
        <w:ind w:left="1980" w:hanging="420"/>
      </w:pPr>
    </w:lvl>
    <w:lvl w:ilvl="3" w:tentative="0">
      <w:start w:val="1"/>
      <w:numFmt w:val="decimal"/>
      <w:lvlText w:val="%4."/>
      <w:lvlJc w:val="left"/>
      <w:pPr>
        <w:tabs>
          <w:tab w:val="left" w:pos="2400"/>
        </w:tabs>
        <w:ind w:left="2400" w:hanging="420"/>
      </w:pPr>
    </w:lvl>
    <w:lvl w:ilvl="4" w:tentative="0">
      <w:start w:val="1"/>
      <w:numFmt w:val="lowerLetter"/>
      <w:lvlText w:val="%5)"/>
      <w:lvlJc w:val="left"/>
      <w:pPr>
        <w:tabs>
          <w:tab w:val="left" w:pos="2820"/>
        </w:tabs>
        <w:ind w:left="2820" w:hanging="420"/>
      </w:pPr>
    </w:lvl>
    <w:lvl w:ilvl="5" w:tentative="0">
      <w:start w:val="1"/>
      <w:numFmt w:val="lowerRoman"/>
      <w:lvlText w:val="%6."/>
      <w:lvlJc w:val="right"/>
      <w:pPr>
        <w:tabs>
          <w:tab w:val="left" w:pos="3240"/>
        </w:tabs>
        <w:ind w:left="3240" w:hanging="420"/>
      </w:pPr>
    </w:lvl>
    <w:lvl w:ilvl="6" w:tentative="0">
      <w:start w:val="1"/>
      <w:numFmt w:val="decimal"/>
      <w:lvlText w:val="%7."/>
      <w:lvlJc w:val="left"/>
      <w:pPr>
        <w:tabs>
          <w:tab w:val="left" w:pos="3660"/>
        </w:tabs>
        <w:ind w:left="3660" w:hanging="420"/>
      </w:pPr>
    </w:lvl>
    <w:lvl w:ilvl="7" w:tentative="0">
      <w:start w:val="1"/>
      <w:numFmt w:val="lowerLetter"/>
      <w:lvlText w:val="%8)"/>
      <w:lvlJc w:val="left"/>
      <w:pPr>
        <w:tabs>
          <w:tab w:val="left" w:pos="4080"/>
        </w:tabs>
        <w:ind w:left="4080" w:hanging="420"/>
      </w:pPr>
    </w:lvl>
    <w:lvl w:ilvl="8" w:tentative="0">
      <w:start w:val="1"/>
      <w:numFmt w:val="lowerRoman"/>
      <w:lvlText w:val="%9."/>
      <w:lvlJc w:val="right"/>
      <w:pPr>
        <w:tabs>
          <w:tab w:val="left" w:pos="4500"/>
        </w:tabs>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097A"/>
    <w:rsid w:val="00020294"/>
    <w:rsid w:val="000701EA"/>
    <w:rsid w:val="000935AF"/>
    <w:rsid w:val="000A1C37"/>
    <w:rsid w:val="000B04D0"/>
    <w:rsid w:val="000C35B0"/>
    <w:rsid w:val="000E0F2C"/>
    <w:rsid w:val="000E1EC3"/>
    <w:rsid w:val="000F1337"/>
    <w:rsid w:val="00116BFA"/>
    <w:rsid w:val="00130559"/>
    <w:rsid w:val="00142AA0"/>
    <w:rsid w:val="0015087E"/>
    <w:rsid w:val="00166B71"/>
    <w:rsid w:val="001824BC"/>
    <w:rsid w:val="00195CC5"/>
    <w:rsid w:val="001A1A08"/>
    <w:rsid w:val="001B1A55"/>
    <w:rsid w:val="001D349B"/>
    <w:rsid w:val="001F21AE"/>
    <w:rsid w:val="00203D8E"/>
    <w:rsid w:val="00215299"/>
    <w:rsid w:val="0025734D"/>
    <w:rsid w:val="0026646B"/>
    <w:rsid w:val="00275ECA"/>
    <w:rsid w:val="002851F0"/>
    <w:rsid w:val="002A3607"/>
    <w:rsid w:val="002B5A84"/>
    <w:rsid w:val="002B6945"/>
    <w:rsid w:val="003039B5"/>
    <w:rsid w:val="00314CAF"/>
    <w:rsid w:val="00317CE8"/>
    <w:rsid w:val="0033637D"/>
    <w:rsid w:val="00340AA7"/>
    <w:rsid w:val="00354EEA"/>
    <w:rsid w:val="00371259"/>
    <w:rsid w:val="0038113C"/>
    <w:rsid w:val="003C1C88"/>
    <w:rsid w:val="003E185F"/>
    <w:rsid w:val="00413C57"/>
    <w:rsid w:val="004171C7"/>
    <w:rsid w:val="0042632B"/>
    <w:rsid w:val="0043200C"/>
    <w:rsid w:val="004544F4"/>
    <w:rsid w:val="00472FFB"/>
    <w:rsid w:val="004A1768"/>
    <w:rsid w:val="004A29E5"/>
    <w:rsid w:val="004C6627"/>
    <w:rsid w:val="004D27FD"/>
    <w:rsid w:val="004D6C56"/>
    <w:rsid w:val="004E1AD3"/>
    <w:rsid w:val="004E4FF3"/>
    <w:rsid w:val="004F097A"/>
    <w:rsid w:val="00502751"/>
    <w:rsid w:val="005153A8"/>
    <w:rsid w:val="00535EDB"/>
    <w:rsid w:val="00543EAF"/>
    <w:rsid w:val="005459EC"/>
    <w:rsid w:val="0054663A"/>
    <w:rsid w:val="00551FB0"/>
    <w:rsid w:val="0056082C"/>
    <w:rsid w:val="0056109A"/>
    <w:rsid w:val="00562202"/>
    <w:rsid w:val="00586538"/>
    <w:rsid w:val="005E2C0B"/>
    <w:rsid w:val="00602FB1"/>
    <w:rsid w:val="00612E9A"/>
    <w:rsid w:val="00621D6D"/>
    <w:rsid w:val="00652647"/>
    <w:rsid w:val="00663AB2"/>
    <w:rsid w:val="00675E9F"/>
    <w:rsid w:val="00677158"/>
    <w:rsid w:val="006A5B1E"/>
    <w:rsid w:val="00701C9E"/>
    <w:rsid w:val="00772747"/>
    <w:rsid w:val="007833F7"/>
    <w:rsid w:val="007B04AA"/>
    <w:rsid w:val="007B31D6"/>
    <w:rsid w:val="007B6E8A"/>
    <w:rsid w:val="007C0DBB"/>
    <w:rsid w:val="007D2376"/>
    <w:rsid w:val="007E18D0"/>
    <w:rsid w:val="0081725C"/>
    <w:rsid w:val="008360A8"/>
    <w:rsid w:val="00850903"/>
    <w:rsid w:val="00861742"/>
    <w:rsid w:val="008919BB"/>
    <w:rsid w:val="00895D79"/>
    <w:rsid w:val="008A0945"/>
    <w:rsid w:val="008C6FFF"/>
    <w:rsid w:val="00903811"/>
    <w:rsid w:val="00915070"/>
    <w:rsid w:val="009321EB"/>
    <w:rsid w:val="00932FC3"/>
    <w:rsid w:val="009349C2"/>
    <w:rsid w:val="00936DAD"/>
    <w:rsid w:val="00953F58"/>
    <w:rsid w:val="00976996"/>
    <w:rsid w:val="009C5957"/>
    <w:rsid w:val="009C65DB"/>
    <w:rsid w:val="009E4E69"/>
    <w:rsid w:val="00A003B9"/>
    <w:rsid w:val="00A51581"/>
    <w:rsid w:val="00A65920"/>
    <w:rsid w:val="00A7269C"/>
    <w:rsid w:val="00A90AFB"/>
    <w:rsid w:val="00AA1159"/>
    <w:rsid w:val="00AC1DFA"/>
    <w:rsid w:val="00AD7038"/>
    <w:rsid w:val="00AF723F"/>
    <w:rsid w:val="00B0782D"/>
    <w:rsid w:val="00B07ACE"/>
    <w:rsid w:val="00B14D52"/>
    <w:rsid w:val="00B23E38"/>
    <w:rsid w:val="00B24D82"/>
    <w:rsid w:val="00B41177"/>
    <w:rsid w:val="00B57227"/>
    <w:rsid w:val="00B605B5"/>
    <w:rsid w:val="00B61E03"/>
    <w:rsid w:val="00B82161"/>
    <w:rsid w:val="00B868BA"/>
    <w:rsid w:val="00BA773F"/>
    <w:rsid w:val="00BE2B5F"/>
    <w:rsid w:val="00BE2C52"/>
    <w:rsid w:val="00C150E1"/>
    <w:rsid w:val="00C33F95"/>
    <w:rsid w:val="00C512ED"/>
    <w:rsid w:val="00C52516"/>
    <w:rsid w:val="00C539A9"/>
    <w:rsid w:val="00C64364"/>
    <w:rsid w:val="00C76BBE"/>
    <w:rsid w:val="00C87DAF"/>
    <w:rsid w:val="00C943C1"/>
    <w:rsid w:val="00CA2966"/>
    <w:rsid w:val="00CB4DDA"/>
    <w:rsid w:val="00CE06B9"/>
    <w:rsid w:val="00CE1238"/>
    <w:rsid w:val="00D26691"/>
    <w:rsid w:val="00D537B0"/>
    <w:rsid w:val="00D53A74"/>
    <w:rsid w:val="00D67257"/>
    <w:rsid w:val="00D726D5"/>
    <w:rsid w:val="00D76BB3"/>
    <w:rsid w:val="00D90EC0"/>
    <w:rsid w:val="00DA0646"/>
    <w:rsid w:val="00DB2BF0"/>
    <w:rsid w:val="00DC1F95"/>
    <w:rsid w:val="00E42785"/>
    <w:rsid w:val="00E50A22"/>
    <w:rsid w:val="00E73354"/>
    <w:rsid w:val="00E817CB"/>
    <w:rsid w:val="00E865DE"/>
    <w:rsid w:val="00E963BA"/>
    <w:rsid w:val="00E96C3A"/>
    <w:rsid w:val="00EA69C6"/>
    <w:rsid w:val="00EB475A"/>
    <w:rsid w:val="00EC70B7"/>
    <w:rsid w:val="00EE25A1"/>
    <w:rsid w:val="00EF44CC"/>
    <w:rsid w:val="00F06FCC"/>
    <w:rsid w:val="00F16E13"/>
    <w:rsid w:val="00F318B1"/>
    <w:rsid w:val="00F45732"/>
    <w:rsid w:val="00FD5C63"/>
    <w:rsid w:val="00FF5A1E"/>
    <w:rsid w:val="3F0874A5"/>
  </w:rsids>
  <m:mathPr>
    <m:lMargin m:val="0"/>
    <m:mathFont m:val="Cambria Math"/>
    <m:rMargin m:val="0"/>
    <m:wrapIndent m:val="1440"/>
    <m:brkBin m:val="before"/>
    <m:brkBinSub m:val="--"/>
    <m:defJc m:val="centerGroup"/>
    <m:intLim m:val="subSup"/>
    <m:naryLim m:val="undOvr"/>
    <m:smallFrac m:val="off"/>
    <m:dispDef/>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autoSpaceDE w:val="0"/>
      <w:autoSpaceDN w:val="0"/>
      <w:adjustRightInd w:val="0"/>
      <w:jc w:val="left"/>
      <w:outlineLvl w:val="0"/>
    </w:pPr>
    <w:rPr>
      <w:color w:val="FFCC66"/>
      <w:kern w:val="0"/>
      <w:sz w:val="44"/>
      <w:szCs w:val="44"/>
      <w:lang w:val="zh-CN"/>
    </w:rPr>
  </w:style>
  <w:style w:type="paragraph" w:styleId="3">
    <w:name w:val="heading 2"/>
    <w:basedOn w:val="1"/>
    <w:next w:val="1"/>
    <w:qFormat/>
    <w:uiPriority w:val="0"/>
    <w:pPr>
      <w:autoSpaceDE w:val="0"/>
      <w:autoSpaceDN w:val="0"/>
      <w:adjustRightInd w:val="0"/>
      <w:ind w:left="270" w:hanging="270"/>
      <w:jc w:val="left"/>
      <w:outlineLvl w:val="1"/>
    </w:pPr>
    <w:rPr>
      <w:color w:val="EAEAEA"/>
      <w:kern w:val="0"/>
      <w:sz w:val="32"/>
      <w:szCs w:val="32"/>
      <w:lang w:val="zh-CN"/>
    </w:rPr>
  </w:style>
  <w:style w:type="paragraph" w:styleId="4">
    <w:name w:val="heading 7"/>
    <w:basedOn w:val="1"/>
    <w:next w:val="1"/>
    <w:qFormat/>
    <w:uiPriority w:val="0"/>
    <w:pPr>
      <w:keepNext/>
      <w:widowControl/>
      <w:numPr>
        <w:ilvl w:val="0"/>
        <w:numId w:val="1"/>
      </w:numPr>
      <w:spacing w:line="360" w:lineRule="auto"/>
      <w:ind w:hanging="289"/>
      <w:outlineLvl w:val="6"/>
    </w:pPr>
    <w:rPr>
      <w:rFonts w:ascii="楷体_GB2312" w:eastAsia="楷体_GB2312"/>
      <w:kern w:val="0"/>
      <w:sz w:val="24"/>
      <w:szCs w:val="20"/>
    </w:rPr>
  </w:style>
  <w:style w:type="character" w:default="1" w:styleId="12">
    <w:name w:val="Default Paragraph Font"/>
    <w:unhideWhenUsed/>
    <w:qFormat/>
    <w:uiPriority w:val="1"/>
  </w:style>
  <w:style w:type="table" w:default="1" w:styleId="15">
    <w:name w:val="Normal Table"/>
    <w:unhideWhenUsed/>
    <w:qFormat/>
    <w:uiPriority w:val="99"/>
    <w:tblPr>
      <w:tblLayout w:type="fixed"/>
      <w:tblCellMar>
        <w:top w:w="0" w:type="dxa"/>
        <w:left w:w="108" w:type="dxa"/>
        <w:bottom w:w="0" w:type="dxa"/>
        <w:right w:w="108" w:type="dxa"/>
      </w:tblCellMar>
    </w:tblPr>
  </w:style>
  <w:style w:type="paragraph" w:styleId="5">
    <w:name w:val="Body Text Indent"/>
    <w:basedOn w:val="1"/>
    <w:uiPriority w:val="0"/>
    <w:pPr>
      <w:spacing w:line="0" w:lineRule="atLeast"/>
      <w:ind w:left="300"/>
    </w:pPr>
  </w:style>
  <w:style w:type="paragraph" w:styleId="6">
    <w:name w:val="Body Text Indent 2"/>
    <w:basedOn w:val="1"/>
    <w:qFormat/>
    <w:uiPriority w:val="0"/>
    <w:pPr>
      <w:spacing w:line="0" w:lineRule="atLeast"/>
      <w:ind w:firstLine="560" w:firstLineChars="200"/>
    </w:pPr>
    <w:rPr>
      <w:rFonts w:ascii="隶书" w:eastAsia="隶书"/>
      <w:sz w:val="28"/>
    </w:r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Indent 3"/>
    <w:basedOn w:val="1"/>
    <w:qFormat/>
    <w:uiPriority w:val="0"/>
    <w:pPr>
      <w:spacing w:line="400" w:lineRule="exact"/>
      <w:ind w:left="420" w:firstLine="420"/>
    </w:pPr>
    <w:rPr>
      <w:rFonts w:ascii="Verdana" w:hAnsi="Verdana"/>
      <w:color w:val="000000"/>
      <w:sz w:val="22"/>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Hyperlink"/>
    <w:basedOn w:val="12"/>
    <w:uiPriority w:val="0"/>
    <w:rPr>
      <w:color w:val="0000FF"/>
      <w:u w:val="single"/>
    </w:rPr>
  </w:style>
  <w:style w:type="character" w:customStyle="1" w:styleId="16">
    <w:name w:val="word121"/>
    <w:basedOn w:val="12"/>
    <w:qFormat/>
    <w:uiPriority w:val="0"/>
    <w:rPr>
      <w:rFonts w:hint="default"/>
      <w:spacing w:val="384"/>
      <w:sz w:val="18"/>
      <w:szCs w:val="18"/>
      <w:u w:val="none"/>
    </w:rPr>
  </w:style>
  <w:style w:type="character" w:customStyle="1" w:styleId="17">
    <w:name w:val="cehua1"/>
    <w:basedOn w:val="12"/>
    <w:qFormat/>
    <w:uiPriority w:val="0"/>
    <w:rPr>
      <w:spacing w:val="375"/>
      <w:sz w:val="18"/>
      <w:szCs w:val="18"/>
    </w:rPr>
  </w:style>
  <w:style w:type="character" w:customStyle="1" w:styleId="18">
    <w:name w:val="页眉 Char"/>
    <w:basedOn w:val="12"/>
    <w:link w:val="9"/>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312</Words>
  <Characters>1780</Characters>
  <Lines>14</Lines>
  <Paragraphs>4</Paragraphs>
  <ScaleCrop>false</ScaleCrop>
  <LinksUpToDate>false</LinksUpToDate>
  <CharactersWithSpaces>2088</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2017-02-17T02:26:00Z</dcterms:created>
  <dc:creator>ADA</dc:creator>
  <cp:lastModifiedBy>Administrator</cp:lastModifiedBy>
  <cp:lastPrinted>2008-06-03T02:25:00Z</cp:lastPrinted>
  <dcterms:modified xsi:type="dcterms:W3CDTF">2017-02-27T09:48:49Z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