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Ind w:w="104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4121" w:rsidRPr="00754121" w:rsidTr="00937B49">
        <w:trPr>
          <w:trHeight w:val="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8"/>
                <w:szCs w:val="21"/>
              </w:rPr>
            </w:pPr>
          </w:p>
        </w:tc>
      </w:tr>
      <w:tr w:rsidR="00754121" w:rsidRPr="00754121" w:rsidTr="00937B49">
        <w:trPr>
          <w:trHeight w:val="900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0716C6" w:rsidRPr="000716C6" w:rsidRDefault="000716C6" w:rsidP="000716C6">
            <w:pPr>
              <w:pStyle w:val="a6"/>
              <w:adjustRightInd w:val="0"/>
              <w:snapToGrid w:val="0"/>
              <w:spacing w:before="12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bCs/>
                <w:color w:val="0066CC"/>
                <w:sz w:val="36"/>
                <w:szCs w:val="35"/>
              </w:rPr>
            </w:pPr>
            <w:r w:rsidRPr="000716C6">
              <w:rPr>
                <w:rFonts w:ascii="微软雅黑" w:eastAsia="微软雅黑" w:hAnsi="微软雅黑" w:hint="eastAsia"/>
                <w:b/>
                <w:bCs/>
                <w:color w:val="0066CC"/>
                <w:sz w:val="36"/>
                <w:szCs w:val="35"/>
              </w:rPr>
              <w:t>离职</w:t>
            </w:r>
            <w:r w:rsidRPr="000716C6">
              <w:rPr>
                <w:rFonts w:ascii="微软雅黑" w:eastAsia="微软雅黑" w:hAnsi="微软雅黑"/>
                <w:b/>
                <w:bCs/>
                <w:color w:val="0066CC"/>
                <w:sz w:val="36"/>
                <w:szCs w:val="35"/>
              </w:rPr>
              <w:t>员工的面谈技巧和情绪管理</w:t>
            </w:r>
          </w:p>
        </w:tc>
      </w:tr>
      <w:tr w:rsidR="00754121" w:rsidRPr="00754121" w:rsidTr="00937B49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105"/>
              <w:gridCol w:w="9045"/>
            </w:tblGrid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主办机构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劳达企业管理咨询公司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劳达律师事务所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参会费用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75C4F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¥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775C4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800</w:t>
                  </w:r>
                  <w:r w:rsidR="009B686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元/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人</w:t>
                  </w:r>
                  <w:r w:rsidR="009B6869" w:rsidRPr="00754121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时间地点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8" w:space="0" w:color="999999"/>
                    <w:right w:val="nil"/>
                  </w:tcBorders>
                  <w:shd w:val="clear" w:color="auto" w:fill="ECEBE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22CC4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</w:t>
                  </w:r>
                  <w:r w:rsidR="00C51D6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22CC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D3C3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722CC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日·</w:t>
                  </w:r>
                  <w:r w:rsidR="00937B4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上海</w:t>
                  </w:r>
                </w:p>
              </w:tc>
            </w:tr>
            <w:tr w:rsidR="00754121" w:rsidRPr="00754121">
              <w:trPr>
                <w:tblCellSpacing w:w="0" w:type="dxa"/>
                <w:jc w:val="center"/>
              </w:trPr>
              <w:tc>
                <w:tcPr>
                  <w:tcW w:w="1350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参会对象</w:t>
                  </w:r>
                </w:p>
              </w:tc>
              <w:tc>
                <w:tcPr>
                  <w:tcW w:w="105" w:type="dxa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总裁、人事总监、法</w:t>
                  </w:r>
                  <w:proofErr w:type="gramStart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总监、人事经理等企业中高管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4E48D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4E48D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5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8280" w:type="dxa"/>
        <w:tblCellSpacing w:w="0" w:type="dxa"/>
        <w:tblInd w:w="-1080" w:type="dxa"/>
        <w:tblCellMar>
          <w:left w:w="0" w:type="dxa"/>
          <w:right w:w="0" w:type="dxa"/>
        </w:tblCellMar>
        <w:tblLook w:val="04A0"/>
      </w:tblPr>
      <w:tblGrid>
        <w:gridCol w:w="8280"/>
      </w:tblGrid>
      <w:tr w:rsidR="00754121" w:rsidRPr="00754121" w:rsidTr="000716C6">
        <w:trPr>
          <w:tblCellSpacing w:w="0" w:type="dxa"/>
        </w:trPr>
        <w:tc>
          <w:tcPr>
            <w:tcW w:w="8280" w:type="dxa"/>
            <w:vAlign w:val="center"/>
            <w:hideMark/>
          </w:tcPr>
          <w:p w:rsidR="00754121" w:rsidRDefault="00754121" w:rsidP="007E7C8F">
            <w:pPr>
              <w:rPr>
                <w:rFonts w:ascii="微软雅黑" w:eastAsia="微软雅黑" w:hAnsi="微软雅黑" w:cs="宋体"/>
                <w:color w:val="0066CC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【课程背景】</w:t>
            </w:r>
          </w:p>
          <w:p w:rsidR="000716C6" w:rsidRPr="000716C6" w:rsidRDefault="000716C6" w:rsidP="000716C6">
            <w:pPr>
              <w:pStyle w:val="a6"/>
              <w:adjustRightInd w:val="0"/>
              <w:snapToGrid w:val="0"/>
              <w:spacing w:before="0" w:beforeAutospacing="0" w:after="0" w:afterAutospacing="0"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话说“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离职见人品”，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让HR和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管理者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最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头疼的就是如何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主动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辞退员工。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实际工作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中并不是您有合法性证据就能让员工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乖乖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买单的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；也不是您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提出的赔偿方案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高出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法定标准就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能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打动对方的。</w:t>
            </w:r>
          </w:p>
          <w:p w:rsidR="000716C6" w:rsidRPr="000716C6" w:rsidRDefault="000716C6" w:rsidP="000716C6">
            <w:pPr>
              <w:pStyle w:val="a6"/>
              <w:adjustRightInd w:val="0"/>
              <w:snapToGrid w:val="0"/>
              <w:spacing w:before="0" w:beforeAutospacing="0" w:after="0" w:afterAutospacing="0"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在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离职中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如何有效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避免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暴力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冲突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事件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？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面对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痛哭的员工我们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如何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快速安抚？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除了合法性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的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文书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准备，我们要做其他哪些预防措施？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在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沟通中绝对要避免的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事情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有哪些？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如何快速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识别八种危机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信号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？</w:t>
            </w:r>
            <w:r w:rsidRPr="000716C6">
              <w:rPr>
                <w:rFonts w:ascii="微软雅黑" w:eastAsia="微软雅黑" w:hAnsi="微软雅黑" w:hint="eastAsia"/>
                <w:sz w:val="18"/>
                <w:szCs w:val="18"/>
              </w:rPr>
              <w:t>集体</w:t>
            </w:r>
            <w:r w:rsidRPr="000716C6">
              <w:rPr>
                <w:rFonts w:ascii="微软雅黑" w:eastAsia="微软雅黑" w:hAnsi="微软雅黑"/>
                <w:sz w:val="18"/>
                <w:szCs w:val="18"/>
              </w:rPr>
              <w:t>裁员中您该找哪些员工最早沟通？</w:t>
            </w:r>
          </w:p>
          <w:p w:rsidR="00C51D68" w:rsidRDefault="00C51D68" w:rsidP="000716C6">
            <w:pPr>
              <w:widowControl/>
              <w:spacing w:line="300" w:lineRule="atLeast"/>
              <w:rPr>
                <w:rFonts w:ascii="微软雅黑" w:eastAsia="微软雅黑" w:hAnsi="微软雅黑" w:cs="宋体"/>
                <w:color w:val="0066CC"/>
                <w:kern w:val="0"/>
                <w:sz w:val="18"/>
                <w:szCs w:val="18"/>
              </w:rPr>
            </w:pPr>
            <w:r w:rsidRPr="00C51D68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【课程收益】</w:t>
            </w:r>
          </w:p>
          <w:p w:rsidR="000716C6" w:rsidRPr="000716C6" w:rsidRDefault="000716C6" w:rsidP="000716C6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</w:t>
            </w:r>
            <w:proofErr w:type="gramStart"/>
            <w:r w:rsidRPr="000716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清晰在</w:t>
            </w:r>
            <w:proofErr w:type="gramEnd"/>
            <w:r w:rsidRPr="000716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离职面谈的角色和作用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:rsidR="000716C6" w:rsidRPr="000716C6" w:rsidRDefault="000716C6" w:rsidP="000716C6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2、</w:t>
            </w:r>
            <w:r w:rsidRPr="000716C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完善离职面谈前期的准备工作</w:t>
            </w:r>
          </w:p>
          <w:p w:rsidR="000716C6" w:rsidRPr="000716C6" w:rsidRDefault="000716C6" w:rsidP="000716C6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3、懂得离职面沟通中员工的心理活动规律</w:t>
            </w:r>
          </w:p>
          <w:p w:rsidR="002D3C37" w:rsidRDefault="000716C6" w:rsidP="00C51D68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4、学习和掌握离职面谈中的关键沟通要素和技术</w:t>
            </w:r>
          </w:p>
          <w:p w:rsidR="00484352" w:rsidRPr="00484352" w:rsidRDefault="00484352" w:rsidP="00484352">
            <w:pPr>
              <w:adjustRightInd w:val="0"/>
              <w:snapToGrid w:val="0"/>
              <w:rPr>
                <w:rFonts w:ascii="微软雅黑" w:eastAsia="微软雅黑" w:hAnsi="微软雅黑" w:cs="宋体"/>
                <w:color w:val="0066CC"/>
                <w:kern w:val="0"/>
                <w:sz w:val="18"/>
                <w:szCs w:val="18"/>
              </w:rPr>
            </w:pPr>
            <w:r w:rsidRPr="00484352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【课程特色】</w:t>
            </w:r>
          </w:p>
          <w:p w:rsidR="00484352" w:rsidRPr="00484352" w:rsidRDefault="00484352" w:rsidP="00484352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</w:t>
            </w:r>
            <w:r w:rsidRPr="0048435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落地式辅导：让培训成为解决管理问题和达成管理目标的工具；</w:t>
            </w:r>
          </w:p>
          <w:p w:rsidR="00484352" w:rsidRPr="00484352" w:rsidRDefault="00484352" w:rsidP="00484352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2、</w:t>
            </w:r>
            <w:r w:rsidRPr="0048435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在情境中学习：模拟真实管理情境，采用案例式教学，充分调动员工的学习研究热情；</w:t>
            </w:r>
          </w:p>
          <w:p w:rsidR="00484352" w:rsidRPr="00484352" w:rsidRDefault="00484352" w:rsidP="00484352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3、</w:t>
            </w:r>
            <w:r w:rsidRPr="0048435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采用学员为中心的引导式、教练式的培训方式，使学员在深度体验中获得感悟和领会；</w:t>
            </w:r>
          </w:p>
          <w:p w:rsidR="00484352" w:rsidRPr="00484352" w:rsidRDefault="00484352" w:rsidP="00C51D68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4、</w:t>
            </w:r>
            <w:r w:rsidRPr="0048435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老师经过多年的心理学和管理实践，研究总结出的方法和步骤高度精炼和具有实用性。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40"/>
        <w:gridCol w:w="546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Default="00754121" w:rsidP="00754121">
            <w:pPr>
              <w:widowControl/>
              <w:spacing w:line="300" w:lineRule="atLeast"/>
              <w:rPr>
                <w:rFonts w:ascii="微软雅黑" w:eastAsia="微软雅黑" w:hAnsi="微软雅黑" w:cs="宋体"/>
                <w:color w:val="0066CC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【课程内容】</w:t>
            </w:r>
          </w:p>
          <w:p w:rsidR="000716C6" w:rsidRPr="006950B3" w:rsidRDefault="000716C6" w:rsidP="000716C6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color w:val="FF0000"/>
                <w:szCs w:val="21"/>
              </w:rPr>
            </w:pPr>
            <w:r w:rsidRPr="006950B3">
              <w:rPr>
                <w:rFonts w:ascii="微软雅黑" w:eastAsia="微软雅黑" w:hAnsi="微软雅黑" w:hint="eastAsia"/>
                <w:b/>
                <w:bCs/>
                <w:color w:val="FF0000"/>
                <w:szCs w:val="21"/>
              </w:rPr>
              <w:t>离职面谈沟通的前期准备</w:t>
            </w:r>
          </w:p>
          <w:p w:rsidR="000716C6" w:rsidRPr="000716C6" w:rsidRDefault="000716C6" w:rsidP="000716C6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716C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一、离职面谈的类型和目的</w:t>
            </w:r>
          </w:p>
          <w:p w:rsidR="000716C6" w:rsidRPr="000716C6" w:rsidRDefault="000716C6" w:rsidP="000716C6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1、</w:t>
            </w:r>
            <w:r w:rsidRPr="000716C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离职面谈的三种类型</w:t>
            </w:r>
          </w:p>
          <w:p w:rsidR="000716C6" w:rsidRPr="000716C6" w:rsidRDefault="000716C6" w:rsidP="000716C6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2、</w:t>
            </w:r>
            <w:r w:rsidRPr="000716C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离职面谈的目标设定</w:t>
            </w:r>
          </w:p>
          <w:p w:rsidR="000716C6" w:rsidRPr="000716C6" w:rsidRDefault="000716C6" w:rsidP="000716C6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3、</w:t>
            </w:r>
            <w:r w:rsidRPr="000716C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离职面谈中HR、经理人的角色和作用</w:t>
            </w:r>
          </w:p>
          <w:p w:rsidR="000716C6" w:rsidRPr="000716C6" w:rsidRDefault="000716C6" w:rsidP="000716C6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4、</w:t>
            </w:r>
            <w:r w:rsidRPr="000716C6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离职中的员工关系管理</w:t>
            </w:r>
          </w:p>
          <w:p w:rsidR="000716C6" w:rsidRPr="00F27D31" w:rsidRDefault="000716C6" w:rsidP="000716C6">
            <w:pPr>
              <w:widowControl/>
              <w:adjustRightInd w:val="0"/>
              <w:snapToGrid w:val="0"/>
              <w:outlineLvl w:val="0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27D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二、梳理离职面谈的各项准备工作</w:t>
            </w:r>
          </w:p>
          <w:p w:rsidR="000716C6" w:rsidRPr="00F27D31" w:rsidRDefault="00F27D31" w:rsidP="00F27D31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员工现况的分析及评估</w:t>
            </w:r>
          </w:p>
          <w:p w:rsidR="000716C6" w:rsidRPr="00F27D31" w:rsidRDefault="00F27D31" w:rsidP="00F27D31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离职面谈的环境细节安排</w:t>
            </w:r>
          </w:p>
          <w:p w:rsidR="000716C6" w:rsidRPr="00F27D31" w:rsidRDefault="00F27D31" w:rsidP="00F27D31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离职期间的员工管理及沟通安排</w:t>
            </w:r>
          </w:p>
          <w:p w:rsidR="000716C6" w:rsidRPr="00F27D31" w:rsidRDefault="00F27D31" w:rsidP="00F27D31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离职员工的心理反应过程及应对</w:t>
            </w:r>
          </w:p>
          <w:p w:rsidR="000716C6" w:rsidRPr="00F27D31" w:rsidRDefault="00F27D31" w:rsidP="00F27D31">
            <w:pPr>
              <w:tabs>
                <w:tab w:val="num" w:pos="426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要避免和不能做的事情有哪些</w:t>
            </w:r>
          </w:p>
          <w:p w:rsidR="000716C6" w:rsidRPr="00F27D31" w:rsidRDefault="00F27D31" w:rsidP="000716C6">
            <w:pPr>
              <w:widowControl/>
              <w:spacing w:line="300" w:lineRule="atLeas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6、</w:t>
            </w:r>
            <w:r w:rsidR="000716C6"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危机管理的预案与流程</w:t>
            </w:r>
          </w:p>
          <w:p w:rsidR="00F27D31" w:rsidRDefault="00F27D31" w:rsidP="00F27D31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color w:val="FF0000"/>
                <w:szCs w:val="21"/>
              </w:rPr>
            </w:pPr>
            <w:r w:rsidRPr="006950B3">
              <w:rPr>
                <w:rFonts w:ascii="微软雅黑" w:eastAsia="微软雅黑" w:hAnsi="微软雅黑" w:hint="eastAsia"/>
                <w:b/>
                <w:bCs/>
                <w:color w:val="FF0000"/>
                <w:szCs w:val="21"/>
              </w:rPr>
              <w:t>离职面谈沟通关键要素</w:t>
            </w:r>
          </w:p>
          <w:p w:rsidR="00F27D31" w:rsidRPr="00F27D31" w:rsidRDefault="00F27D31" w:rsidP="00F27D31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一、</w:t>
            </w:r>
            <w:r w:rsidRPr="00F27D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员工主动离职的面谈技巧</w:t>
            </w:r>
          </w:p>
          <w:p w:rsidR="00F27D31" w:rsidRP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常见员工离职面谈时的三种心理活动</w:t>
            </w:r>
          </w:p>
          <w:p w:rsidR="00F27D31" w:rsidRP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lastRenderedPageBreak/>
              <w:t>2、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离职员工沟通的典型误区</w:t>
            </w:r>
          </w:p>
          <w:p w:rsidR="00F27D31" w:rsidRP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保留员工的三个方法</w:t>
            </w:r>
          </w:p>
          <w:p w:rsidR="00F27D31" w:rsidRP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离职员工沟通的四个关键要素</w:t>
            </w:r>
          </w:p>
          <w:p w:rsidR="00484352" w:rsidRPr="00F27D31" w:rsidRDefault="00484352" w:rsidP="00484352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二、</w:t>
            </w:r>
            <w:r w:rsidRPr="00F27D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员工被动离职的面谈技巧</w:t>
            </w:r>
          </w:p>
          <w:p w:rsidR="007E7C8F" w:rsidRPr="00484352" w:rsidRDefault="00484352" w:rsidP="00484352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准备：整理经验、梳理心情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E69" w:rsidRDefault="001B3E69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</w:p>
          <w:p w:rsid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离职面谈的四个步骤（开场-处理负面情绪-问答-收场）</w:t>
            </w:r>
          </w:p>
          <w:p w:rsidR="00F27D31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（1）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如何做开场白</w:t>
            </w:r>
          </w:p>
          <w:p w:rsidR="00F27D31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（2）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常见员工负面的反应</w:t>
            </w:r>
          </w:p>
          <w:p w:rsid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（3）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如何处理员工负面反应</w:t>
            </w:r>
          </w:p>
          <w:p w:rsidR="00F27D31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（4）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员工可能的特殊反应的处理</w:t>
            </w:r>
          </w:p>
          <w:p w:rsidR="00F27D31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（5）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如何应对问答环节</w:t>
            </w:r>
          </w:p>
          <w:p w:rsidR="00F27D31" w:rsidRPr="001B3E69" w:rsidRDefault="001B3E69" w:rsidP="001B3E69">
            <w:pPr>
              <w:tabs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（6）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如何收场：结束面谈</w:t>
            </w:r>
          </w:p>
          <w:p w:rsidR="00F27D31" w:rsidRP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3、离职面谈的</w:t>
            </w:r>
            <w:r w:rsidRPr="00F27D31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checklist</w:t>
            </w:r>
          </w:p>
          <w:p w:rsidR="00F27D31" w:rsidRDefault="00F27D31" w:rsidP="00F27D31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4、危险信号</w:t>
            </w:r>
            <w:r w:rsidRPr="00F27D31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/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确保安全</w:t>
            </w:r>
            <w:r w:rsidRPr="00F27D31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/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潜在的危机识别与应对</w:t>
            </w:r>
          </w:p>
          <w:p w:rsidR="00F27D31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（1）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八种危险信号</w:t>
            </w:r>
          </w:p>
          <w:p w:rsidR="00F27D31" w:rsidRPr="001B3E69" w:rsidRDefault="001B3E69" w:rsidP="001B3E69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（2）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潜在的危机处理方法</w:t>
            </w:r>
          </w:p>
          <w:p w:rsidR="009364DF" w:rsidRPr="009364DF" w:rsidRDefault="00F27D31" w:rsidP="009364DF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F27D31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、</w:t>
            </w:r>
            <w:r w:rsidRPr="00F27D31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员工沟通期间，如何调整自己的情绪</w:t>
            </w:r>
          </w:p>
          <w:p w:rsidR="009364DF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（1）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学会自我察觉</w:t>
            </w:r>
          </w:p>
          <w:p w:rsidR="009364DF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（2）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学会疏解情绪和放松</w:t>
            </w:r>
          </w:p>
          <w:p w:rsidR="009364DF" w:rsidRPr="001B3E69" w:rsidRDefault="001B3E69" w:rsidP="001B3E69">
            <w:pPr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（3）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确认自己的决策</w:t>
            </w:r>
          </w:p>
          <w:p w:rsidR="00F27D31" w:rsidRPr="001B3E69" w:rsidRDefault="001B3E69" w:rsidP="001B3E69">
            <w:pPr>
              <w:tabs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（4）</w:t>
            </w:r>
            <w:r w:rsidR="00F27D31" w:rsidRPr="001B3E6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对事件的正确理解</w:t>
            </w:r>
          </w:p>
          <w:p w:rsidR="00F27D31" w:rsidRPr="00484352" w:rsidRDefault="00484352" w:rsidP="00484352">
            <w:pPr>
              <w:widowControl/>
              <w:adjustRightInd w:val="0"/>
              <w:snapToGrid w:val="0"/>
              <w:outlineLvl w:val="0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8435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lastRenderedPageBreak/>
              <w:t>三、</w:t>
            </w:r>
            <w:r w:rsidR="00F27D31" w:rsidRPr="0048435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在实际管理中的具体应用</w:t>
            </w:r>
          </w:p>
          <w:p w:rsidR="00F27D31" w:rsidRPr="00484352" w:rsidRDefault="00484352" w:rsidP="00484352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1、</w:t>
            </w:r>
            <w:r w:rsidR="00F27D31" w:rsidRPr="00484352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实际四种典型案例操练</w:t>
            </w:r>
          </w:p>
          <w:p w:rsidR="00F27D31" w:rsidRPr="00484352" w:rsidRDefault="00484352" w:rsidP="00484352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2、</w:t>
            </w:r>
            <w:r w:rsidR="00F27D31" w:rsidRPr="00484352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每组角色扮演</w:t>
            </w:r>
          </w:p>
          <w:p w:rsidR="00F27D31" w:rsidRPr="00484352" w:rsidRDefault="00484352" w:rsidP="00484352">
            <w:pPr>
              <w:tabs>
                <w:tab w:val="num" w:pos="426"/>
                <w:tab w:val="num" w:pos="993"/>
              </w:tabs>
              <w:jc w:val="left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3、</w:t>
            </w:r>
            <w:r w:rsidR="00F27D31" w:rsidRPr="00484352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学员-讲师点评</w:t>
            </w:r>
          </w:p>
          <w:p w:rsidR="00754121" w:rsidRPr="00F27D31" w:rsidRDefault="00484352" w:rsidP="00F27D31">
            <w:pPr>
              <w:adjustRightInd w:val="0"/>
              <w:snapToGrid w:val="0"/>
              <w:ind w:rightChars="650" w:right="1365"/>
              <w:rPr>
                <w:rFonts w:ascii="微软雅黑" w:eastAsia="微软雅黑" w:hAnsi="微软雅黑"/>
                <w:bCs/>
                <w:szCs w:val="21"/>
              </w:rPr>
            </w:pPr>
            <w:r w:rsidRPr="0048435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四、</w:t>
            </w:r>
            <w:r w:rsidR="00F27D31" w:rsidRPr="0048435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回顾与总结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4E48D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4E48D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6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 w:val="4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hideMark/>
          </w:tcPr>
          <w:p w:rsidR="009364DF" w:rsidRPr="009364DF" w:rsidRDefault="009364DF" w:rsidP="009364DF">
            <w:pPr>
              <w:widowControl/>
              <w:spacing w:line="300" w:lineRule="atLeast"/>
              <w:rPr>
                <w:rFonts w:ascii="微软雅黑" w:eastAsia="微软雅黑" w:hAnsi="微软雅黑" w:cs="宋体"/>
                <w:color w:val="0066CC"/>
                <w:kern w:val="0"/>
                <w:sz w:val="18"/>
                <w:szCs w:val="18"/>
              </w:rPr>
            </w:pP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讲师介绍</w:t>
            </w:r>
            <w:r w:rsidRPr="00754121">
              <w:rPr>
                <w:rFonts w:ascii="微软雅黑" w:eastAsia="微软雅黑" w:hAnsi="微软雅黑" w:cs="宋体" w:hint="eastAsia"/>
                <w:color w:val="0066CC"/>
                <w:kern w:val="0"/>
                <w:sz w:val="18"/>
                <w:szCs w:val="18"/>
              </w:rPr>
              <w:t>】</w:t>
            </w:r>
          </w:p>
          <w:p w:rsidR="00484352" w:rsidRDefault="00484352" w:rsidP="007E7C8F">
            <w:pPr>
              <w:rPr>
                <w:rFonts w:ascii="微软雅黑" w:eastAsia="微软雅黑" w:hAnsi="微软雅黑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>王苑</w:t>
            </w:r>
            <w:r w:rsidR="007E7C8F" w:rsidRPr="007E7C8F"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>老师</w:t>
            </w:r>
            <w:r w:rsidR="007E7C8F" w:rsidRPr="007E7C8F"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alibri" w:hint="eastAsia"/>
                <w:b/>
                <w:bCs/>
                <w:kern w:val="0"/>
                <w:sz w:val="18"/>
                <w:szCs w:val="18"/>
              </w:rPr>
              <w:t>心理学-管理学跨界专家</w:t>
            </w:r>
          </w:p>
          <w:p w:rsidR="00484352" w:rsidRPr="00484352" w:rsidRDefault="007E7C8F" w:rsidP="0048435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</w:t>
            </w:r>
            <w:r w:rsid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王老师毕业于</w:t>
            </w:r>
            <w:r w:rsidR="00484352"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首都师范大学</w:t>
            </w:r>
            <w:r w:rsid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，</w:t>
            </w:r>
            <w:r w:rsidR="00484352"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应用心理学研究生</w:t>
            </w:r>
            <w:r w:rsid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，曾任职</w:t>
            </w:r>
            <w:r w:rsidR="00484352"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天力亚太管理咨询公司中国区副总裁</w:t>
            </w:r>
            <w:r w:rsid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，拥有世界500强企业多年管理经验。</w:t>
            </w:r>
          </w:p>
          <w:p w:rsidR="00484352" w:rsidRPr="009364DF" w:rsidRDefault="00484352" w:rsidP="0048435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11年来，王老师致力于“心理学在企业实际管理中的应用”领域，曾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为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300多位经理人进行咨询和提供教练服务，配合企业重大变革管理80多起，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 xml:space="preserve"> 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配合企业危机管理150多起，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有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2600多例的企业员工EAP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辅导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、咨询和几百场的培训授课经验。</w:t>
            </w:r>
            <w:r w:rsidR="009364D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教练式授课，轻松幽默，互动性强</w:t>
            </w:r>
            <w:r w:rsidR="009364DF" w:rsidRPr="009364D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，在培训中借鉴了心理学的各类活泼的方法，大量采用案例情景学</w:t>
            </w:r>
            <w:bookmarkStart w:id="0" w:name="_GoBack"/>
            <w:bookmarkEnd w:id="0"/>
            <w:r w:rsidR="009364D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习，深受员工喜爱。</w:t>
            </w:r>
          </w:p>
          <w:p w:rsidR="00484352" w:rsidRPr="00484352" w:rsidRDefault="00484352" w:rsidP="0048435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</w:t>
            </w:r>
            <w:proofErr w:type="gramStart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曾培训</w:t>
            </w:r>
            <w:proofErr w:type="gramEnd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和辅导企业处理各类员工管理的问题，尤其是近年来常见的各企业的大规模或小范围的变革、重组、裁员，以及管理层的调迁、调岗服务和特殊“个性”员工管理等等</w:t>
            </w: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。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大量的个案实践使她深谙教练技术、心理咨询技术以及企业管理的精髓。使得她能够深入理解员工与管理</w:t>
            </w:r>
            <w:proofErr w:type="gramStart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层遇到</w:t>
            </w:r>
            <w:proofErr w:type="gramEnd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的具体问题，帮助管理者解决在管理中遇到的各种员工管理问题。</w:t>
            </w:r>
          </w:p>
          <w:p w:rsidR="009B6869" w:rsidRPr="009364DF" w:rsidRDefault="00484352" w:rsidP="009364DF">
            <w:pPr>
              <w:adjustRightInd w:val="0"/>
              <w:snapToGrid w:val="0"/>
              <w:spacing w:line="400" w:lineRule="exact"/>
              <w:ind w:right="34"/>
              <w:rPr>
                <w:rFonts w:ascii="微软雅黑" w:eastAsia="微软雅黑" w:hAnsi="微软雅黑"/>
                <w:szCs w:val="21"/>
              </w:rPr>
            </w:pPr>
            <w:r w:rsidRPr="007E7C8F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•</w:t>
            </w: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曾服务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英特尔、IBM、陶氏化学、微软、汇丰银行、渣打银行、花旗银行、通用电气、YUM、伊顿、爱普生、惠普、谷歌、空气化工、美孚石油、诺基亚、中金所、李宁、阿迪达斯、宝洁、延峰汽车、中国联通、宝钢集团、中国银行、中石油、</w:t>
            </w:r>
            <w:proofErr w:type="gramStart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星巴克</w:t>
            </w:r>
            <w:proofErr w:type="gramEnd"/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、</w:t>
            </w:r>
            <w:r w:rsidRPr="00484352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t>ITT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、中国移动、海南航空、南方航空、利比等</w:t>
            </w: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客户</w:t>
            </w:r>
            <w:r w:rsidRPr="00484352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4E48D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4E48D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7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6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shd w:val="clear" w:color="auto" w:fill="09426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Registration / 预订席位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参会人员信息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38"/>
              <w:gridCol w:w="1838"/>
              <w:gridCol w:w="3412"/>
              <w:gridCol w:w="3412"/>
            </w:tblGrid>
            <w:tr w:rsidR="00754121" w:rsidRPr="00754121">
              <w:trPr>
                <w:jc w:val="center"/>
              </w:trPr>
              <w:tc>
                <w:tcPr>
                  <w:tcW w:w="17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公司名称：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公司地址：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职位：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电话：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邮箱：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手机：</w:t>
                  </w:r>
                </w:p>
              </w:tc>
            </w:tr>
            <w:tr w:rsidR="00754121" w:rsidRPr="00754121">
              <w:trPr>
                <w:jc w:val="center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 w:val="1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75"/>
        <w:gridCol w:w="3045"/>
        <w:gridCol w:w="1575"/>
        <w:gridCol w:w="1260"/>
        <w:gridCol w:w="945"/>
      </w:tblGrid>
      <w:tr w:rsidR="00754121" w:rsidRPr="00754121" w:rsidTr="00754121">
        <w:trPr>
          <w:tblCellSpacing w:w="0" w:type="dxa"/>
          <w:jc w:val="center"/>
        </w:trPr>
        <w:tc>
          <w:tcPr>
            <w:tcW w:w="1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参会城市： (请在选择处打“√”）</w:t>
            </w:r>
          </w:p>
        </w:tc>
        <w:tc>
          <w:tcPr>
            <w:tcW w:w="0" w:type="auto"/>
            <w:gridSpan w:val="4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9364DF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[ ] </w:t>
                  </w:r>
                  <w:r w:rsidR="0058685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上海</w:t>
                  </w:r>
                  <w:r w:rsidR="009364DF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5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月2</w:t>
                  </w:r>
                  <w:r w:rsidR="009364DF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5</w:t>
                  </w:r>
                  <w:r w:rsidRPr="00754121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公司抬头：</w:t>
            </w:r>
          </w:p>
        </w:tc>
        <w:tc>
          <w:tcPr>
            <w:tcW w:w="1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项目明细： (请在选择处打“√”）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7"/>
              <w:gridCol w:w="1706"/>
              <w:gridCol w:w="1706"/>
              <w:gridCol w:w="1706"/>
            </w:tblGrid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培训服务费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会务费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咨询费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服务费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转账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现场现金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[ ] 现场刷卡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付款方式： (请在选择处打“√”）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4E48DF" w:rsidP="00754121">
            <w:pPr>
              <w:widowControl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4E48DF"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  <w:pict>
                <v:rect id="_x0000_i1028" style="width:525pt;height:.75pt" o:hrpct="0" o:hralign="center" o:hrstd="t" o:hrnoshade="t" o:hr="t" fillcolor="#a0a0a0" stroked="f"/>
              </w:pic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754121" w:rsidRPr="00754121" w:rsidTr="007541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4121" w:rsidRPr="00754121" w:rsidRDefault="00754121" w:rsidP="00754121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立于2005年，由国内顶尖劳动法与员工关系专家魏浩征先生创办并领衔，是中国第一家专注为雇主方提供劳动法与员工关系咨询、培训、外包及法律服务的咨询公司和律师事务所，2014-2015大中华区最佳劳动法咨询与服务机构，2015大中华区人力资源服务机构品牌100强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总部设于上海，并在北上广深等地设有十家分支机构。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一直致力于综合运用中国本土的劳动法规政策，解决企业人力资源管理过程中的员工关系问题，帮助企业降低人力成本，控制法律风险，实现卓越员工关系管理。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劳达</w:t>
            </w:r>
            <w:proofErr w:type="spellStart"/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laboroot</w:t>
            </w:r>
            <w:proofErr w:type="spellEnd"/>
            <w:r w:rsidRPr="007E7C8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®</w:t>
            </w:r>
            <w:r w:rsidRPr="007541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已与数百家知名企业（包括百余家500强）建立劳动法与员工关系顾问、培训、裁员/并购/用工模式调整/劳动争议处理、外包等项目的常年合作关系。</w:t>
            </w:r>
          </w:p>
        </w:tc>
      </w:tr>
    </w:tbl>
    <w:p w:rsidR="00754121" w:rsidRPr="00754121" w:rsidRDefault="00754121" w:rsidP="007541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70"/>
        <w:gridCol w:w="7320"/>
      </w:tblGrid>
      <w:tr w:rsidR="00754121" w:rsidRPr="00754121" w:rsidTr="00754121">
        <w:trPr>
          <w:trHeight w:val="1500"/>
          <w:tblCellSpacing w:w="0" w:type="dxa"/>
          <w:jc w:val="center"/>
        </w:trPr>
        <w:tc>
          <w:tcPr>
            <w:tcW w:w="3225" w:type="dxa"/>
            <w:vMerge w:val="restart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2047875" cy="1714500"/>
                  <wp:effectExtent l="19050" t="0" r="9525" b="0"/>
                  <wp:docPr id="8" name="图片 8" descr="说明: http://www.laboroot.com/laboroot/edm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说明: http://www.laboroot.com/laboroot/edm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4"/>
              <w:gridCol w:w="366"/>
              <w:gridCol w:w="3660"/>
            </w:tblGrid>
            <w:tr w:rsidR="00754121" w:rsidRPr="00754121">
              <w:trPr>
                <w:tblCellSpacing w:w="0" w:type="dxa"/>
              </w:trPr>
              <w:tc>
                <w:tcPr>
                  <w:tcW w:w="225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联系我们：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联系人：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</w:t>
                  </w:r>
                  <w:proofErr w:type="spellEnd"/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蒋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传真：021-51685239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电话：021-51696196-8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邮件：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ada.jiang</w:t>
                  </w: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@laboroot.com</w:t>
                  </w:r>
                </w:p>
              </w:tc>
            </w:tr>
            <w:tr w:rsidR="00754121" w:rsidRPr="00754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手机：13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816194427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4121" w:rsidRPr="00754121" w:rsidRDefault="00754121" w:rsidP="00754121">
                  <w:pPr>
                    <w:widowControl/>
                    <w:spacing w:line="270" w:lineRule="atLeas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5412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54121" w:rsidRPr="00754121" w:rsidRDefault="00754121" w:rsidP="0075412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54121" w:rsidRPr="00754121" w:rsidTr="00754121">
        <w:trPr>
          <w:trHeight w:val="11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4121" w:rsidRPr="00754121" w:rsidRDefault="00754121" w:rsidP="0075412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754121" w:rsidRPr="00754121" w:rsidRDefault="00754121" w:rsidP="00754121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"/>
                <w:szCs w:val="2"/>
              </w:rPr>
              <w:drawing>
                <wp:inline distT="0" distB="0" distL="0" distR="0">
                  <wp:extent cx="4619625" cy="733425"/>
                  <wp:effectExtent l="19050" t="0" r="9525" b="0"/>
                  <wp:docPr id="9" name="图片 9" descr="说明: http://www.laboroot.com/laboroot/edm/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说明: http://www.laboroot.com/laboroot/edm/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15B" w:rsidRDefault="0098115B" w:rsidP="00C51D68"/>
    <w:sectPr w:rsidR="0098115B" w:rsidSect="0098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58" w:rsidRDefault="00DC6358" w:rsidP="00754121">
      <w:r>
        <w:separator/>
      </w:r>
    </w:p>
  </w:endnote>
  <w:endnote w:type="continuationSeparator" w:id="0">
    <w:p w:rsidR="00DC6358" w:rsidRDefault="00DC6358" w:rsidP="0075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58" w:rsidRDefault="00DC6358" w:rsidP="00754121">
      <w:r>
        <w:separator/>
      </w:r>
    </w:p>
  </w:footnote>
  <w:footnote w:type="continuationSeparator" w:id="0">
    <w:p w:rsidR="00DC6358" w:rsidRDefault="00DC6358" w:rsidP="0075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362"/>
    <w:multiLevelType w:val="hybridMultilevel"/>
    <w:tmpl w:val="C01CA47A"/>
    <w:lvl w:ilvl="0" w:tplc="04090011">
      <w:start w:val="1"/>
      <w:numFmt w:val="decimal"/>
      <w:lvlText w:val="%1)"/>
      <w:lvlJc w:val="left"/>
      <w:pPr>
        <w:ind w:left="2431" w:hanging="420"/>
      </w:pPr>
    </w:lvl>
    <w:lvl w:ilvl="1" w:tplc="04090019" w:tentative="1">
      <w:start w:val="1"/>
      <w:numFmt w:val="lowerLetter"/>
      <w:lvlText w:val="%2)"/>
      <w:lvlJc w:val="left"/>
      <w:pPr>
        <w:ind w:left="2851" w:hanging="420"/>
      </w:pPr>
    </w:lvl>
    <w:lvl w:ilvl="2" w:tplc="0409001B" w:tentative="1">
      <w:start w:val="1"/>
      <w:numFmt w:val="lowerRoman"/>
      <w:lvlText w:val="%3."/>
      <w:lvlJc w:val="right"/>
      <w:pPr>
        <w:ind w:left="3271" w:hanging="420"/>
      </w:pPr>
    </w:lvl>
    <w:lvl w:ilvl="3" w:tplc="0409000F" w:tentative="1">
      <w:start w:val="1"/>
      <w:numFmt w:val="decimal"/>
      <w:lvlText w:val="%4."/>
      <w:lvlJc w:val="left"/>
      <w:pPr>
        <w:ind w:left="3691" w:hanging="420"/>
      </w:pPr>
    </w:lvl>
    <w:lvl w:ilvl="4" w:tplc="04090019" w:tentative="1">
      <w:start w:val="1"/>
      <w:numFmt w:val="lowerLetter"/>
      <w:lvlText w:val="%5)"/>
      <w:lvlJc w:val="left"/>
      <w:pPr>
        <w:ind w:left="4111" w:hanging="420"/>
      </w:pPr>
    </w:lvl>
    <w:lvl w:ilvl="5" w:tplc="0409001B" w:tentative="1">
      <w:start w:val="1"/>
      <w:numFmt w:val="lowerRoman"/>
      <w:lvlText w:val="%6."/>
      <w:lvlJc w:val="right"/>
      <w:pPr>
        <w:ind w:left="4531" w:hanging="420"/>
      </w:pPr>
    </w:lvl>
    <w:lvl w:ilvl="6" w:tplc="0409000F" w:tentative="1">
      <w:start w:val="1"/>
      <w:numFmt w:val="decimal"/>
      <w:lvlText w:val="%7."/>
      <w:lvlJc w:val="left"/>
      <w:pPr>
        <w:ind w:left="4951" w:hanging="420"/>
      </w:pPr>
    </w:lvl>
    <w:lvl w:ilvl="7" w:tplc="04090019" w:tentative="1">
      <w:start w:val="1"/>
      <w:numFmt w:val="lowerLetter"/>
      <w:lvlText w:val="%8)"/>
      <w:lvlJc w:val="left"/>
      <w:pPr>
        <w:ind w:left="5371" w:hanging="420"/>
      </w:pPr>
    </w:lvl>
    <w:lvl w:ilvl="8" w:tplc="0409001B" w:tentative="1">
      <w:start w:val="1"/>
      <w:numFmt w:val="lowerRoman"/>
      <w:lvlText w:val="%9."/>
      <w:lvlJc w:val="right"/>
      <w:pPr>
        <w:ind w:left="5791" w:hanging="420"/>
      </w:pPr>
    </w:lvl>
  </w:abstractNum>
  <w:abstractNum w:abstractNumId="1">
    <w:nsid w:val="1A113DED"/>
    <w:multiLevelType w:val="hybridMultilevel"/>
    <w:tmpl w:val="D77C48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7746A"/>
    <w:multiLevelType w:val="hybridMultilevel"/>
    <w:tmpl w:val="A7FCDFFC"/>
    <w:lvl w:ilvl="0" w:tplc="68A4C7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C5341A"/>
    <w:multiLevelType w:val="hybridMultilevel"/>
    <w:tmpl w:val="404AE504"/>
    <w:lvl w:ilvl="0" w:tplc="FA1E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EE95766"/>
    <w:multiLevelType w:val="hybridMultilevel"/>
    <w:tmpl w:val="3DCE6802"/>
    <w:lvl w:ilvl="0" w:tplc="68A4C7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2A269F"/>
    <w:multiLevelType w:val="hybridMultilevel"/>
    <w:tmpl w:val="BC3CF8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1438EB"/>
    <w:multiLevelType w:val="hybridMultilevel"/>
    <w:tmpl w:val="5D32C3A0"/>
    <w:lvl w:ilvl="0" w:tplc="7E1EC14E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15EAF5E">
      <w:start w:val="3"/>
      <w:numFmt w:val="japaneseCounting"/>
      <w:lvlText w:val="%3、"/>
      <w:lvlJc w:val="left"/>
      <w:pPr>
        <w:ind w:left="3210" w:hanging="570"/>
      </w:pPr>
      <w:rPr>
        <w:rFonts w:hint="default"/>
        <w:sz w:val="28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7">
    <w:nsid w:val="33CC4C11"/>
    <w:multiLevelType w:val="hybridMultilevel"/>
    <w:tmpl w:val="E27664BE"/>
    <w:lvl w:ilvl="0" w:tplc="68A4C7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240C7C"/>
    <w:multiLevelType w:val="hybridMultilevel"/>
    <w:tmpl w:val="A5703A80"/>
    <w:lvl w:ilvl="0" w:tplc="92F8BBD6">
      <w:start w:val="1"/>
      <w:numFmt w:val="japaneseCounting"/>
      <w:lvlText w:val="%1、"/>
      <w:lvlJc w:val="left"/>
      <w:pPr>
        <w:ind w:left="14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lowerLetter"/>
      <w:lvlText w:val="%5)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lowerLetter"/>
      <w:lvlText w:val="%8)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9">
    <w:nsid w:val="3A464CE7"/>
    <w:multiLevelType w:val="hybridMultilevel"/>
    <w:tmpl w:val="217ACE1E"/>
    <w:lvl w:ilvl="0" w:tplc="FA1E08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A75036"/>
    <w:multiLevelType w:val="hybridMultilevel"/>
    <w:tmpl w:val="B6927F96"/>
    <w:lvl w:ilvl="0" w:tplc="0F6CED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382D2B"/>
    <w:multiLevelType w:val="hybridMultilevel"/>
    <w:tmpl w:val="43F0BE00"/>
    <w:lvl w:ilvl="0" w:tplc="0D0608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15EAF5E">
      <w:start w:val="3"/>
      <w:numFmt w:val="japaneseCounting"/>
      <w:lvlText w:val="%3、"/>
      <w:lvlJc w:val="left"/>
      <w:pPr>
        <w:ind w:left="3210" w:hanging="570"/>
      </w:pPr>
      <w:rPr>
        <w:rFonts w:hint="default"/>
        <w:sz w:val="28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4C9C465A"/>
    <w:multiLevelType w:val="hybridMultilevel"/>
    <w:tmpl w:val="220EE6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15EAF5E">
      <w:start w:val="3"/>
      <w:numFmt w:val="japaneseCounting"/>
      <w:lvlText w:val="%3、"/>
      <w:lvlJc w:val="left"/>
      <w:pPr>
        <w:ind w:left="3210" w:hanging="570"/>
      </w:pPr>
      <w:rPr>
        <w:rFonts w:hint="default"/>
        <w:sz w:val="28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3">
    <w:nsid w:val="57FC39AC"/>
    <w:multiLevelType w:val="hybridMultilevel"/>
    <w:tmpl w:val="9070A5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5B1FC5"/>
    <w:multiLevelType w:val="hybridMultilevel"/>
    <w:tmpl w:val="F97A6F38"/>
    <w:lvl w:ilvl="0" w:tplc="0409000B">
      <w:start w:val="1"/>
      <w:numFmt w:val="bullet"/>
      <w:lvlText w:val=""/>
      <w:lvlJc w:val="left"/>
      <w:pPr>
        <w:ind w:left="107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2" w:tplc="015EAF5E">
      <w:start w:val="3"/>
      <w:numFmt w:val="japaneseCounting"/>
      <w:lvlText w:val="%3、"/>
      <w:lvlJc w:val="left"/>
      <w:pPr>
        <w:ind w:left="3803" w:hanging="570"/>
      </w:pPr>
      <w:rPr>
        <w:rFonts w:hint="default"/>
        <w:sz w:val="28"/>
      </w:rPr>
    </w:lvl>
    <w:lvl w:ilvl="3" w:tplc="04090001" w:tentative="1">
      <w:start w:val="1"/>
      <w:numFmt w:val="bullet"/>
      <w:lvlText w:val="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3"/>
        </w:tabs>
        <w:ind w:left="56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3"/>
        </w:tabs>
        <w:ind w:left="61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3"/>
        </w:tabs>
        <w:ind w:left="6593" w:hanging="480"/>
      </w:pPr>
      <w:rPr>
        <w:rFonts w:ascii="Wingdings" w:hAnsi="Wingdings" w:hint="default"/>
      </w:rPr>
    </w:lvl>
  </w:abstractNum>
  <w:abstractNum w:abstractNumId="15">
    <w:nsid w:val="625806F3"/>
    <w:multiLevelType w:val="hybridMultilevel"/>
    <w:tmpl w:val="924E478E"/>
    <w:lvl w:ilvl="0" w:tplc="9FC6DF9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6B2434"/>
    <w:multiLevelType w:val="hybridMultilevel"/>
    <w:tmpl w:val="1BAC15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BA05AF"/>
    <w:multiLevelType w:val="hybridMultilevel"/>
    <w:tmpl w:val="F2AEB988"/>
    <w:lvl w:ilvl="0" w:tplc="04090011">
      <w:start w:val="1"/>
      <w:numFmt w:val="decimal"/>
      <w:lvlText w:val="%1)"/>
      <w:lvlJc w:val="left"/>
      <w:pPr>
        <w:ind w:left="1326" w:hanging="480"/>
      </w:p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8">
    <w:nsid w:val="75C01630"/>
    <w:multiLevelType w:val="hybridMultilevel"/>
    <w:tmpl w:val="404AE504"/>
    <w:lvl w:ilvl="0" w:tplc="FA1E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7AE03A06"/>
    <w:multiLevelType w:val="hybridMultilevel"/>
    <w:tmpl w:val="74D68F80"/>
    <w:lvl w:ilvl="0" w:tplc="F0B01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16"/>
  </w:num>
  <w:num w:numId="14">
    <w:abstractNumId w:val="4"/>
  </w:num>
  <w:num w:numId="15">
    <w:abstractNumId w:val="2"/>
  </w:num>
  <w:num w:numId="16">
    <w:abstractNumId w:val="15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121"/>
    <w:rsid w:val="00030D92"/>
    <w:rsid w:val="000716C6"/>
    <w:rsid w:val="000A0205"/>
    <w:rsid w:val="00103AA0"/>
    <w:rsid w:val="00166E0E"/>
    <w:rsid w:val="001B3E69"/>
    <w:rsid w:val="001D735A"/>
    <w:rsid w:val="001E025E"/>
    <w:rsid w:val="001F1660"/>
    <w:rsid w:val="002017A4"/>
    <w:rsid w:val="002423A9"/>
    <w:rsid w:val="00246B85"/>
    <w:rsid w:val="002D3C37"/>
    <w:rsid w:val="00303A75"/>
    <w:rsid w:val="003B78A6"/>
    <w:rsid w:val="00484352"/>
    <w:rsid w:val="004A437B"/>
    <w:rsid w:val="004E48DF"/>
    <w:rsid w:val="0058685A"/>
    <w:rsid w:val="00722CC4"/>
    <w:rsid w:val="00754121"/>
    <w:rsid w:val="00775C4F"/>
    <w:rsid w:val="007E7C8F"/>
    <w:rsid w:val="00851031"/>
    <w:rsid w:val="009364DF"/>
    <w:rsid w:val="00937B49"/>
    <w:rsid w:val="009440DA"/>
    <w:rsid w:val="00956FC6"/>
    <w:rsid w:val="0098115B"/>
    <w:rsid w:val="009B6869"/>
    <w:rsid w:val="00C458CC"/>
    <w:rsid w:val="00C51D68"/>
    <w:rsid w:val="00DC6358"/>
    <w:rsid w:val="00DD37C6"/>
    <w:rsid w:val="00E633BB"/>
    <w:rsid w:val="00EB0C86"/>
    <w:rsid w:val="00EE700B"/>
    <w:rsid w:val="00F27D31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1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1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121"/>
    <w:rPr>
      <w:sz w:val="18"/>
      <w:szCs w:val="18"/>
    </w:rPr>
  </w:style>
  <w:style w:type="paragraph" w:styleId="a6">
    <w:name w:val="Normal (Web)"/>
    <w:aliases w:val="普通 (Web)"/>
    <w:basedOn w:val="a"/>
    <w:uiPriority w:val="99"/>
    <w:unhideWhenUsed/>
    <w:rsid w:val="007E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0716C6"/>
    <w:rPr>
      <w:b/>
      <w:bCs/>
    </w:rPr>
  </w:style>
  <w:style w:type="paragraph" w:styleId="a8">
    <w:name w:val="List Paragraph"/>
    <w:basedOn w:val="a"/>
    <w:uiPriority w:val="34"/>
    <w:qFormat/>
    <w:rsid w:val="000716C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Company>微软中国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2017-03-22T09:50:00Z</dcterms:created>
  <dcterms:modified xsi:type="dcterms:W3CDTF">2017-03-27T08:48:00Z</dcterms:modified>
</cp:coreProperties>
</file>