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幼圆" w:eastAsia="幼圆"/>
          <w:b/>
          <w:color w:val="000000"/>
        </w:rPr>
      </w:pPr>
    </w:p>
    <w:p>
      <w:pPr>
        <w:rPr>
          <w:rFonts w:ascii="微软雅黑" w:hAnsi="微软雅黑" w:eastAsia="微软雅黑"/>
          <w:b/>
          <w:color w:val="000000"/>
          <w:sz w:val="180"/>
        </w:rPr>
      </w:pPr>
      <w:r>
        <w:rPr>
          <w:rFonts w:hint="eastAsia" w:ascii="幼圆" w:eastAsia="幼圆"/>
          <w:b/>
          <w:color w:val="000000"/>
        </w:rPr>
        <w:t xml:space="preserve">           </w:t>
      </w:r>
      <w:r>
        <w:rPr>
          <w:rFonts w:hint="eastAsia" w:ascii="微软雅黑" w:hAnsi="微软雅黑" w:eastAsia="微软雅黑"/>
          <w:b/>
          <w:color w:val="000000"/>
          <w:sz w:val="44"/>
        </w:rPr>
        <w:t xml:space="preserve">  深度营销与客户关系管理</w:t>
      </w:r>
    </w:p>
    <w:p>
      <w:pPr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color w:val="FF0000"/>
        </w:rPr>
        <w:t>主办单位：</w:t>
      </w:r>
      <w:r>
        <w:rPr>
          <w:rFonts w:hint="eastAsia" w:ascii="微软雅黑" w:hAnsi="微软雅黑" w:eastAsia="微软雅黑"/>
          <w:color w:val="000000"/>
        </w:rPr>
        <w:t>万课网(www.wankepx.com)</w:t>
      </w:r>
    </w:p>
    <w:p>
      <w:pPr>
        <w:rPr>
          <w:rFonts w:hint="eastAsia"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 xml:space="preserve">开课时间: </w:t>
      </w:r>
    </w:p>
    <w:p>
      <w:pPr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2017年4月15日 厦门 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000000"/>
        </w:rPr>
        <w:t xml:space="preserve">2017年5月20日 南京 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 xml:space="preserve"> 2017年6月10日 广州</w:t>
      </w:r>
      <w:bookmarkStart w:id="3" w:name="_GoBack"/>
      <w:bookmarkEnd w:id="3"/>
    </w:p>
    <w:p>
      <w:pPr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2017年</w:t>
      </w:r>
      <w:r>
        <w:rPr>
          <w:rFonts w:hint="eastAsia" w:ascii="微软雅黑" w:hAnsi="微软雅黑" w:eastAsia="微软雅黑"/>
          <w:color w:val="000000"/>
          <w:lang w:val="en-US" w:eastAsia="zh-CN"/>
        </w:rPr>
        <w:t>7</w:t>
      </w:r>
      <w:r>
        <w:rPr>
          <w:rFonts w:hint="eastAsia" w:ascii="微软雅黑" w:hAnsi="微软雅黑" w:eastAsia="微软雅黑"/>
          <w:color w:val="000000"/>
        </w:rPr>
        <w:t>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/>
        </w:rPr>
        <w:t xml:space="preserve">日 </w:t>
      </w:r>
      <w:r>
        <w:rPr>
          <w:rFonts w:hint="eastAsia" w:ascii="微软雅黑" w:hAnsi="微软雅黑" w:eastAsia="微软雅黑"/>
          <w:color w:val="000000"/>
          <w:lang w:eastAsia="zh-CN"/>
        </w:rPr>
        <w:t>长沙</w:t>
      </w:r>
      <w:r>
        <w:rPr>
          <w:rFonts w:hint="eastAsia" w:ascii="微软雅黑" w:hAnsi="微软雅黑" w:eastAsia="微软雅黑"/>
          <w:color w:val="000000"/>
        </w:rPr>
        <w:t xml:space="preserve"> 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 xml:space="preserve"> 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2017年</w:t>
      </w:r>
      <w:r>
        <w:rPr>
          <w:rFonts w:hint="eastAsia" w:ascii="微软雅黑" w:hAnsi="微软雅黑" w:eastAsia="微软雅黑"/>
          <w:color w:val="000000"/>
          <w:lang w:val="en-US" w:eastAsia="zh-CN"/>
        </w:rPr>
        <w:t>8</w:t>
      </w:r>
      <w:r>
        <w:rPr>
          <w:rFonts w:hint="eastAsia" w:ascii="微软雅黑" w:hAnsi="微软雅黑" w:eastAsia="微软雅黑"/>
          <w:color w:val="000000"/>
        </w:rPr>
        <w:t>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12</w:t>
      </w:r>
      <w:r>
        <w:rPr>
          <w:rFonts w:hint="eastAsia" w:ascii="微软雅黑" w:hAnsi="微软雅黑" w:eastAsia="微软雅黑"/>
          <w:color w:val="000000"/>
        </w:rPr>
        <w:t xml:space="preserve">日 </w:t>
      </w:r>
      <w:r>
        <w:rPr>
          <w:rFonts w:hint="eastAsia" w:ascii="微软雅黑" w:hAnsi="微软雅黑" w:eastAsia="微软雅黑"/>
          <w:color w:val="000000"/>
          <w:lang w:eastAsia="zh-CN"/>
        </w:rPr>
        <w:t>义乌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color w:val="000000"/>
        </w:rPr>
        <w:t>2017年</w:t>
      </w:r>
      <w:r>
        <w:rPr>
          <w:rFonts w:hint="eastAsia" w:ascii="微软雅黑" w:hAnsi="微软雅黑" w:eastAsia="微软雅黑"/>
          <w:color w:val="000000"/>
          <w:lang w:val="en-US" w:eastAsia="zh-CN"/>
        </w:rPr>
        <w:t>11</w:t>
      </w:r>
      <w:r>
        <w:rPr>
          <w:rFonts w:hint="eastAsia" w:ascii="微软雅黑" w:hAnsi="微软雅黑" w:eastAsia="微软雅黑"/>
          <w:color w:val="000000"/>
        </w:rPr>
        <w:t>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25</w:t>
      </w:r>
      <w:r>
        <w:rPr>
          <w:rFonts w:hint="eastAsia" w:ascii="微软雅黑" w:hAnsi="微软雅黑" w:eastAsia="微软雅黑"/>
          <w:color w:val="000000"/>
        </w:rPr>
        <w:t xml:space="preserve">日 </w:t>
      </w:r>
      <w:r>
        <w:rPr>
          <w:rFonts w:hint="eastAsia" w:ascii="微软雅黑" w:hAnsi="微软雅黑" w:eastAsia="微软雅黑"/>
          <w:color w:val="000000"/>
          <w:lang w:eastAsia="zh-CN"/>
        </w:rPr>
        <w:t>兰州</w:t>
      </w:r>
      <w:r>
        <w:rPr>
          <w:rFonts w:hint="eastAsia" w:ascii="微软雅黑" w:hAnsi="微软雅黑" w:eastAsia="微软雅黑"/>
          <w:color w:val="000000"/>
        </w:rPr>
        <w:t xml:space="preserve"> </w:t>
      </w:r>
    </w:p>
    <w:p>
      <w:pPr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color w:val="FF0000"/>
        </w:rPr>
        <w:t>学习投资:</w:t>
      </w:r>
      <w:r>
        <w:rPr>
          <w:rFonts w:hint="eastAsia" w:ascii="微软雅黑" w:hAnsi="微软雅黑" w:eastAsia="微软雅黑"/>
          <w:color w:val="000000"/>
        </w:rPr>
        <w:t xml:space="preserve">2800元/人(包括培训、培训教材、场地费等) </w:t>
      </w:r>
    </w:p>
    <w:p>
      <w:pPr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color w:val="FF0000"/>
        </w:rPr>
        <w:t>咨询电话：</w:t>
      </w:r>
      <w:r>
        <w:rPr>
          <w:rFonts w:hint="eastAsia" w:ascii="微软雅黑" w:hAnsi="微软雅黑" w:eastAsia="微软雅黑"/>
          <w:color w:val="000000"/>
        </w:rPr>
        <w:t>021-</w:t>
      </w:r>
      <w:r>
        <w:rPr>
          <w:rFonts w:hint="eastAsia" w:ascii="微软雅黑" w:hAnsi="微软雅黑" w:eastAsia="微软雅黑"/>
          <w:color w:val="000000"/>
          <w:lang w:val="en-US" w:eastAsia="zh-CN"/>
        </w:rPr>
        <w:t>61722848</w:t>
      </w:r>
      <w:r>
        <w:rPr>
          <w:rFonts w:hint="eastAsia" w:ascii="微软雅黑" w:hAnsi="微软雅黑" w:eastAsia="微软雅黑"/>
          <w:color w:val="000000"/>
        </w:rPr>
        <w:t xml:space="preserve"> </w:t>
      </w:r>
      <w:r>
        <w:rPr>
          <w:rFonts w:hint="eastAsia" w:ascii="微软雅黑" w:hAnsi="微软雅黑" w:eastAsia="微软雅黑"/>
          <w:color w:val="000000"/>
          <w:lang w:val="en-US" w:eastAsia="zh-CN"/>
        </w:rPr>
        <w:t>15821037689</w:t>
      </w:r>
      <w:r>
        <w:rPr>
          <w:rFonts w:hint="eastAsia" w:ascii="微软雅黑" w:hAnsi="微软雅黑" w:eastAsia="微软雅黑"/>
          <w:color w:val="000000"/>
        </w:rPr>
        <w:t xml:space="preserve"> QQ: </w:t>
      </w:r>
      <w:r>
        <w:rPr>
          <w:rFonts w:hint="eastAsia" w:ascii="微软雅黑" w:hAnsi="微软雅黑" w:eastAsia="微软雅黑"/>
          <w:color w:val="000000"/>
          <w:lang w:val="en-US" w:eastAsia="zh-CN"/>
        </w:rPr>
        <w:t>2816722439</w:t>
      </w:r>
      <w:r>
        <w:rPr>
          <w:rFonts w:hint="eastAsia" w:ascii="微软雅黑" w:hAnsi="微软雅黑" w:eastAsia="微软雅黑"/>
          <w:color w:val="000000"/>
        </w:rPr>
        <w:t xml:space="preserve">  联系人：</w:t>
      </w:r>
      <w:r>
        <w:rPr>
          <w:rFonts w:hint="eastAsia" w:ascii="微软雅黑" w:hAnsi="微软雅黑" w:eastAsia="微软雅黑"/>
          <w:color w:val="000000"/>
          <w:lang w:eastAsia="zh-CN"/>
        </w:rPr>
        <w:t>小柔</w:t>
      </w:r>
    </w:p>
    <w:p>
      <w:pPr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b/>
          <w:color w:val="FF0000"/>
        </w:rPr>
        <w:t>学员对象：</w:t>
      </w:r>
      <w:r>
        <w:rPr>
          <w:rFonts w:hint="eastAsia" w:ascii="微软雅黑" w:hAnsi="微软雅黑" w:eastAsia="微软雅黑"/>
          <w:color w:val="000000"/>
        </w:rPr>
        <w:t>企业董事长、总裁、总经理、公司副总</w:t>
      </w:r>
    </w:p>
    <w:p>
      <w:pPr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 xml:space="preserve">课程大纲： </w:t>
      </w:r>
    </w:p>
    <w:p>
      <w:pPr>
        <w:rPr>
          <w:rFonts w:hint="eastAsia"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/>
          <w:b/>
        </w:rPr>
        <w:t xml:space="preserve"> </w:t>
      </w:r>
      <w:bookmarkStart w:id="0" w:name="sub16016390_2_1"/>
      <w:bookmarkEnd w:id="0"/>
      <w:bookmarkStart w:id="1" w:name="2_1"/>
      <w:bookmarkEnd w:id="1"/>
      <w:bookmarkStart w:id="2" w:name="课程架构_第一部分：回归自我"/>
      <w:bookmarkEnd w:id="2"/>
      <w:r>
        <w:rPr>
          <w:rFonts w:ascii="微软雅黑" w:hAnsi="微软雅黑" w:eastAsia="微软雅黑" w:cs="Arial"/>
          <w:szCs w:val="21"/>
        </w:rPr>
        <w:t>一、深度营销定位与客户关系管理路径；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深度诊断客户经营中的难点、关注与需求，提供解决方案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二、制定客户策略 - 4C's营销模型应用；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Customer：如何关注客户在经营中的问题，提供解决方案？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三、建立客户需求（一）- 从显性到隐性；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显性需求：产品、交期、价格、销量、折扣、利润等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四、建立客户需求（二）- 深度分析模型；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客户的客户：需要市场机会，提高销售额，增加利润率等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五、保持客户联络（一）- 建立回访机制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客户始终存在变数（人事变动、质量投诉、客情淡化等）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六、保持客户联络（二）- 发挥联络职能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监测交易进度，提供技术支持、培训等多项服务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七、提升客户价值 - 致力于客户成功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关注对客户的价值贡献和成本削减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八、培育客户忠诚 - 忠诚分析与路径</w:t>
      </w:r>
      <w:r>
        <w:rPr>
          <w:rFonts w:ascii="微软雅黑" w:hAnsi="微软雅黑" w:eastAsia="微软雅黑" w:cs="Arial"/>
          <w:szCs w:val="21"/>
        </w:rPr>
        <w:br w:type="textWrapping"/>
      </w:r>
      <w:r>
        <w:rPr>
          <w:rFonts w:ascii="微软雅黑" w:hAnsi="微软雅黑" w:eastAsia="微软雅黑" w:cs="Arial"/>
          <w:szCs w:val="21"/>
        </w:rPr>
        <w:t>客户忠诚基本指标与附加指标解析</w:t>
      </w:r>
    </w:p>
    <w:p>
      <w:pPr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/>
          <w:b/>
          <w:color w:val="FF0000"/>
        </w:rPr>
        <w:t>讲师简介：王鉴</w:t>
      </w:r>
    </w:p>
    <w:p>
      <w:pPr>
        <w:pStyle w:val="7"/>
        <w:spacing w:before="0" w:beforeAutospacing="0" w:after="0" w:afterAutospacing="0" w:line="450" w:lineRule="atLeast"/>
        <w:rPr>
          <w:rFonts w:ascii="微软雅黑" w:hAnsi="微软雅黑" w:eastAsia="微软雅黑" w:cs="Arial"/>
          <w:sz w:val="21"/>
          <w:szCs w:val="21"/>
        </w:rPr>
      </w:pPr>
      <w:r>
        <w:rPr>
          <w:rFonts w:ascii="微软雅黑" w:hAnsi="微软雅黑" w:eastAsia="微软雅黑" w:cs="Arial"/>
          <w:sz w:val="21"/>
          <w:szCs w:val="21"/>
        </w:rPr>
        <w:t>原世界500强美国辉瑞公司CAPSUGEL事业部中国区市场经理；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营销实战导师，澳大利亚MONASH大学工商管理硕士/MBA；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IPTA国际职业训练协会认证培训师；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中国管理培训年会组织“年度十大培训讲师”；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中国《培训》杂志核心推荐讲师；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南京大学商学院MBA核心课程班/EMBA精选课程班专家讲师；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浙江大学管理学院EDP中心专家讲师；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上海交通大学继续教育学院专家讲师；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华中科技大学MBA研修课程专家讲师；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“企业销售全员学习系统”创建者，立足提供专业、系统的培训解决方案，针对不同层级的销售人员和管理者，为企业提供一条专业营销的学习路径图。多年来，始终致力于研究和推行极具实战意义的专业销售方法和工具，帮助企业建立行之有效的销售管理体系，实现销售团队的行为优化与业绩提升。</w:t>
      </w:r>
      <w:r>
        <w:rPr>
          <w:rFonts w:ascii="微软雅黑" w:hAnsi="微软雅黑" w:eastAsia="微软雅黑" w:cs="Arial"/>
          <w:sz w:val="21"/>
          <w:szCs w:val="21"/>
        </w:rPr>
        <w:br w:type="textWrapping"/>
      </w:r>
      <w:r>
        <w:rPr>
          <w:rFonts w:ascii="微软雅黑" w:hAnsi="微软雅黑" w:eastAsia="微软雅黑" w:cs="Arial"/>
          <w:sz w:val="21"/>
          <w:szCs w:val="21"/>
        </w:rPr>
        <w:t>先后入围中国管理培训年会组织“十大讲师”，中国管理培训机构联盟“中国百佳管理培训师”，“搜狐职场”十大人气培训师。专业化销售系列课程入选中国《培训》杂志“精品课程”。历任多家世界500强公司、知名企业特聘培训顾问，南京大学、浙江大学、上海交通大学、华中科技大学等高校企业管理课程特邀培训专家，《商界评论》等主流营销学术期刊撰稿人，中国HR精英沙龙特邀专家，中国企业培训与发展年会论坛嘉宾等。</w:t>
      </w:r>
    </w:p>
    <w:p>
      <w:pPr>
        <w:rPr>
          <w:rFonts w:ascii="宋体" w:hAnsi="宋体" w:cs="宋体"/>
          <w:color w:val="00B050"/>
          <w:kern w:val="0"/>
          <w:sz w:val="24"/>
          <w:szCs w:val="24"/>
        </w:rPr>
      </w:pPr>
    </w:p>
    <w:p>
      <w:pPr>
        <w:rPr>
          <w:rFonts w:ascii="幼圆" w:eastAsia="幼圆"/>
          <w:b/>
          <w:color w:val="000000"/>
        </w:rPr>
      </w:pPr>
      <w:r>
        <w:rPr>
          <w:rFonts w:ascii="幼圆" w:eastAsia="幼圆"/>
          <w:b/>
          <w:color w:val="000000"/>
        </w:rPr>
        <w:pict>
          <v:line id="Line 2" o:spid="_x0000_s1027" o:spt="20" style="position:absolute;left:0pt;margin-left:0pt;margin-top:1.25pt;height:0.05pt;width:486pt;z-index:251658240;mso-width-relative:page;mso-height-relative:page;" o:preferrelative="t" coordsize="21600,21600">
            <v:path arrowok="t"/>
            <v:fill focussize="0,0"/>
            <v:stroke miterlimit="2" dashstyle="dashDot"/>
            <v:imagedata o:title=""/>
            <o:lock v:ext="edit"/>
          </v:line>
        </w:pict>
      </w:r>
      <w:r>
        <w:rPr>
          <w:rFonts w:hint="eastAsia" w:ascii="幼圆" w:eastAsia="幼圆"/>
          <w:b/>
          <w:color w:val="000000"/>
        </w:rPr>
        <w:t>请将报名表，以传真、电子邮件方式提交，并及时确认。     传真:021-61294699 如需发E-mail可发至wankepx@126.com(請务必填写貴公司全称和参会學员真实姓名,谢谢！)</w:t>
      </w:r>
    </w:p>
    <w:tbl>
      <w:tblPr>
        <w:tblStyle w:val="9"/>
        <w:tblW w:w="103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732"/>
        <w:gridCol w:w="853"/>
        <w:gridCol w:w="526"/>
        <w:gridCol w:w="421"/>
        <w:gridCol w:w="360"/>
        <w:gridCol w:w="900"/>
        <w:gridCol w:w="540"/>
        <w:gridCol w:w="900"/>
        <w:gridCol w:w="180"/>
        <w:gridCol w:w="1620"/>
        <w:gridCol w:w="720"/>
        <w:gridCol w:w="1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541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企业名称</w:t>
            </w:r>
          </w:p>
        </w:tc>
        <w:tc>
          <w:tcPr>
            <w:tcW w:w="5412" w:type="dxa"/>
            <w:gridSpan w:val="9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网址及品牌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45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联系人</w:t>
            </w:r>
          </w:p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信息</w:t>
            </w:r>
          </w:p>
        </w:tc>
        <w:tc>
          <w:tcPr>
            <w:tcW w:w="732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姓名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781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职位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传真</w:t>
            </w:r>
          </w:p>
        </w:tc>
        <w:tc>
          <w:tcPr>
            <w:tcW w:w="1888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732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手机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5308" w:type="dxa"/>
            <w:gridSpan w:val="5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E-MAIL：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学员名单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姓 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电 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手 机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邮 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443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  <w:tc>
          <w:tcPr>
            <w:tcW w:w="2608" w:type="dxa"/>
            <w:gridSpan w:val="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对公帐号</w:t>
            </w:r>
          </w:p>
        </w:tc>
        <w:tc>
          <w:tcPr>
            <w:tcW w:w="9640" w:type="dxa"/>
            <w:gridSpan w:val="1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 xml:space="preserve">开户行：工商银行杭州学院路支行 </w:t>
            </w:r>
          </w:p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户</w:t>
            </w:r>
            <w:r>
              <w:rPr>
                <w:rFonts w:hint="eastAsia" w:ascii="幼圆"/>
                <w:b/>
                <w:color w:val="000000"/>
              </w:rPr>
              <w:t>　</w:t>
            </w:r>
            <w:r>
              <w:rPr>
                <w:rFonts w:hint="eastAsia" w:ascii="幼圆" w:eastAsia="幼圆"/>
                <w:b/>
                <w:color w:val="000000"/>
              </w:rPr>
              <w:t xml:space="preserve">名： 杭州杭诺企业管理有限公司 </w:t>
            </w:r>
          </w:p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帐</w:t>
            </w:r>
            <w:r>
              <w:rPr>
                <w:rFonts w:hint="eastAsia" w:ascii="幼圆"/>
                <w:b/>
                <w:color w:val="000000"/>
              </w:rPr>
              <w:t>　</w:t>
            </w:r>
            <w:r>
              <w:rPr>
                <w:rFonts w:hint="eastAsia" w:ascii="幼圆" w:eastAsia="幼圆"/>
                <w:b/>
                <w:color w:val="000000"/>
              </w:rPr>
              <w:t>号：1202223209900034930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发票开具</w:t>
            </w:r>
          </w:p>
        </w:tc>
        <w:tc>
          <w:tcPr>
            <w:tcW w:w="9640" w:type="dxa"/>
            <w:gridSpan w:val="1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 xml:space="preserve">    抬  头：（                               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住宿代办</w:t>
            </w:r>
          </w:p>
        </w:tc>
        <w:tc>
          <w:tcPr>
            <w:tcW w:w="9640" w:type="dxa"/>
            <w:gridSpan w:val="1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□是  □否  数量及要求：（                                    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58" w:type="dxa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票务代办</w:t>
            </w:r>
          </w:p>
        </w:tc>
        <w:tc>
          <w:tcPr>
            <w:tcW w:w="9640" w:type="dxa"/>
            <w:gridSpan w:val="12"/>
            <w:vAlign w:val="center"/>
          </w:tcPr>
          <w:p>
            <w:pPr>
              <w:rPr>
                <w:rFonts w:ascii="幼圆" w:eastAsia="幼圆"/>
                <w:b/>
                <w:color w:val="000000"/>
              </w:rPr>
            </w:pPr>
            <w:r>
              <w:rPr>
                <w:rFonts w:hint="eastAsia" w:ascii="幼圆" w:eastAsia="幼圆"/>
                <w:b/>
                <w:color w:val="000000"/>
              </w:rPr>
              <w:t>□是  □否  数量及要求：（                                                          ）</w:t>
            </w:r>
          </w:p>
        </w:tc>
      </w:tr>
    </w:tbl>
    <w:p>
      <w:pPr>
        <w:rPr>
          <w:rFonts w:ascii="幼圆" w:eastAsia="幼圆"/>
          <w:b/>
          <w:color w:val="000000"/>
        </w:rPr>
      </w:pPr>
    </w:p>
    <w:p>
      <w:pPr>
        <w:rPr>
          <w:rFonts w:ascii="幼圆" w:eastAsia="幼圆"/>
          <w:b/>
          <w:color w:val="000000"/>
        </w:rPr>
      </w:pPr>
    </w:p>
    <w:p>
      <w:pPr>
        <w:rPr>
          <w:rFonts w:ascii="幼圆" w:eastAsia="幼圆"/>
          <w:b/>
          <w:color w:val="000000"/>
        </w:rPr>
      </w:pPr>
    </w:p>
    <w:p>
      <w:pPr>
        <w:rPr>
          <w:rFonts w:ascii="幼圆" w:eastAsia="幼圆"/>
          <w:b/>
          <w:color w:val="00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31"/>
      </w:pBd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-626110</wp:posOffset>
          </wp:positionV>
          <wp:extent cx="2895600" cy="1181100"/>
          <wp:effectExtent l="19050" t="0" r="0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9D1"/>
    <w:rsid w:val="00075573"/>
    <w:rsid w:val="00077051"/>
    <w:rsid w:val="000D1860"/>
    <w:rsid w:val="000F0923"/>
    <w:rsid w:val="00160D2C"/>
    <w:rsid w:val="001813E3"/>
    <w:rsid w:val="001B06E7"/>
    <w:rsid w:val="0022206B"/>
    <w:rsid w:val="00237D02"/>
    <w:rsid w:val="00257D4C"/>
    <w:rsid w:val="003A38DA"/>
    <w:rsid w:val="003D18B6"/>
    <w:rsid w:val="004349DF"/>
    <w:rsid w:val="00457936"/>
    <w:rsid w:val="0049052C"/>
    <w:rsid w:val="0049587D"/>
    <w:rsid w:val="004B367D"/>
    <w:rsid w:val="005008E7"/>
    <w:rsid w:val="00514A46"/>
    <w:rsid w:val="005F7DE8"/>
    <w:rsid w:val="00683748"/>
    <w:rsid w:val="006A1662"/>
    <w:rsid w:val="006D59D1"/>
    <w:rsid w:val="007D4AD9"/>
    <w:rsid w:val="00864A59"/>
    <w:rsid w:val="009A7147"/>
    <w:rsid w:val="009D3924"/>
    <w:rsid w:val="009F627B"/>
    <w:rsid w:val="00A56FBF"/>
    <w:rsid w:val="00A65DCD"/>
    <w:rsid w:val="00A76E00"/>
    <w:rsid w:val="00AB2D88"/>
    <w:rsid w:val="00B02C81"/>
    <w:rsid w:val="00B1010A"/>
    <w:rsid w:val="00B14940"/>
    <w:rsid w:val="00B509F7"/>
    <w:rsid w:val="00C635BD"/>
    <w:rsid w:val="00C71AD3"/>
    <w:rsid w:val="00CA22F1"/>
    <w:rsid w:val="00CA3D01"/>
    <w:rsid w:val="00D21347"/>
    <w:rsid w:val="00D521B0"/>
    <w:rsid w:val="00D73E28"/>
    <w:rsid w:val="00DA03B8"/>
    <w:rsid w:val="00DA6CA6"/>
    <w:rsid w:val="00E06685"/>
    <w:rsid w:val="00EF0C53"/>
    <w:rsid w:val="00F00009"/>
    <w:rsid w:val="00F022F6"/>
    <w:rsid w:val="00F07CBD"/>
    <w:rsid w:val="00F1062F"/>
    <w:rsid w:val="00F94BCF"/>
    <w:rsid w:val="0C2E7225"/>
    <w:rsid w:val="49165573"/>
    <w:rsid w:val="69637EF2"/>
    <w:rsid w:val="6A406BC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8"/>
    <w:link w:val="3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5">
    <w:name w:val="headline-content4"/>
    <w:basedOn w:val="8"/>
    <w:uiPriority w:val="0"/>
  </w:style>
  <w:style w:type="paragraph" w:customStyle="1" w:styleId="16">
    <w:name w:val="List Paragraph"/>
    <w:basedOn w:val="1"/>
    <w:unhideWhenUsed/>
    <w:uiPriority w:val="99"/>
    <w:pPr>
      <w:ind w:firstLine="420" w:firstLineChars="200"/>
    </w:pPr>
  </w:style>
  <w:style w:type="character" w:customStyle="1" w:styleId="17">
    <w:name w:val="标题 1 Char"/>
    <w:basedOn w:val="8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242</Words>
  <Characters>1386</Characters>
  <Lines>11</Lines>
  <Paragraphs>3</Paragraphs>
  <ScaleCrop>false</ScaleCrop>
  <LinksUpToDate>false</LinksUpToDate>
  <CharactersWithSpaces>1625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2017-03-23T07:23:00Z</dcterms:created>
  <dc:creator>AutoBVT</dc:creator>
  <cp:lastModifiedBy>Administrator</cp:lastModifiedBy>
  <dcterms:modified xsi:type="dcterms:W3CDTF">2017-03-29T09:21:04Z</dcterms:modified>
  <dc:title>军令如山-高效执行力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