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36"/>
          <w:szCs w:val="56"/>
        </w:rPr>
      </w:pPr>
      <w:r>
        <w:rPr>
          <w:rFonts w:hint="eastAsia" w:ascii="微软雅黑" w:hAnsi="微软雅黑" w:eastAsia="微软雅黑" w:cs="微软雅黑"/>
          <w:b/>
          <w:bCs/>
          <w:spacing w:val="20"/>
          <w:sz w:val="36"/>
          <w:szCs w:val="56"/>
        </w:rPr>
        <w:t>《基于教练技术的解决方案价值销售——销售技巧与流程》</w:t>
      </w:r>
    </w:p>
    <w:p>
      <w:pPr>
        <w:spacing w:line="400" w:lineRule="exact"/>
        <w:jc w:val="center"/>
        <w:rPr>
          <w:rFonts w:ascii="微软雅黑" w:hAnsi="微软雅黑" w:eastAsia="微软雅黑"/>
          <w:b/>
          <w:bCs/>
          <w:iCs/>
          <w:spacing w:val="4"/>
          <w:szCs w:val="18"/>
        </w:rPr>
      </w:pPr>
      <w:r>
        <w:rPr>
          <w:rFonts w:hint="eastAsia" w:ascii="微软雅黑" w:hAnsi="微软雅黑" w:eastAsia="微软雅黑"/>
          <w:b/>
          <w:sz w:val="28"/>
          <w:szCs w:val="21"/>
        </w:rPr>
        <w:t>主讲：曾任全球IT服务排名第二神州数码教育学院企业内训部主任   邓志君</w:t>
      </w:r>
    </w:p>
    <w:tbl>
      <w:tblPr>
        <w:tblStyle w:val="18"/>
        <w:tblW w:w="10523" w:type="dxa"/>
        <w:tblInd w:w="0" w:type="dxa"/>
        <w:tblLayout w:type="fixed"/>
        <w:tblCellMar>
          <w:top w:w="0" w:type="dxa"/>
          <w:left w:w="108" w:type="dxa"/>
          <w:bottom w:w="0" w:type="dxa"/>
          <w:right w:w="108" w:type="dxa"/>
        </w:tblCellMar>
      </w:tblPr>
      <w:tblGrid>
        <w:gridCol w:w="3418"/>
        <w:gridCol w:w="3576"/>
        <w:gridCol w:w="3529"/>
      </w:tblGrid>
      <w:tr>
        <w:tblPrEx>
          <w:tblLayout w:type="fixed"/>
          <w:tblCellMar>
            <w:top w:w="0" w:type="dxa"/>
            <w:left w:w="108" w:type="dxa"/>
            <w:bottom w:w="0" w:type="dxa"/>
            <w:right w:w="108" w:type="dxa"/>
          </w:tblCellMar>
        </w:tblPrEx>
        <w:trPr>
          <w:trHeight w:val="90" w:hRule="atLeast"/>
        </w:trPr>
        <w:tc>
          <w:tcPr>
            <w:tcW w:w="6994" w:type="dxa"/>
            <w:gridSpan w:val="2"/>
            <w:shd w:val="clear" w:color="auto" w:fill="auto"/>
          </w:tcPr>
          <w:p>
            <w:pPr>
              <w:jc w:val="left"/>
              <w:rPr>
                <w:rFonts w:ascii="微软雅黑" w:hAnsi="微软雅黑" w:eastAsia="微软雅黑"/>
                <w:b/>
                <w:sz w:val="32"/>
                <w:szCs w:val="32"/>
              </w:rPr>
            </w:pPr>
            <w:r>
              <w:rPr>
                <w:rFonts w:hint="eastAsia" w:ascii="微软雅黑" w:hAnsi="微软雅黑" w:eastAsia="微软雅黑"/>
                <w:b/>
                <w:sz w:val="32"/>
                <w:szCs w:val="32"/>
              </w:rPr>
              <w:t>课程收益</w:t>
            </w:r>
          </w:p>
          <w:p>
            <w:pPr>
              <w:pStyle w:val="38"/>
              <w:numPr>
                <w:ilvl w:val="0"/>
                <w:numId w:val="2"/>
              </w:numPr>
              <w:ind w:firstLineChars="0"/>
              <w:rPr>
                <w:rFonts w:ascii="宋体" w:hAnsi="宋体"/>
                <w:szCs w:val="21"/>
              </w:rPr>
            </w:pPr>
            <w:r>
              <w:rPr>
                <w:rFonts w:hint="eastAsia" w:ascii="宋体" w:hAnsi="宋体"/>
                <w:szCs w:val="21"/>
              </w:rPr>
              <w:t xml:space="preserve">快速掌握购买过程中客户的心理状态和不同阶段的特征 </w:t>
            </w:r>
          </w:p>
          <w:p>
            <w:pPr>
              <w:pStyle w:val="38"/>
              <w:numPr>
                <w:ilvl w:val="0"/>
                <w:numId w:val="2"/>
              </w:numPr>
              <w:ind w:firstLineChars="0"/>
              <w:rPr>
                <w:rFonts w:ascii="宋体" w:hAnsi="宋体"/>
                <w:szCs w:val="21"/>
              </w:rPr>
            </w:pPr>
            <w:r>
              <w:rPr>
                <w:rFonts w:hint="eastAsia" w:ascii="宋体" w:hAnsi="宋体"/>
                <w:szCs w:val="21"/>
              </w:rPr>
              <w:t xml:space="preserve">识别潜在机会和活跃机会的不同，以及销售人员应该采取的最佳销售方法 </w:t>
            </w:r>
          </w:p>
          <w:p>
            <w:pPr>
              <w:pStyle w:val="38"/>
              <w:numPr>
                <w:ilvl w:val="0"/>
                <w:numId w:val="2"/>
              </w:numPr>
              <w:ind w:firstLineChars="0"/>
              <w:rPr>
                <w:rFonts w:ascii="宋体" w:hAnsi="宋体"/>
                <w:szCs w:val="21"/>
              </w:rPr>
            </w:pPr>
            <w:r>
              <w:rPr>
                <w:rFonts w:hint="eastAsia" w:ascii="宋体" w:hAnsi="宋体"/>
                <w:szCs w:val="21"/>
              </w:rPr>
              <w:t xml:space="preserve">进行拜访前计划和研究 </w:t>
            </w:r>
          </w:p>
          <w:p>
            <w:pPr>
              <w:pStyle w:val="38"/>
              <w:numPr>
                <w:ilvl w:val="0"/>
                <w:numId w:val="2"/>
              </w:numPr>
              <w:ind w:firstLineChars="0"/>
              <w:rPr>
                <w:rFonts w:ascii="宋体" w:hAnsi="宋体"/>
                <w:szCs w:val="21"/>
              </w:rPr>
            </w:pPr>
            <w:r>
              <w:rPr>
                <w:rFonts w:hint="eastAsia" w:ascii="宋体" w:hAnsi="宋体"/>
                <w:szCs w:val="21"/>
              </w:rPr>
              <w:t xml:space="preserve">激发潜在客户的兴趣 </w:t>
            </w:r>
          </w:p>
          <w:p>
            <w:pPr>
              <w:pStyle w:val="38"/>
              <w:numPr>
                <w:ilvl w:val="0"/>
                <w:numId w:val="2"/>
              </w:numPr>
              <w:ind w:firstLineChars="0"/>
              <w:rPr>
                <w:rFonts w:ascii="宋体" w:hAnsi="宋体"/>
                <w:szCs w:val="21"/>
              </w:rPr>
            </w:pPr>
            <w:r>
              <w:rPr>
                <w:rFonts w:hint="eastAsia" w:ascii="宋体" w:hAnsi="宋体"/>
                <w:szCs w:val="21"/>
              </w:rPr>
              <w:t xml:space="preserve">利用成功案例寻找新的销售机会 </w:t>
            </w:r>
          </w:p>
          <w:p>
            <w:pPr>
              <w:pStyle w:val="38"/>
              <w:numPr>
                <w:ilvl w:val="0"/>
                <w:numId w:val="2"/>
              </w:numPr>
              <w:ind w:firstLineChars="0"/>
              <w:rPr>
                <w:rFonts w:ascii="宋体" w:hAnsi="宋体"/>
                <w:szCs w:val="21"/>
              </w:rPr>
            </w:pPr>
            <w:r>
              <w:rPr>
                <w:rFonts w:hint="eastAsia" w:ascii="宋体" w:hAnsi="宋体"/>
                <w:szCs w:val="21"/>
              </w:rPr>
              <w:t xml:space="preserve">向客户展示你的可信度 </w:t>
            </w:r>
          </w:p>
          <w:p>
            <w:pPr>
              <w:pStyle w:val="38"/>
              <w:numPr>
                <w:ilvl w:val="0"/>
                <w:numId w:val="2"/>
              </w:numPr>
              <w:ind w:firstLineChars="0"/>
              <w:rPr>
                <w:rFonts w:ascii="宋体" w:hAnsi="宋体"/>
                <w:szCs w:val="21"/>
              </w:rPr>
            </w:pPr>
            <w:r>
              <w:rPr>
                <w:rFonts w:hint="eastAsia" w:ascii="宋体" w:hAnsi="宋体"/>
                <w:szCs w:val="21"/>
              </w:rPr>
              <w:t xml:space="preserve">根据你的解决方案的优势，建立或重塑客户的购买构想 </w:t>
            </w:r>
          </w:p>
          <w:p>
            <w:pPr>
              <w:pStyle w:val="38"/>
              <w:numPr>
                <w:ilvl w:val="0"/>
                <w:numId w:val="2"/>
              </w:numPr>
              <w:ind w:firstLineChars="0"/>
              <w:rPr>
                <w:rFonts w:ascii="宋体" w:hAnsi="宋体"/>
                <w:szCs w:val="21"/>
              </w:rPr>
            </w:pPr>
            <w:r>
              <w:rPr>
                <w:rFonts w:hint="eastAsia" w:ascii="宋体" w:hAnsi="宋体"/>
                <w:szCs w:val="21"/>
              </w:rPr>
              <w:t xml:space="preserve">与客户的高层配合 </w:t>
            </w:r>
          </w:p>
          <w:p>
            <w:pPr>
              <w:pStyle w:val="38"/>
              <w:numPr>
                <w:ilvl w:val="0"/>
                <w:numId w:val="2"/>
              </w:numPr>
              <w:ind w:firstLineChars="0"/>
              <w:rPr>
                <w:rFonts w:ascii="宋体" w:hAnsi="宋体"/>
                <w:szCs w:val="21"/>
              </w:rPr>
            </w:pPr>
            <w:r>
              <w:rPr>
                <w:rFonts w:hint="eastAsia" w:ascii="宋体" w:hAnsi="宋体"/>
                <w:szCs w:val="21"/>
              </w:rPr>
              <w:t xml:space="preserve">更好地控制销售进程 </w:t>
            </w:r>
          </w:p>
          <w:p>
            <w:pPr>
              <w:pStyle w:val="38"/>
              <w:numPr>
                <w:ilvl w:val="0"/>
                <w:numId w:val="2"/>
              </w:numPr>
              <w:ind w:firstLineChars="0"/>
              <w:rPr>
                <w:rFonts w:ascii="宋体" w:hAnsi="宋体"/>
                <w:szCs w:val="21"/>
              </w:rPr>
            </w:pPr>
            <w:r>
              <w:rPr>
                <w:rFonts w:hint="eastAsia" w:ascii="宋体" w:hAnsi="宋体"/>
                <w:szCs w:val="21"/>
              </w:rPr>
              <w:t xml:space="preserve">大大提高赢取高度竞争的销售机会的能力 </w:t>
            </w:r>
          </w:p>
          <w:p>
            <w:pPr>
              <w:pStyle w:val="38"/>
              <w:numPr>
                <w:ilvl w:val="0"/>
                <w:numId w:val="2"/>
              </w:numPr>
              <w:ind w:firstLineChars="0"/>
              <w:rPr>
                <w:rFonts w:ascii="宋体" w:hAnsi="宋体"/>
                <w:szCs w:val="21"/>
              </w:rPr>
            </w:pPr>
            <w:r>
              <w:rPr>
                <w:rFonts w:hint="eastAsia" w:ascii="宋体" w:hAnsi="宋体"/>
                <w:szCs w:val="21"/>
              </w:rPr>
              <w:t xml:space="preserve">缩短销售周期 </w:t>
            </w:r>
          </w:p>
          <w:p>
            <w:pPr>
              <w:pStyle w:val="38"/>
              <w:numPr>
                <w:ilvl w:val="0"/>
                <w:numId w:val="2"/>
              </w:numPr>
              <w:ind w:firstLineChars="0"/>
              <w:rPr>
                <w:rFonts w:ascii="宋体" w:hAnsi="宋体"/>
                <w:szCs w:val="21"/>
              </w:rPr>
            </w:pPr>
            <w:r>
              <w:rPr>
                <w:rFonts w:hint="eastAsia" w:ascii="宋体" w:hAnsi="宋体"/>
                <w:szCs w:val="21"/>
              </w:rPr>
              <w:t xml:space="preserve">在销售周期中有效的进行谈判 </w:t>
            </w:r>
          </w:p>
          <w:p>
            <w:pPr>
              <w:pStyle w:val="38"/>
              <w:numPr>
                <w:ilvl w:val="0"/>
                <w:numId w:val="2"/>
              </w:numPr>
              <w:ind w:firstLineChars="0"/>
              <w:rPr>
                <w:rFonts w:ascii="宋体" w:hAnsi="宋体"/>
                <w:szCs w:val="21"/>
              </w:rPr>
            </w:pPr>
            <w:r>
              <w:rPr>
                <w:rFonts w:hint="eastAsia" w:ascii="宋体" w:hAnsi="宋体"/>
                <w:szCs w:val="21"/>
              </w:rPr>
              <w:t xml:space="preserve">管理你自己的区域 </w:t>
            </w:r>
          </w:p>
          <w:p>
            <w:pPr>
              <w:pStyle w:val="38"/>
              <w:numPr>
                <w:ilvl w:val="0"/>
                <w:numId w:val="2"/>
              </w:numPr>
              <w:ind w:firstLineChars="0"/>
              <w:rPr>
                <w:rFonts w:ascii="宋体" w:hAnsi="宋体"/>
                <w:szCs w:val="21"/>
              </w:rPr>
            </w:pPr>
            <w:r>
              <w:rPr>
                <w:rFonts w:hint="eastAsia" w:ascii="宋体" w:hAnsi="宋体"/>
                <w:szCs w:val="21"/>
              </w:rPr>
              <w:t>更加精确地计算销售漏斗</w:t>
            </w:r>
            <w:r>
              <w:rPr>
                <w:rFonts w:hint="eastAsia" w:ascii="宋体" w:hAnsi="宋体"/>
                <w:szCs w:val="21"/>
              </w:rPr>
              <w:br w:type="textWrapping"/>
            </w:r>
            <w:r>
              <w:rPr>
                <w:rFonts w:hint="eastAsia" w:ascii="宋体" w:hAnsi="宋体"/>
                <w:szCs w:val="21"/>
              </w:rPr>
              <w:t>……</w:t>
            </w:r>
          </w:p>
          <w:p/>
        </w:tc>
        <w:tc>
          <w:tcPr>
            <w:tcW w:w="3529" w:type="dxa"/>
            <w:vMerge w:val="restart"/>
            <w:tcBorders>
              <w:left w:val="nil"/>
              <w:bottom w:val="nil"/>
            </w:tcBorders>
            <w:shd w:val="clear" w:color="auto" w:fill="FF0000"/>
          </w:tcPr>
          <w:p>
            <w:pPr>
              <w:rPr>
                <w:rFonts w:ascii="微软雅黑" w:hAnsi="微软雅黑" w:eastAsia="微软雅黑"/>
                <w:b/>
                <w:color w:val="FFFFFF"/>
                <w:sz w:val="32"/>
              </w:rPr>
            </w:pPr>
          </w:p>
          <w:p>
            <w:pPr>
              <w:ind w:left="287" w:leftChars="39" w:hanging="205" w:hangingChars="64"/>
              <w:rPr>
                <w:rFonts w:ascii="微软雅黑" w:hAnsi="微软雅黑" w:eastAsia="微软雅黑"/>
                <w:b/>
                <w:color w:val="FFFFFF"/>
                <w:sz w:val="32"/>
              </w:rPr>
            </w:pPr>
            <w:r>
              <w:rPr>
                <w:rFonts w:hint="eastAsia" w:ascii="微软雅黑" w:hAnsi="微软雅黑" w:eastAsia="微软雅黑"/>
                <w:b/>
                <w:color w:val="FFFFFF"/>
                <w:sz w:val="32"/>
              </w:rPr>
              <w:t>时间</w:t>
            </w:r>
          </w:p>
          <w:p>
            <w:pPr>
              <w:ind w:left="217" w:leftChars="39" w:hanging="135" w:hangingChars="64"/>
              <w:rPr>
                <w:rFonts w:ascii="幼圆" w:hAnsi="微软雅黑" w:eastAsia="幼圆"/>
                <w:b/>
                <w:color w:val="FFFFFF"/>
                <w:szCs w:val="21"/>
              </w:rPr>
            </w:pPr>
            <w:r>
              <w:rPr>
                <w:rFonts w:hint="eastAsia" w:ascii="幼圆" w:hAnsi="微软雅黑" w:eastAsia="幼圆"/>
                <w:b/>
                <w:color w:val="FFFFFF"/>
                <w:szCs w:val="21"/>
              </w:rPr>
              <w:t>2017年9月8日9：30至17：00</w:t>
            </w:r>
          </w:p>
          <w:p>
            <w:pPr>
              <w:ind w:left="217" w:leftChars="39" w:hanging="135" w:hangingChars="64"/>
              <w:rPr>
                <w:rFonts w:ascii="幼圆" w:hAnsi="微软雅黑" w:eastAsia="幼圆"/>
                <w:b/>
                <w:color w:val="FFFFFF"/>
                <w:szCs w:val="21"/>
              </w:rPr>
            </w:pPr>
            <w:r>
              <w:rPr>
                <w:rFonts w:hint="eastAsia" w:ascii="幼圆" w:hAnsi="微软雅黑" w:eastAsia="幼圆"/>
                <w:b/>
                <w:color w:val="FFFFFF"/>
                <w:szCs w:val="21"/>
              </w:rPr>
              <w:t>2017年9月9日9：00至16：30</w:t>
            </w:r>
          </w:p>
          <w:p>
            <w:pPr>
              <w:ind w:left="287" w:leftChars="39" w:hanging="205" w:hangingChars="64"/>
              <w:rPr>
                <w:rFonts w:ascii="微软雅黑" w:hAnsi="微软雅黑" w:eastAsia="微软雅黑"/>
                <w:b/>
                <w:color w:val="FFFFFF"/>
                <w:sz w:val="32"/>
              </w:rPr>
            </w:pPr>
          </w:p>
          <w:p>
            <w:pPr>
              <w:ind w:left="287" w:leftChars="39" w:hanging="205" w:hangingChars="64"/>
              <w:rPr>
                <w:rFonts w:ascii="微软雅黑" w:hAnsi="微软雅黑" w:eastAsia="微软雅黑"/>
                <w:b/>
                <w:color w:val="FFFFFF"/>
                <w:sz w:val="32"/>
              </w:rPr>
            </w:pPr>
            <w:r>
              <w:rPr>
                <w:rFonts w:hint="eastAsia" w:ascii="微软雅黑" w:hAnsi="微软雅黑" w:eastAsia="微软雅黑"/>
                <w:b/>
                <w:color w:val="FFFFFF"/>
                <w:sz w:val="32"/>
              </w:rPr>
              <w:t>地点</w:t>
            </w:r>
          </w:p>
          <w:p>
            <w:pPr>
              <w:rPr>
                <w:rFonts w:ascii="幼圆" w:hAnsi="微软雅黑" w:eastAsia="幼圆"/>
                <w:b/>
                <w:color w:val="FFFFFF"/>
                <w:szCs w:val="21"/>
              </w:rPr>
            </w:pPr>
            <w:r>
              <w:rPr>
                <w:rFonts w:hint="eastAsia" w:ascii="幼圆" w:hAnsi="微软雅黑" w:eastAsia="幼圆"/>
                <w:b/>
                <w:color w:val="FFFFFF"/>
                <w:szCs w:val="21"/>
              </w:rPr>
              <w:t>杭州银星饭店二楼银海厅（拱墅区莫干山路54号，省广播电视厅对面，杭州市政府旁边)</w:t>
            </w:r>
          </w:p>
          <w:p>
            <w:pPr>
              <w:rPr>
                <w:rFonts w:ascii="微软雅黑" w:hAnsi="微软雅黑" w:eastAsia="微软雅黑"/>
                <w:b/>
                <w:color w:val="FFFFFF"/>
                <w:sz w:val="32"/>
              </w:rPr>
            </w:pPr>
          </w:p>
          <w:p>
            <w:pPr>
              <w:ind w:left="287" w:leftChars="39" w:hanging="205" w:hangingChars="64"/>
              <w:rPr>
                <w:rFonts w:ascii="微软雅黑" w:hAnsi="微软雅黑" w:eastAsia="微软雅黑"/>
                <w:b/>
                <w:color w:val="FFFFFF"/>
                <w:sz w:val="32"/>
              </w:rPr>
            </w:pPr>
            <w:r>
              <w:rPr>
                <w:rFonts w:hint="eastAsia" w:ascii="微软雅黑" w:hAnsi="微软雅黑" w:eastAsia="微软雅黑"/>
                <w:b/>
                <w:color w:val="FFFFFF"/>
                <w:sz w:val="32"/>
              </w:rPr>
              <w:t>课程对象</w:t>
            </w:r>
          </w:p>
          <w:p>
            <w:pPr>
              <w:ind w:left="217" w:leftChars="39" w:hanging="135" w:hangingChars="64"/>
              <w:rPr>
                <w:rFonts w:hint="eastAsia" w:ascii="幼圆" w:hAnsi="微软雅黑" w:eastAsia="幼圆"/>
                <w:b/>
                <w:color w:val="FFFFFF"/>
                <w:szCs w:val="21"/>
              </w:rPr>
            </w:pPr>
            <w:r>
              <w:rPr>
                <w:rFonts w:hint="eastAsia" w:ascii="幼圆" w:hAnsi="微软雅黑" w:eastAsia="幼圆"/>
                <w:b/>
                <w:color w:val="FFFFFF"/>
                <w:szCs w:val="21"/>
              </w:rPr>
              <w:t>营销副总、总监、大客户经理</w:t>
            </w:r>
          </w:p>
          <w:p>
            <w:pPr>
              <w:ind w:left="287" w:leftChars="39" w:hanging="205" w:hangingChars="64"/>
              <w:rPr>
                <w:rFonts w:ascii="微软雅黑" w:hAnsi="微软雅黑" w:eastAsia="微软雅黑"/>
                <w:b/>
                <w:color w:val="FFFFFF"/>
                <w:sz w:val="32"/>
              </w:rPr>
            </w:pPr>
          </w:p>
          <w:p>
            <w:pPr>
              <w:ind w:left="287" w:leftChars="39" w:hanging="205" w:hangingChars="64"/>
              <w:rPr>
                <w:rFonts w:ascii="微软雅黑" w:hAnsi="微软雅黑" w:eastAsia="微软雅黑"/>
                <w:b/>
                <w:color w:val="FFFFFF"/>
                <w:sz w:val="32"/>
              </w:rPr>
            </w:pPr>
            <w:r>
              <w:rPr>
                <w:rFonts w:hint="eastAsia" w:ascii="微软雅黑" w:hAnsi="微软雅黑" w:eastAsia="微软雅黑"/>
                <w:b/>
                <w:color w:val="FFFFFF"/>
                <w:sz w:val="32"/>
              </w:rPr>
              <w:t>企业大小</w:t>
            </w:r>
          </w:p>
          <w:p>
            <w:pPr>
              <w:ind w:left="217" w:leftChars="39" w:hanging="135" w:hangingChars="64"/>
              <w:rPr>
                <w:rFonts w:ascii="幼圆" w:hAnsi="微软雅黑" w:eastAsia="幼圆"/>
                <w:b/>
                <w:color w:val="FFFFFF"/>
                <w:szCs w:val="21"/>
              </w:rPr>
            </w:pPr>
            <w:r>
              <w:rPr>
                <w:rFonts w:hint="eastAsia" w:ascii="幼圆" w:hAnsi="微软雅黑" w:eastAsia="幼圆"/>
                <w:b/>
                <w:color w:val="FFFFFF"/>
                <w:szCs w:val="21"/>
              </w:rPr>
              <w:t>不限</w:t>
            </w:r>
          </w:p>
          <w:p>
            <w:pPr>
              <w:ind w:left="287" w:leftChars="39" w:hanging="205" w:hangingChars="64"/>
              <w:rPr>
                <w:rFonts w:ascii="微软雅黑" w:hAnsi="微软雅黑" w:eastAsia="微软雅黑"/>
                <w:b/>
                <w:color w:val="FFFFFF"/>
                <w:sz w:val="32"/>
              </w:rPr>
            </w:pPr>
            <w:r>
              <w:rPr>
                <w:rFonts w:hint="eastAsia" w:ascii="微软雅黑" w:hAnsi="微软雅黑" w:eastAsia="微软雅黑"/>
                <w:b/>
                <w:color w:val="FFFFFF"/>
                <w:sz w:val="32"/>
              </w:rPr>
              <w:t>行业类型</w:t>
            </w:r>
          </w:p>
          <w:p>
            <w:pPr>
              <w:ind w:left="217" w:leftChars="39" w:hanging="135" w:hangingChars="64"/>
              <w:rPr>
                <w:rFonts w:ascii="幼圆" w:hAnsi="微软雅黑" w:eastAsia="幼圆"/>
                <w:b/>
                <w:color w:val="FFFFFF"/>
                <w:szCs w:val="21"/>
              </w:rPr>
            </w:pPr>
            <w:r>
              <w:rPr>
                <w:rFonts w:hint="eastAsia" w:ascii="幼圆" w:hAnsi="微软雅黑" w:eastAsia="幼圆"/>
                <w:b/>
                <w:color w:val="FFFFFF"/>
                <w:szCs w:val="21"/>
              </w:rPr>
              <w:t>不限</w:t>
            </w:r>
          </w:p>
          <w:p>
            <w:pPr>
              <w:rPr>
                <w:rFonts w:ascii="微软雅黑" w:hAnsi="微软雅黑" w:eastAsia="微软雅黑"/>
                <w:b/>
                <w:color w:val="FFFFFF"/>
                <w:sz w:val="32"/>
              </w:rPr>
            </w:pPr>
          </w:p>
          <w:p>
            <w:pPr>
              <w:rPr>
                <w:rFonts w:ascii="微软雅黑" w:hAnsi="微软雅黑" w:eastAsia="微软雅黑"/>
                <w:b/>
                <w:color w:val="FFFFFF"/>
                <w:sz w:val="32"/>
              </w:rPr>
            </w:pPr>
            <w:r>
              <w:rPr>
                <w:rFonts w:hint="eastAsia" w:ascii="微软雅黑" w:hAnsi="微软雅黑" w:eastAsia="微软雅黑"/>
                <w:b/>
                <w:color w:val="FFFFFF"/>
                <w:sz w:val="32"/>
              </w:rPr>
              <w:t>参会费用</w:t>
            </w:r>
          </w:p>
          <w:p>
            <w:pPr>
              <w:rPr>
                <w:rFonts w:ascii="微软雅黑" w:hAnsi="微软雅黑" w:eastAsia="微软雅黑"/>
                <w:b/>
                <w:color w:val="FFFFFF"/>
                <w:sz w:val="32"/>
              </w:rPr>
            </w:pPr>
            <w:r>
              <w:rPr>
                <w:rFonts w:hint="eastAsia" w:ascii="幼圆" w:hAnsi="微软雅黑" w:eastAsia="幼圆"/>
                <w:b/>
                <w:color w:val="FFFFFF"/>
                <w:szCs w:val="21"/>
              </w:rPr>
              <w:t>会员套票：</w:t>
            </w:r>
          </w:p>
          <w:p>
            <w:pPr>
              <w:rPr>
                <w:rFonts w:ascii="幼圆" w:hAnsi="微软雅黑" w:eastAsia="幼圆"/>
                <w:b/>
                <w:color w:val="FFFFFF"/>
                <w:szCs w:val="21"/>
              </w:rPr>
            </w:pPr>
            <w:r>
              <w:rPr>
                <w:rFonts w:hint="eastAsia" w:ascii="幼圆" w:hAnsi="微软雅黑" w:eastAsia="幼圆"/>
                <w:b/>
                <w:color w:val="FFFFFF"/>
                <w:szCs w:val="21"/>
              </w:rPr>
              <w:t>5张  3</w:t>
            </w:r>
            <w:r>
              <w:rPr>
                <w:rFonts w:hint="eastAsia" w:ascii="幼圆" w:hAnsi="微软雅黑" w:eastAsia="幼圆"/>
                <w:b/>
                <w:color w:val="FFFFFF"/>
                <w:szCs w:val="21"/>
                <w:lang w:val="en-US" w:eastAsia="zh-CN"/>
              </w:rPr>
              <w:t>8</w:t>
            </w:r>
            <w:r>
              <w:rPr>
                <w:rFonts w:hint="eastAsia" w:ascii="幼圆" w:hAnsi="微软雅黑" w:eastAsia="幼圆"/>
                <w:b/>
                <w:color w:val="FFFFFF"/>
                <w:szCs w:val="21"/>
              </w:rPr>
              <w:t>00元</w:t>
            </w:r>
            <w:r>
              <w:rPr>
                <w:rFonts w:ascii="幼圆" w:hAnsi="微软雅黑" w:eastAsia="幼圆"/>
                <w:b/>
                <w:color w:val="FFFFFF"/>
                <w:szCs w:val="21"/>
              </w:rPr>
              <w:t>/</w:t>
            </w:r>
            <w:r>
              <w:rPr>
                <w:rFonts w:hint="eastAsia" w:ascii="幼圆" w:hAnsi="微软雅黑" w:eastAsia="幼圆"/>
                <w:b/>
                <w:color w:val="FFFFFF"/>
                <w:szCs w:val="21"/>
              </w:rPr>
              <w:t>人</w:t>
            </w:r>
            <w:r>
              <w:rPr>
                <w:rFonts w:ascii="幼圆" w:hAnsi="微软雅黑" w:eastAsia="幼圆"/>
                <w:b/>
                <w:color w:val="FFFFFF"/>
                <w:szCs w:val="21"/>
              </w:rPr>
              <w:t xml:space="preserve">   </w:t>
            </w:r>
            <w:r>
              <w:rPr>
                <w:rFonts w:hint="eastAsia" w:ascii="幼圆" w:hAnsi="微软雅黑" w:eastAsia="幼圆"/>
                <w:b/>
                <w:color w:val="FFFFFF"/>
                <w:szCs w:val="21"/>
              </w:rPr>
              <w:t xml:space="preserve">限60人 </w:t>
            </w:r>
          </w:p>
          <w:p>
            <w:pPr>
              <w:rPr>
                <w:rFonts w:ascii="微软雅黑" w:hAnsi="微软雅黑" w:eastAsia="微软雅黑"/>
                <w:b/>
                <w:color w:val="FFFFFF"/>
                <w:sz w:val="32"/>
              </w:rPr>
            </w:pPr>
            <w:r>
              <w:rPr>
                <w:rFonts w:hint="eastAsia" w:ascii="幼圆" w:hAnsi="微软雅黑" w:eastAsia="幼圆"/>
                <w:b/>
                <w:color w:val="FFFFFF"/>
                <w:szCs w:val="21"/>
              </w:rPr>
              <w:t>团队购票</w:t>
            </w:r>
            <w:r>
              <w:rPr>
                <w:rFonts w:ascii="幼圆" w:hAnsi="微软雅黑" w:eastAsia="幼圆"/>
                <w:b/>
                <w:color w:val="FFFFFF"/>
                <w:szCs w:val="21"/>
              </w:rPr>
              <w:t>5</w:t>
            </w:r>
            <w:r>
              <w:rPr>
                <w:rFonts w:hint="eastAsia" w:ascii="幼圆" w:hAnsi="微软雅黑" w:eastAsia="幼圆"/>
                <w:b/>
                <w:color w:val="FFFFFF"/>
                <w:szCs w:val="21"/>
              </w:rPr>
              <w:t>人以上更优惠！</w:t>
            </w:r>
            <w:r>
              <w:rPr>
                <w:rFonts w:ascii="幼圆" w:hAnsi="微软雅黑" w:eastAsia="幼圆"/>
                <w:b/>
                <w:color w:val="FFFFFF"/>
                <w:szCs w:val="21"/>
              </w:rPr>
              <w:t xml:space="preserve"> </w:t>
            </w:r>
          </w:p>
          <w:p>
            <w:pPr>
              <w:rPr>
                <w:rFonts w:ascii="幼圆" w:hAnsi="微软雅黑" w:eastAsia="幼圆"/>
                <w:b/>
                <w:color w:val="FFFFFF"/>
                <w:szCs w:val="21"/>
              </w:rPr>
            </w:pPr>
          </w:p>
        </w:tc>
      </w:tr>
      <w:tr>
        <w:tblPrEx>
          <w:tblLayout w:type="fixed"/>
          <w:tblCellMar>
            <w:top w:w="0" w:type="dxa"/>
            <w:left w:w="108" w:type="dxa"/>
            <w:bottom w:w="0" w:type="dxa"/>
            <w:right w:w="108" w:type="dxa"/>
          </w:tblCellMar>
        </w:tblPrEx>
        <w:trPr>
          <w:trHeight w:val="90" w:hRule="atLeast"/>
        </w:trPr>
        <w:tc>
          <w:tcPr>
            <w:tcW w:w="3418" w:type="dxa"/>
            <w:shd w:val="clear" w:color="auto" w:fill="auto"/>
            <w:vAlign w:val="bottom"/>
          </w:tcPr>
          <w:p>
            <w:pPr>
              <w:jc w:val="left"/>
              <w:rPr>
                <w:rFonts w:ascii="微软雅黑" w:hAnsi="微软雅黑" w:eastAsia="微软雅黑"/>
                <w:b/>
                <w:sz w:val="32"/>
                <w:szCs w:val="32"/>
              </w:rPr>
            </w:pPr>
            <w:r>
              <w:rPr>
                <w:rFonts w:hint="eastAsia" w:ascii="微软雅黑" w:hAnsi="微软雅黑" w:eastAsia="微软雅黑"/>
                <w:b/>
                <w:sz w:val="32"/>
                <w:szCs w:val="32"/>
              </w:rPr>
              <w:t>课程大纲</w:t>
            </w:r>
          </w:p>
        </w:tc>
        <w:tc>
          <w:tcPr>
            <w:tcW w:w="3576" w:type="dxa"/>
            <w:shd w:val="clear" w:color="auto" w:fill="auto"/>
          </w:tcPr>
          <w:p/>
        </w:tc>
        <w:tc>
          <w:tcPr>
            <w:tcW w:w="3529" w:type="dxa"/>
            <w:vMerge w:val="continue"/>
            <w:tcBorders>
              <w:left w:val="nil"/>
            </w:tcBorders>
            <w:shd w:val="clear" w:color="auto" w:fill="FF0000"/>
          </w:tcPr>
          <w:p>
            <w:pPr>
              <w:ind w:left="315" w:leftChars="150"/>
              <w:rPr>
                <w:color w:val="FFFFFF"/>
              </w:rPr>
            </w:pPr>
          </w:p>
        </w:tc>
      </w:tr>
      <w:tr>
        <w:tblPrEx>
          <w:tblLayout w:type="fixed"/>
          <w:tblCellMar>
            <w:top w:w="0" w:type="dxa"/>
            <w:left w:w="108" w:type="dxa"/>
            <w:bottom w:w="0" w:type="dxa"/>
            <w:right w:w="108" w:type="dxa"/>
          </w:tblCellMar>
        </w:tblPrEx>
        <w:trPr>
          <w:trHeight w:val="90" w:hRule="atLeast"/>
        </w:trPr>
        <w:tc>
          <w:tcPr>
            <w:tcW w:w="6994" w:type="dxa"/>
            <w:gridSpan w:val="2"/>
            <w:shd w:val="clear" w:color="auto" w:fill="auto"/>
          </w:tcPr>
          <w:p>
            <w:pPr>
              <w:widowControl/>
              <w:rPr>
                <w:rFonts w:ascii="宋体" w:hAnsi="宋体" w:cs="宋体"/>
                <w:b/>
                <w:color w:val="000000"/>
                <w:kern w:val="0"/>
                <w:sz w:val="28"/>
                <w:szCs w:val="28"/>
              </w:rPr>
            </w:pPr>
            <w:r>
              <w:rPr>
                <w:rFonts w:hint="eastAsia" w:ascii="宋体" w:hAnsi="宋体" w:cs="宋体"/>
                <w:b/>
                <w:color w:val="000000"/>
                <w:kern w:val="0"/>
                <w:sz w:val="28"/>
                <w:szCs w:val="28"/>
              </w:rPr>
              <w:t>模块1.1：介绍和关键概念</w:t>
            </w:r>
          </w:p>
          <w:p>
            <w:pPr>
              <w:widowControl/>
              <w:jc w:val="left"/>
              <w:rPr>
                <w:rFonts w:ascii="宋体" w:hAnsi="宋体" w:cs="宋体"/>
                <w:color w:val="000000"/>
                <w:kern w:val="0"/>
                <w:szCs w:val="21"/>
              </w:rPr>
            </w:pPr>
            <w:r>
              <w:rPr>
                <w:rFonts w:hint="eastAsia" w:ascii="宋体" w:hAnsi="宋体" w:cs="宋体"/>
                <w:color w:val="000000"/>
                <w:kern w:val="0"/>
                <w:szCs w:val="21"/>
              </w:rPr>
              <w:t xml:space="preserve">目标： </w:t>
            </w:r>
          </w:p>
          <w:p>
            <w:pPr>
              <w:pStyle w:val="38"/>
              <w:numPr>
                <w:ilvl w:val="0"/>
                <w:numId w:val="3"/>
              </w:numPr>
              <w:ind w:firstLineChars="0"/>
              <w:rPr>
                <w:rFonts w:ascii="宋体" w:hAnsi="宋体"/>
                <w:szCs w:val="21"/>
              </w:rPr>
            </w:pPr>
            <w:r>
              <w:rPr>
                <w:rFonts w:hint="eastAsia" w:ascii="宋体" w:hAnsi="宋体"/>
                <w:szCs w:val="21"/>
              </w:rPr>
              <w:t xml:space="preserve">描述使用销售流程的重要性 </w:t>
            </w:r>
          </w:p>
          <w:p>
            <w:pPr>
              <w:pStyle w:val="38"/>
              <w:numPr>
                <w:ilvl w:val="0"/>
                <w:numId w:val="3"/>
              </w:numPr>
              <w:ind w:firstLineChars="0"/>
              <w:rPr>
                <w:rFonts w:ascii="宋体" w:hAnsi="宋体"/>
                <w:szCs w:val="21"/>
              </w:rPr>
            </w:pPr>
            <w:r>
              <w:rPr>
                <w:rFonts w:hint="eastAsia" w:ascii="宋体" w:hAnsi="宋体"/>
                <w:szCs w:val="21"/>
              </w:rPr>
              <w:t xml:space="preserve">介绍销售流程的关键要素 </w:t>
            </w:r>
          </w:p>
          <w:p>
            <w:pPr>
              <w:pStyle w:val="38"/>
              <w:numPr>
                <w:ilvl w:val="0"/>
                <w:numId w:val="3"/>
              </w:numPr>
              <w:ind w:firstLineChars="0"/>
              <w:rPr>
                <w:rFonts w:ascii="宋体" w:hAnsi="宋体"/>
                <w:szCs w:val="21"/>
              </w:rPr>
            </w:pPr>
            <w:r>
              <w:rPr>
                <w:rFonts w:hint="eastAsia" w:ascii="宋体" w:hAnsi="宋体"/>
                <w:szCs w:val="21"/>
              </w:rPr>
              <w:t xml:space="preserve">解释情境流畅度的特点 </w:t>
            </w:r>
          </w:p>
          <w:p>
            <w:pPr>
              <w:pStyle w:val="38"/>
              <w:numPr>
                <w:ilvl w:val="0"/>
                <w:numId w:val="3"/>
              </w:numPr>
              <w:ind w:firstLineChars="0"/>
              <w:rPr>
                <w:rFonts w:ascii="宋体" w:hAnsi="宋体"/>
                <w:szCs w:val="21"/>
              </w:rPr>
            </w:pPr>
            <w:r>
              <w:rPr>
                <w:rFonts w:hint="eastAsia" w:ascii="宋体" w:hAnsi="宋体"/>
                <w:szCs w:val="21"/>
              </w:rPr>
              <w:t xml:space="preserve">销售中的主要销售技巧、术语和基本原则 </w:t>
            </w:r>
          </w:p>
          <w:p>
            <w:pPr>
              <w:pStyle w:val="38"/>
              <w:numPr>
                <w:ilvl w:val="0"/>
                <w:numId w:val="3"/>
              </w:numPr>
              <w:ind w:firstLineChars="0"/>
              <w:rPr>
                <w:rFonts w:ascii="宋体" w:hAnsi="宋体"/>
                <w:szCs w:val="21"/>
              </w:rPr>
            </w:pPr>
            <w:r>
              <w:rPr>
                <w:rFonts w:hint="eastAsia" w:ascii="宋体" w:hAnsi="宋体"/>
                <w:szCs w:val="21"/>
              </w:rPr>
              <w:t xml:space="preserve">描述购买的过程和行为表现 </w:t>
            </w:r>
          </w:p>
          <w:p>
            <w:pPr>
              <w:pStyle w:val="38"/>
              <w:numPr>
                <w:ilvl w:val="0"/>
                <w:numId w:val="3"/>
              </w:numPr>
              <w:ind w:firstLineChars="0"/>
              <w:rPr>
                <w:rFonts w:hint="eastAsia" w:ascii="宋体" w:hAnsi="宋体"/>
                <w:szCs w:val="21"/>
              </w:rPr>
            </w:pPr>
            <w:r>
              <w:rPr>
                <w:rFonts w:hint="eastAsia" w:ascii="宋体" w:hAnsi="宋体"/>
                <w:szCs w:val="21"/>
              </w:rPr>
              <w:t xml:space="preserve">描述客户四个层次的需求及相应的销售行为 </w:t>
            </w:r>
          </w:p>
          <w:p>
            <w:pPr>
              <w:ind w:left="420"/>
              <w:rPr>
                <w:rFonts w:hint="eastAsia" w:ascii="宋体" w:hAnsi="宋体" w:cs="宋体"/>
                <w:color w:val="000000"/>
                <w:kern w:val="0"/>
                <w:szCs w:val="21"/>
              </w:rPr>
            </w:pPr>
            <w:r>
              <w:rPr>
                <w:rFonts w:hint="eastAsia" w:ascii="宋体" w:hAnsi="宋体" w:cs="宋体"/>
                <w:color w:val="000000"/>
                <w:kern w:val="0"/>
                <w:szCs w:val="21"/>
              </w:rPr>
              <w:t xml:space="preserve">练习：讨论销售遇到的挑战 </w:t>
            </w:r>
          </w:p>
          <w:p>
            <w:pPr>
              <w:ind w:left="420"/>
              <w:rPr>
                <w:rFonts w:ascii="宋体" w:hAnsi="宋体"/>
                <w:szCs w:val="21"/>
              </w:rPr>
            </w:pPr>
          </w:p>
          <w:p>
            <w:pPr>
              <w:widowControl/>
              <w:rPr>
                <w:rFonts w:ascii="宋体" w:hAnsi="宋体" w:cs="宋体"/>
                <w:b/>
                <w:color w:val="000000"/>
                <w:kern w:val="0"/>
                <w:sz w:val="28"/>
                <w:szCs w:val="28"/>
              </w:rPr>
            </w:pPr>
            <w:r>
              <w:rPr>
                <w:rFonts w:hint="eastAsia" w:ascii="宋体" w:hAnsi="宋体" w:cs="宋体"/>
                <w:b/>
                <w:color w:val="000000"/>
                <w:kern w:val="0"/>
                <w:sz w:val="28"/>
                <w:szCs w:val="28"/>
              </w:rPr>
              <w:t>模块1.2：拜访前计划和研究</w:t>
            </w:r>
          </w:p>
          <w:p>
            <w:pPr>
              <w:widowControl/>
              <w:jc w:val="left"/>
              <w:rPr>
                <w:rFonts w:ascii="宋体" w:hAnsi="宋体" w:cs="宋体"/>
                <w:color w:val="000000"/>
                <w:kern w:val="0"/>
                <w:szCs w:val="21"/>
              </w:rPr>
            </w:pPr>
            <w:r>
              <w:rPr>
                <w:rFonts w:hint="eastAsia" w:ascii="宋体" w:hAnsi="宋体" w:cs="宋体"/>
                <w:color w:val="000000"/>
                <w:kern w:val="0"/>
                <w:szCs w:val="21"/>
              </w:rPr>
              <w:t xml:space="preserve">目标： </w:t>
            </w:r>
          </w:p>
          <w:p>
            <w:pPr>
              <w:pStyle w:val="38"/>
              <w:numPr>
                <w:ilvl w:val="1"/>
                <w:numId w:val="4"/>
              </w:numPr>
              <w:ind w:firstLineChars="0"/>
              <w:rPr>
                <w:rFonts w:ascii="宋体" w:hAnsi="宋体"/>
                <w:szCs w:val="21"/>
              </w:rPr>
            </w:pPr>
            <w:r>
              <w:rPr>
                <w:rFonts w:hint="eastAsia" w:ascii="宋体" w:hAnsi="宋体"/>
                <w:szCs w:val="21"/>
              </w:rPr>
              <w:t xml:space="preserve">掌握拜访前计划的最佳实践 </w:t>
            </w:r>
          </w:p>
          <w:p>
            <w:pPr>
              <w:pStyle w:val="38"/>
              <w:numPr>
                <w:ilvl w:val="1"/>
                <w:numId w:val="4"/>
              </w:numPr>
              <w:ind w:firstLineChars="0"/>
              <w:rPr>
                <w:rFonts w:ascii="宋体" w:hAnsi="宋体"/>
                <w:szCs w:val="21"/>
              </w:rPr>
            </w:pPr>
            <w:r>
              <w:rPr>
                <w:rFonts w:hint="eastAsia" w:ascii="宋体" w:hAnsi="宋体"/>
                <w:szCs w:val="21"/>
              </w:rPr>
              <w:t xml:space="preserve">利用特定的资源进行客户研究 </w:t>
            </w:r>
          </w:p>
          <w:p>
            <w:pPr>
              <w:pStyle w:val="38"/>
              <w:numPr>
                <w:ilvl w:val="1"/>
                <w:numId w:val="4"/>
              </w:numPr>
              <w:ind w:firstLineChars="0"/>
              <w:rPr>
                <w:rFonts w:ascii="宋体" w:hAnsi="宋体"/>
                <w:szCs w:val="21"/>
              </w:rPr>
            </w:pPr>
            <w:r>
              <w:rPr>
                <w:rFonts w:hint="eastAsia" w:ascii="宋体" w:hAnsi="宋体"/>
                <w:szCs w:val="21"/>
              </w:rPr>
              <w:t xml:space="preserve">识别并定义客户的痛苦，分析痛苦在客户的组织中的流动方式 </w:t>
            </w:r>
          </w:p>
          <w:p>
            <w:pPr>
              <w:pStyle w:val="38"/>
              <w:numPr>
                <w:ilvl w:val="1"/>
                <w:numId w:val="4"/>
              </w:numPr>
              <w:ind w:firstLineChars="0"/>
              <w:rPr>
                <w:rFonts w:ascii="宋体" w:hAnsi="宋体"/>
                <w:szCs w:val="21"/>
              </w:rPr>
            </w:pPr>
            <w:r>
              <w:rPr>
                <w:rFonts w:hint="eastAsia" w:ascii="宋体" w:hAnsi="宋体"/>
                <w:szCs w:val="21"/>
              </w:rPr>
              <w:t xml:space="preserve">使用下列工作辅助工具完成拜访前计划活动：客户概况、关键人物表、痛苦链 </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练习：针对你的销售机会进行练习，注重：</w:t>
            </w:r>
          </w:p>
          <w:p>
            <w:pPr>
              <w:ind w:left="420" w:firstLine="525" w:firstLineChars="250"/>
              <w:rPr>
                <w:rFonts w:ascii="宋体" w:hAnsi="宋体"/>
                <w:szCs w:val="21"/>
              </w:rPr>
            </w:pPr>
            <w:r>
              <w:rPr>
                <w:rFonts w:hint="eastAsia" w:ascii="宋体" w:hAnsi="宋体"/>
                <w:szCs w:val="21"/>
              </w:rPr>
              <w:t>.设计客户概况</w:t>
            </w:r>
          </w:p>
          <w:p>
            <w:pPr>
              <w:ind w:left="420" w:firstLine="525" w:firstLineChars="250"/>
              <w:rPr>
                <w:rFonts w:ascii="宋体" w:hAnsi="宋体"/>
                <w:szCs w:val="21"/>
              </w:rPr>
            </w:pPr>
            <w:r>
              <w:rPr>
                <w:rFonts w:hint="eastAsia" w:ascii="宋体" w:hAnsi="宋体"/>
                <w:szCs w:val="21"/>
              </w:rPr>
              <w:t xml:space="preserve">.描述客户组织机构的依赖性 </w:t>
            </w:r>
          </w:p>
          <w:p>
            <w:pPr>
              <w:widowControl/>
              <w:rPr>
                <w:rFonts w:ascii="宋体" w:hAnsi="宋体" w:cs="宋体"/>
                <w:b/>
                <w:color w:val="000000"/>
                <w:kern w:val="0"/>
                <w:sz w:val="28"/>
                <w:szCs w:val="28"/>
              </w:rPr>
            </w:pPr>
            <w:r>
              <w:rPr>
                <w:rFonts w:hint="eastAsia" w:ascii="宋体" w:hAnsi="宋体" w:cs="宋体"/>
                <w:b/>
                <w:color w:val="000000"/>
                <w:kern w:val="0"/>
                <w:sz w:val="28"/>
                <w:szCs w:val="28"/>
              </w:rPr>
              <w:t>模块2.0：激发兴趣</w:t>
            </w:r>
          </w:p>
          <w:p>
            <w:pPr>
              <w:widowControl/>
              <w:jc w:val="left"/>
              <w:rPr>
                <w:rFonts w:ascii="宋体" w:hAnsi="宋体" w:cs="宋体"/>
                <w:color w:val="000000"/>
                <w:kern w:val="0"/>
                <w:szCs w:val="21"/>
              </w:rPr>
            </w:pPr>
            <w:r>
              <w:rPr>
                <w:rFonts w:hint="eastAsia" w:ascii="宋体" w:hAnsi="宋体" w:cs="宋体"/>
                <w:color w:val="000000"/>
                <w:kern w:val="0"/>
                <w:szCs w:val="21"/>
              </w:rPr>
              <w:t xml:space="preserve">目标： </w:t>
            </w:r>
          </w:p>
          <w:p>
            <w:pPr>
              <w:pStyle w:val="38"/>
              <w:numPr>
                <w:ilvl w:val="0"/>
                <w:numId w:val="5"/>
              </w:numPr>
              <w:ind w:firstLineChars="0"/>
              <w:rPr>
                <w:rFonts w:ascii="宋体" w:hAnsi="宋体"/>
                <w:szCs w:val="21"/>
              </w:rPr>
            </w:pPr>
            <w:r>
              <w:rPr>
                <w:rFonts w:hint="eastAsia" w:ascii="宋体" w:hAnsi="宋体"/>
                <w:szCs w:val="21"/>
              </w:rPr>
              <w:t xml:space="preserve">描述有效进行业务拓展的关键点 </w:t>
            </w:r>
          </w:p>
          <w:p>
            <w:pPr>
              <w:pStyle w:val="38"/>
              <w:numPr>
                <w:ilvl w:val="0"/>
                <w:numId w:val="5"/>
              </w:numPr>
              <w:ind w:firstLineChars="0"/>
              <w:rPr>
                <w:rFonts w:ascii="宋体" w:hAnsi="宋体"/>
                <w:szCs w:val="21"/>
              </w:rPr>
            </w:pPr>
            <w:r>
              <w:rPr>
                <w:rFonts w:hint="eastAsia" w:ascii="宋体" w:hAnsi="宋体"/>
                <w:szCs w:val="21"/>
              </w:rPr>
              <w:t xml:space="preserve">描述寻找潜在客户时应避免的行为 </w:t>
            </w:r>
          </w:p>
          <w:p>
            <w:pPr>
              <w:pStyle w:val="38"/>
              <w:numPr>
                <w:ilvl w:val="0"/>
                <w:numId w:val="5"/>
              </w:numPr>
              <w:ind w:firstLineChars="0"/>
              <w:rPr>
                <w:rFonts w:ascii="宋体" w:hAnsi="宋体"/>
                <w:szCs w:val="21"/>
              </w:rPr>
            </w:pPr>
            <w:r>
              <w:rPr>
                <w:rFonts w:hint="eastAsia" w:ascii="宋体" w:hAnsi="宋体"/>
                <w:szCs w:val="21"/>
              </w:rPr>
              <w:t xml:space="preserve">使用下列工作辅助工具激发潜在客户的兴趣：业务拓展信件和提示卡、参考案例、价值陈述 </w:t>
            </w:r>
          </w:p>
          <w:p>
            <w:pPr>
              <w:widowControl/>
              <w:ind w:left="420" w:leftChars="200"/>
              <w:jc w:val="left"/>
              <w:rPr>
                <w:rFonts w:hint="eastAsia" w:ascii="宋体" w:hAnsi="宋体" w:cs="宋体"/>
                <w:color w:val="000000"/>
                <w:kern w:val="0"/>
                <w:szCs w:val="21"/>
              </w:rPr>
            </w:pPr>
            <w:r>
              <w:rPr>
                <w:rFonts w:hint="eastAsia" w:ascii="宋体" w:hAnsi="宋体" w:cs="宋体"/>
                <w:color w:val="000000"/>
                <w:kern w:val="0"/>
                <w:szCs w:val="21"/>
              </w:rPr>
              <w:t xml:space="preserve">练习： 进行销售机会练习，确定业务拓展策略并设计激发兴趣工作辅助工具 </w:t>
            </w:r>
          </w:p>
          <w:p>
            <w:pPr>
              <w:widowControl/>
              <w:ind w:left="420" w:leftChars="200"/>
              <w:jc w:val="left"/>
              <w:rPr>
                <w:rFonts w:ascii="宋体" w:hAnsi="宋体" w:cs="宋体"/>
                <w:color w:val="000000"/>
                <w:kern w:val="0"/>
                <w:szCs w:val="21"/>
              </w:rPr>
            </w:pPr>
          </w:p>
          <w:p>
            <w:pPr>
              <w:widowControl/>
              <w:rPr>
                <w:rFonts w:ascii="宋体" w:hAnsi="宋体" w:cs="宋体"/>
                <w:b/>
                <w:color w:val="000000"/>
                <w:kern w:val="0"/>
                <w:sz w:val="28"/>
                <w:szCs w:val="28"/>
              </w:rPr>
            </w:pPr>
            <w:r>
              <w:rPr>
                <w:rFonts w:hint="eastAsia" w:ascii="宋体" w:hAnsi="宋体" w:cs="宋体"/>
                <w:b/>
                <w:color w:val="000000"/>
                <w:kern w:val="0"/>
                <w:sz w:val="28"/>
                <w:szCs w:val="28"/>
              </w:rPr>
              <w:t>模块2.1：定义“痛苦”或关键业务问题</w:t>
            </w:r>
          </w:p>
          <w:p>
            <w:pPr>
              <w:widowControl/>
              <w:jc w:val="left"/>
              <w:rPr>
                <w:rFonts w:ascii="宋体" w:hAnsi="宋体" w:cs="宋体"/>
                <w:color w:val="000000"/>
                <w:kern w:val="0"/>
                <w:szCs w:val="21"/>
              </w:rPr>
            </w:pPr>
            <w:r>
              <w:rPr>
                <w:rFonts w:hint="eastAsia" w:ascii="宋体" w:hAnsi="宋体" w:cs="宋体"/>
                <w:color w:val="000000"/>
                <w:kern w:val="0"/>
                <w:szCs w:val="21"/>
              </w:rPr>
              <w:t xml:space="preserve">目标： </w:t>
            </w:r>
          </w:p>
          <w:p>
            <w:pPr>
              <w:pStyle w:val="38"/>
              <w:numPr>
                <w:ilvl w:val="0"/>
                <w:numId w:val="6"/>
              </w:numPr>
              <w:ind w:firstLineChars="0"/>
              <w:rPr>
                <w:rFonts w:ascii="宋体" w:hAnsi="宋体"/>
                <w:szCs w:val="21"/>
              </w:rPr>
            </w:pPr>
            <w:r>
              <w:rPr>
                <w:rFonts w:hint="eastAsia" w:ascii="宋体" w:hAnsi="宋体"/>
                <w:szCs w:val="21"/>
              </w:rPr>
              <w:t xml:space="preserve">了解潜在客户与销售首次接触时作出的决定 </w:t>
            </w:r>
          </w:p>
          <w:p>
            <w:pPr>
              <w:pStyle w:val="38"/>
              <w:numPr>
                <w:ilvl w:val="0"/>
                <w:numId w:val="6"/>
              </w:numPr>
              <w:ind w:firstLineChars="0"/>
              <w:rPr>
                <w:rFonts w:ascii="宋体" w:hAnsi="宋体"/>
                <w:szCs w:val="21"/>
              </w:rPr>
            </w:pPr>
            <w:r>
              <w:rPr>
                <w:rFonts w:hint="eastAsia" w:ascii="宋体" w:hAnsi="宋体"/>
                <w:szCs w:val="21"/>
              </w:rPr>
              <w:t xml:space="preserve">掌握引导潜在客户承认痛苦的方法 </w:t>
            </w:r>
          </w:p>
          <w:p>
            <w:pPr>
              <w:pStyle w:val="38"/>
              <w:numPr>
                <w:ilvl w:val="0"/>
                <w:numId w:val="6"/>
              </w:numPr>
              <w:ind w:firstLineChars="0"/>
              <w:rPr>
                <w:rFonts w:hint="eastAsia" w:ascii="宋体" w:hAnsi="宋体"/>
                <w:szCs w:val="21"/>
              </w:rPr>
            </w:pPr>
            <w:r>
              <w:rPr>
                <w:rFonts w:hint="eastAsia" w:ascii="宋体" w:hAnsi="宋体"/>
                <w:szCs w:val="21"/>
              </w:rPr>
              <w:t xml:space="preserve">使用下列工作辅助工具指导与潜在客户的首次接触的战略关联提示卡 (Call Plan) </w:t>
            </w:r>
          </w:p>
          <w:p>
            <w:pPr>
              <w:pStyle w:val="38"/>
              <w:ind w:left="840" w:firstLine="0" w:firstLineChars="0"/>
              <w:rPr>
                <w:rFonts w:ascii="宋体" w:hAnsi="宋体"/>
                <w:szCs w:val="21"/>
              </w:rPr>
            </w:pPr>
          </w:p>
          <w:p>
            <w:pPr>
              <w:widowControl/>
              <w:rPr>
                <w:rFonts w:ascii="宋体" w:hAnsi="宋体" w:cs="宋体"/>
                <w:b/>
                <w:color w:val="000000"/>
                <w:kern w:val="0"/>
                <w:sz w:val="28"/>
                <w:szCs w:val="28"/>
              </w:rPr>
            </w:pPr>
            <w:r>
              <w:rPr>
                <w:rFonts w:hint="eastAsia" w:ascii="宋体" w:hAnsi="宋体" w:cs="宋体"/>
                <w:b/>
                <w:color w:val="000000"/>
                <w:kern w:val="0"/>
                <w:sz w:val="28"/>
                <w:szCs w:val="28"/>
              </w:rPr>
              <w:t>模块2.2：诊断及创建构想</w:t>
            </w:r>
          </w:p>
          <w:p>
            <w:pPr>
              <w:widowControl/>
              <w:jc w:val="left"/>
              <w:rPr>
                <w:rFonts w:ascii="宋体" w:hAnsi="宋体" w:cs="宋体"/>
                <w:color w:val="000000"/>
                <w:kern w:val="0"/>
                <w:szCs w:val="21"/>
              </w:rPr>
            </w:pPr>
            <w:r>
              <w:rPr>
                <w:rFonts w:hint="eastAsia" w:ascii="宋体" w:hAnsi="宋体" w:cs="宋体"/>
                <w:color w:val="000000"/>
                <w:kern w:val="0"/>
                <w:szCs w:val="21"/>
              </w:rPr>
              <w:t xml:space="preserve">目标： </w:t>
            </w:r>
          </w:p>
          <w:p>
            <w:pPr>
              <w:pStyle w:val="38"/>
              <w:numPr>
                <w:ilvl w:val="0"/>
                <w:numId w:val="7"/>
              </w:numPr>
              <w:ind w:firstLineChars="0"/>
              <w:rPr>
                <w:rFonts w:ascii="宋体" w:hAnsi="宋体"/>
                <w:szCs w:val="21"/>
              </w:rPr>
            </w:pPr>
            <w:r>
              <w:rPr>
                <w:rFonts w:hint="eastAsia" w:ascii="宋体" w:hAnsi="宋体"/>
                <w:szCs w:val="21"/>
              </w:rPr>
              <w:t xml:space="preserve">描述在给出解决方案之前，诊断业务问题的重要性 </w:t>
            </w:r>
          </w:p>
          <w:p>
            <w:pPr>
              <w:pStyle w:val="38"/>
              <w:numPr>
                <w:ilvl w:val="0"/>
                <w:numId w:val="7"/>
              </w:numPr>
              <w:ind w:firstLineChars="0"/>
              <w:rPr>
                <w:rFonts w:ascii="宋体" w:hAnsi="宋体"/>
                <w:szCs w:val="21"/>
              </w:rPr>
            </w:pPr>
            <w:r>
              <w:rPr>
                <w:rFonts w:hint="eastAsia" w:ascii="宋体" w:hAnsi="宋体"/>
                <w:szCs w:val="21"/>
              </w:rPr>
              <w:t xml:space="preserve">清晰理解有效客户问题诊断模型的组成 </w:t>
            </w:r>
          </w:p>
          <w:p>
            <w:pPr>
              <w:pStyle w:val="38"/>
              <w:numPr>
                <w:ilvl w:val="0"/>
                <w:numId w:val="7"/>
              </w:numPr>
              <w:ind w:firstLineChars="0"/>
              <w:rPr>
                <w:rFonts w:ascii="宋体" w:hAnsi="宋体"/>
                <w:szCs w:val="21"/>
              </w:rPr>
            </w:pPr>
            <w:r>
              <w:rPr>
                <w:rFonts w:hint="eastAsia" w:ascii="宋体" w:hAnsi="宋体"/>
                <w:szCs w:val="21"/>
              </w:rPr>
              <w:t xml:space="preserve">解释围绕你的能力创建客户购买构想的重要性 </w:t>
            </w:r>
          </w:p>
          <w:p>
            <w:pPr>
              <w:pStyle w:val="38"/>
              <w:numPr>
                <w:ilvl w:val="0"/>
                <w:numId w:val="7"/>
              </w:numPr>
              <w:ind w:firstLineChars="0"/>
              <w:rPr>
                <w:rFonts w:ascii="宋体" w:hAnsi="宋体"/>
                <w:szCs w:val="21"/>
              </w:rPr>
            </w:pPr>
            <w:r>
              <w:rPr>
                <w:rFonts w:hint="eastAsia" w:ascii="宋体" w:hAnsi="宋体"/>
                <w:szCs w:val="21"/>
              </w:rPr>
              <w:t xml:space="preserve">使用下列工作辅助工具，诊断客户的业务问题，创建针对你的独特能力的购买构想： </w:t>
            </w:r>
          </w:p>
          <w:p>
            <w:pPr>
              <w:ind w:firstLine="735" w:firstLineChars="350"/>
              <w:rPr>
                <w:rFonts w:ascii="宋体" w:hAnsi="宋体"/>
                <w:szCs w:val="21"/>
              </w:rPr>
            </w:pPr>
            <w:r>
              <w:rPr>
                <w:rFonts w:hint="eastAsia" w:ascii="宋体" w:hAnsi="宋体"/>
                <w:szCs w:val="21"/>
              </w:rPr>
              <w:t>“平衡轮构想模型”创建购买构想</w:t>
            </w:r>
          </w:p>
          <w:p>
            <w:pPr>
              <w:ind w:firstLine="840" w:firstLineChars="400"/>
              <w:rPr>
                <w:rFonts w:ascii="宋体" w:hAnsi="宋体"/>
                <w:szCs w:val="21"/>
              </w:rPr>
            </w:pPr>
            <w:r>
              <w:rPr>
                <w:rFonts w:hint="eastAsia" w:ascii="宋体" w:hAnsi="宋体"/>
                <w:szCs w:val="21"/>
              </w:rPr>
              <w:t xml:space="preserve">痛苦表 </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 xml:space="preserve">练习： </w:t>
            </w:r>
          </w:p>
          <w:p>
            <w:pPr>
              <w:ind w:left="420" w:firstLine="420" w:firstLineChars="200"/>
              <w:rPr>
                <w:rFonts w:ascii="宋体" w:hAnsi="宋体"/>
                <w:szCs w:val="21"/>
              </w:rPr>
            </w:pPr>
            <w:r>
              <w:rPr>
                <w:rFonts w:hint="eastAsia" w:ascii="宋体" w:hAnsi="宋体"/>
                <w:szCs w:val="21"/>
              </w:rPr>
              <w:t xml:space="preserve">.设计诊断对话中的问题 </w:t>
            </w:r>
          </w:p>
          <w:p>
            <w:pPr>
              <w:ind w:left="420" w:firstLine="420" w:firstLineChars="200"/>
              <w:rPr>
                <w:rFonts w:hint="eastAsia" w:ascii="宋体" w:hAnsi="宋体"/>
                <w:szCs w:val="21"/>
              </w:rPr>
            </w:pPr>
            <w:r>
              <w:rPr>
                <w:rFonts w:hint="eastAsia" w:ascii="宋体" w:hAnsi="宋体"/>
                <w:szCs w:val="21"/>
              </w:rPr>
              <w:t xml:space="preserve">.角色扮演：根据给定的销售场景进行诊断对话创建构想 </w:t>
            </w:r>
          </w:p>
          <w:p>
            <w:pPr>
              <w:ind w:left="420" w:firstLine="420" w:firstLineChars="200"/>
              <w:rPr>
                <w:rFonts w:ascii="宋体" w:hAnsi="宋体"/>
                <w:szCs w:val="21"/>
              </w:rPr>
            </w:pPr>
          </w:p>
          <w:p>
            <w:pPr>
              <w:widowControl/>
              <w:rPr>
                <w:rFonts w:ascii="宋体" w:hAnsi="宋体" w:cs="宋体"/>
                <w:b/>
                <w:color w:val="000000"/>
                <w:kern w:val="0"/>
                <w:szCs w:val="21"/>
              </w:rPr>
            </w:pPr>
            <w:r>
              <w:rPr>
                <w:rFonts w:hint="eastAsia" w:ascii="宋体" w:hAnsi="宋体" w:cs="宋体"/>
                <w:b/>
                <w:color w:val="000000"/>
                <w:kern w:val="0"/>
                <w:sz w:val="28"/>
                <w:szCs w:val="28"/>
              </w:rPr>
              <w:t>模块2.2：诊断及创建构想（续）</w:t>
            </w:r>
          </w:p>
          <w:p>
            <w:pPr>
              <w:widowControl/>
              <w:jc w:val="left"/>
              <w:rPr>
                <w:rFonts w:ascii="宋体" w:hAnsi="宋体" w:cs="宋体"/>
                <w:color w:val="000000"/>
                <w:kern w:val="0"/>
                <w:szCs w:val="21"/>
              </w:rPr>
            </w:pPr>
            <w:r>
              <w:rPr>
                <w:rFonts w:hint="eastAsia" w:ascii="宋体" w:hAnsi="宋体" w:cs="宋体"/>
                <w:color w:val="000000"/>
                <w:kern w:val="0"/>
                <w:szCs w:val="21"/>
              </w:rPr>
              <w:t xml:space="preserve">目标： </w:t>
            </w:r>
          </w:p>
          <w:p>
            <w:pPr>
              <w:pStyle w:val="38"/>
              <w:numPr>
                <w:ilvl w:val="0"/>
                <w:numId w:val="8"/>
              </w:numPr>
              <w:ind w:firstLineChars="0"/>
              <w:rPr>
                <w:rFonts w:ascii="宋体" w:hAnsi="宋体"/>
                <w:szCs w:val="21"/>
              </w:rPr>
            </w:pPr>
            <w:r>
              <w:rPr>
                <w:rFonts w:hint="eastAsia" w:ascii="宋体" w:hAnsi="宋体"/>
                <w:szCs w:val="21"/>
              </w:rPr>
              <w:t xml:space="preserve">清晰描述帮助客户建立销售提供的解决方案之价值量化技术 </w:t>
            </w:r>
          </w:p>
          <w:p>
            <w:pPr>
              <w:pStyle w:val="38"/>
              <w:numPr>
                <w:ilvl w:val="0"/>
                <w:numId w:val="8"/>
              </w:numPr>
              <w:ind w:firstLineChars="0"/>
              <w:rPr>
                <w:rFonts w:ascii="宋体" w:hAnsi="宋体"/>
                <w:szCs w:val="21"/>
              </w:rPr>
            </w:pPr>
            <w:r>
              <w:rPr>
                <w:rFonts w:hint="eastAsia" w:ascii="宋体" w:hAnsi="宋体"/>
                <w:szCs w:val="21"/>
              </w:rPr>
              <w:t xml:space="preserve">使用下列工作辅助工具，诊断客户的业务问题，创建针对你的独特能力的购买构想： </w:t>
            </w:r>
          </w:p>
          <w:p>
            <w:pPr>
              <w:ind w:firstLine="840" w:firstLineChars="400"/>
              <w:rPr>
                <w:rFonts w:ascii="宋体" w:hAnsi="宋体"/>
                <w:szCs w:val="21"/>
              </w:rPr>
            </w:pPr>
            <w:r>
              <w:rPr>
                <w:rFonts w:hint="eastAsia" w:ascii="宋体" w:hAnsi="宋体"/>
                <w:szCs w:val="21"/>
              </w:rPr>
              <w:t>. “平衡轮构想模型”创建构想</w:t>
            </w:r>
          </w:p>
          <w:p>
            <w:pPr>
              <w:ind w:firstLine="840" w:firstLineChars="400"/>
              <w:rPr>
                <w:rFonts w:ascii="宋体" w:hAnsi="宋体"/>
                <w:szCs w:val="21"/>
              </w:rPr>
            </w:pPr>
            <w:r>
              <w:rPr>
                <w:rFonts w:hint="eastAsia" w:ascii="宋体" w:hAnsi="宋体"/>
                <w:szCs w:val="21"/>
              </w:rPr>
              <w:t xml:space="preserve">.痛苦表 </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 xml:space="preserve">练习： </w:t>
            </w:r>
          </w:p>
          <w:p>
            <w:pPr>
              <w:ind w:left="420" w:firstLine="420" w:firstLineChars="200"/>
              <w:rPr>
                <w:rFonts w:ascii="宋体" w:hAnsi="宋体"/>
                <w:szCs w:val="21"/>
              </w:rPr>
            </w:pPr>
            <w:r>
              <w:rPr>
                <w:rFonts w:hint="eastAsia" w:ascii="宋体" w:hAnsi="宋体"/>
                <w:szCs w:val="21"/>
              </w:rPr>
              <w:t xml:space="preserve">.设计“深入挖掘”问题，用来建立量化的价值 </w:t>
            </w:r>
          </w:p>
          <w:p>
            <w:pPr>
              <w:ind w:left="945" w:leftChars="400" w:hanging="105" w:hangingChars="50"/>
              <w:rPr>
                <w:rFonts w:hint="eastAsia" w:ascii="宋体" w:hAnsi="宋体" w:cs="宋体"/>
                <w:color w:val="000000"/>
                <w:kern w:val="0"/>
                <w:szCs w:val="21"/>
              </w:rPr>
            </w:pPr>
            <w:r>
              <w:rPr>
                <w:rFonts w:hint="eastAsia" w:ascii="宋体" w:hAnsi="宋体"/>
                <w:szCs w:val="21"/>
              </w:rPr>
              <w:t>.角色扮演；根据给定的销售场景进行诊断对话:</w:t>
            </w:r>
            <w:r>
              <w:rPr>
                <w:rFonts w:hint="eastAsia" w:ascii="宋体" w:hAnsi="宋体" w:cs="宋体"/>
                <w:color w:val="000000"/>
                <w:kern w:val="0"/>
                <w:szCs w:val="21"/>
              </w:rPr>
              <w:t xml:space="preserve">创建构想（增强版） </w:t>
            </w:r>
          </w:p>
          <w:p>
            <w:pPr>
              <w:ind w:left="945" w:leftChars="400" w:hanging="105" w:hangingChars="50"/>
              <w:rPr>
                <w:rFonts w:ascii="宋体" w:hAnsi="宋体" w:cs="宋体"/>
                <w:color w:val="000000"/>
                <w:kern w:val="0"/>
                <w:szCs w:val="21"/>
              </w:rPr>
            </w:pPr>
          </w:p>
          <w:p>
            <w:pPr>
              <w:widowControl/>
              <w:rPr>
                <w:rFonts w:ascii="宋体" w:hAnsi="宋体" w:cs="宋体"/>
                <w:b/>
                <w:color w:val="000000"/>
                <w:kern w:val="0"/>
                <w:sz w:val="28"/>
                <w:szCs w:val="28"/>
              </w:rPr>
            </w:pPr>
            <w:r>
              <w:rPr>
                <w:rFonts w:hint="eastAsia" w:ascii="宋体" w:hAnsi="宋体" w:cs="宋体"/>
                <w:b/>
                <w:color w:val="000000"/>
                <w:kern w:val="0"/>
                <w:sz w:val="28"/>
                <w:szCs w:val="28"/>
              </w:rPr>
              <w:t>模块2.3：买方/流程验证：“支持者”</w:t>
            </w:r>
          </w:p>
          <w:p>
            <w:pPr>
              <w:widowControl/>
              <w:jc w:val="left"/>
              <w:rPr>
                <w:rFonts w:ascii="宋体" w:hAnsi="宋体" w:cs="宋体"/>
                <w:color w:val="000000"/>
                <w:kern w:val="0"/>
                <w:szCs w:val="21"/>
              </w:rPr>
            </w:pPr>
            <w:r>
              <w:rPr>
                <w:rFonts w:hint="eastAsia" w:ascii="宋体" w:hAnsi="宋体" w:cs="宋体"/>
                <w:color w:val="000000"/>
                <w:kern w:val="0"/>
                <w:szCs w:val="21"/>
              </w:rPr>
              <w:t xml:space="preserve">目标： </w:t>
            </w:r>
          </w:p>
          <w:p>
            <w:pPr>
              <w:pStyle w:val="38"/>
              <w:numPr>
                <w:ilvl w:val="0"/>
                <w:numId w:val="9"/>
              </w:numPr>
              <w:ind w:firstLineChars="0"/>
              <w:rPr>
                <w:rFonts w:ascii="宋体" w:hAnsi="宋体"/>
                <w:szCs w:val="21"/>
              </w:rPr>
            </w:pPr>
            <w:r>
              <w:rPr>
                <w:rFonts w:hint="eastAsia" w:ascii="宋体" w:hAnsi="宋体"/>
                <w:szCs w:val="21"/>
              </w:rPr>
              <w:t xml:space="preserve">清晰描述用来确定潜在客户决策能力的技术 </w:t>
            </w:r>
          </w:p>
          <w:p>
            <w:pPr>
              <w:pStyle w:val="38"/>
              <w:numPr>
                <w:ilvl w:val="0"/>
                <w:numId w:val="9"/>
              </w:numPr>
              <w:ind w:firstLineChars="0"/>
              <w:rPr>
                <w:rFonts w:ascii="宋体" w:hAnsi="宋体"/>
                <w:szCs w:val="21"/>
              </w:rPr>
            </w:pPr>
            <w:r>
              <w:rPr>
                <w:rFonts w:hint="eastAsia" w:ascii="宋体" w:hAnsi="宋体"/>
                <w:szCs w:val="21"/>
              </w:rPr>
              <w:t xml:space="preserve">清晰描述协商后续步骤及接触客户权力人士的技术 </w:t>
            </w:r>
          </w:p>
          <w:p>
            <w:pPr>
              <w:pStyle w:val="38"/>
              <w:numPr>
                <w:ilvl w:val="0"/>
                <w:numId w:val="9"/>
              </w:numPr>
              <w:ind w:firstLineChars="0"/>
              <w:rPr>
                <w:rFonts w:ascii="宋体" w:hAnsi="宋体"/>
                <w:szCs w:val="21"/>
              </w:rPr>
            </w:pPr>
            <w:r>
              <w:rPr>
                <w:rFonts w:hint="eastAsia" w:ascii="宋体" w:hAnsi="宋体"/>
                <w:szCs w:val="21"/>
              </w:rPr>
              <w:t xml:space="preserve">掌握跟进的方法，有效检验销售机会和潜在客户的支持力度 </w:t>
            </w:r>
          </w:p>
          <w:p>
            <w:pPr>
              <w:pStyle w:val="38"/>
              <w:numPr>
                <w:ilvl w:val="0"/>
                <w:numId w:val="9"/>
              </w:numPr>
              <w:ind w:firstLineChars="0"/>
              <w:rPr>
                <w:rFonts w:ascii="宋体" w:hAnsi="宋体"/>
                <w:szCs w:val="21"/>
              </w:rPr>
            </w:pPr>
            <w:r>
              <w:rPr>
                <w:rFonts w:hint="eastAsia" w:ascii="宋体" w:hAnsi="宋体"/>
                <w:szCs w:val="21"/>
              </w:rPr>
              <w:t xml:space="preserve">使用下列工作辅助工具，对买方和流程进行验证： </w:t>
            </w:r>
          </w:p>
          <w:p>
            <w:pPr>
              <w:ind w:firstLine="840" w:firstLineChars="400"/>
              <w:rPr>
                <w:rFonts w:ascii="宋体" w:hAnsi="宋体"/>
                <w:szCs w:val="21"/>
              </w:rPr>
            </w:pPr>
            <w:r>
              <w:rPr>
                <w:rFonts w:hint="eastAsia" w:ascii="宋体" w:hAnsi="宋体"/>
                <w:szCs w:val="21"/>
              </w:rPr>
              <w:t xml:space="preserve">.战略关联提示卡 </w:t>
            </w:r>
          </w:p>
          <w:p>
            <w:pPr>
              <w:ind w:firstLine="840" w:firstLineChars="400"/>
              <w:rPr>
                <w:rFonts w:hint="eastAsia" w:ascii="宋体" w:hAnsi="宋体"/>
                <w:szCs w:val="21"/>
              </w:rPr>
            </w:pPr>
            <w:r>
              <w:rPr>
                <w:rFonts w:hint="eastAsia" w:ascii="宋体" w:hAnsi="宋体"/>
                <w:szCs w:val="21"/>
              </w:rPr>
              <w:t xml:space="preserve">.支持者信件 </w:t>
            </w:r>
          </w:p>
          <w:p>
            <w:pPr>
              <w:ind w:firstLine="840" w:firstLineChars="400"/>
              <w:rPr>
                <w:rFonts w:ascii="宋体" w:hAnsi="宋体"/>
                <w:szCs w:val="21"/>
              </w:rPr>
            </w:pPr>
          </w:p>
          <w:p>
            <w:pPr>
              <w:widowControl/>
              <w:rPr>
                <w:rFonts w:ascii="宋体" w:hAnsi="宋体" w:cs="宋体"/>
                <w:b/>
                <w:color w:val="000000"/>
                <w:kern w:val="0"/>
                <w:sz w:val="28"/>
                <w:szCs w:val="28"/>
              </w:rPr>
            </w:pPr>
            <w:r>
              <w:rPr>
                <w:rFonts w:hint="eastAsia" w:ascii="宋体" w:hAnsi="宋体" w:cs="宋体"/>
                <w:b/>
                <w:color w:val="000000"/>
                <w:kern w:val="0"/>
                <w:sz w:val="28"/>
                <w:szCs w:val="28"/>
              </w:rPr>
              <w:t>模块2.4：买方/流程验证：“权力支持者”</w:t>
            </w:r>
          </w:p>
          <w:p>
            <w:pPr>
              <w:widowControl/>
              <w:jc w:val="left"/>
              <w:rPr>
                <w:rFonts w:ascii="宋体" w:hAnsi="宋体" w:cs="宋体"/>
                <w:color w:val="000000"/>
                <w:kern w:val="0"/>
                <w:szCs w:val="21"/>
              </w:rPr>
            </w:pPr>
            <w:r>
              <w:rPr>
                <w:rFonts w:hint="eastAsia" w:ascii="宋体" w:hAnsi="宋体" w:cs="宋体"/>
                <w:color w:val="000000"/>
                <w:kern w:val="0"/>
                <w:szCs w:val="21"/>
              </w:rPr>
              <w:t xml:space="preserve">目标： </w:t>
            </w:r>
          </w:p>
          <w:p>
            <w:pPr>
              <w:pStyle w:val="38"/>
              <w:numPr>
                <w:ilvl w:val="0"/>
                <w:numId w:val="10"/>
              </w:numPr>
              <w:ind w:firstLineChars="0"/>
              <w:rPr>
                <w:rFonts w:ascii="宋体" w:hAnsi="宋体"/>
                <w:szCs w:val="21"/>
              </w:rPr>
            </w:pPr>
            <w:r>
              <w:rPr>
                <w:rFonts w:hint="eastAsia" w:ascii="宋体" w:hAnsi="宋体"/>
                <w:szCs w:val="21"/>
              </w:rPr>
              <w:t xml:space="preserve">描述针对客户高层进行诊断对话的特点 </w:t>
            </w:r>
          </w:p>
          <w:p>
            <w:pPr>
              <w:pStyle w:val="38"/>
              <w:numPr>
                <w:ilvl w:val="0"/>
                <w:numId w:val="10"/>
              </w:numPr>
              <w:ind w:firstLineChars="0"/>
              <w:rPr>
                <w:rFonts w:ascii="宋体" w:hAnsi="宋体"/>
                <w:szCs w:val="21"/>
              </w:rPr>
            </w:pPr>
            <w:r>
              <w:rPr>
                <w:rFonts w:hint="eastAsia" w:ascii="宋体" w:hAnsi="宋体"/>
                <w:szCs w:val="21"/>
              </w:rPr>
              <w:t xml:space="preserve">清晰描述用来确保客户购买决策能力的技术 </w:t>
            </w:r>
          </w:p>
          <w:p>
            <w:pPr>
              <w:pStyle w:val="38"/>
              <w:numPr>
                <w:ilvl w:val="0"/>
                <w:numId w:val="10"/>
              </w:numPr>
              <w:ind w:firstLineChars="0"/>
              <w:rPr>
                <w:rFonts w:ascii="宋体" w:hAnsi="宋体"/>
                <w:szCs w:val="21"/>
              </w:rPr>
            </w:pPr>
            <w:r>
              <w:rPr>
                <w:rFonts w:hint="eastAsia" w:ascii="宋体" w:hAnsi="宋体"/>
                <w:szCs w:val="21"/>
              </w:rPr>
              <w:t xml:space="preserve">清晰描述发掘/定义客户评估和购买决策标准 </w:t>
            </w:r>
          </w:p>
          <w:p>
            <w:pPr>
              <w:pStyle w:val="38"/>
              <w:numPr>
                <w:ilvl w:val="0"/>
                <w:numId w:val="10"/>
              </w:numPr>
              <w:ind w:firstLineChars="0"/>
              <w:rPr>
                <w:rFonts w:ascii="宋体" w:hAnsi="宋体"/>
                <w:szCs w:val="21"/>
              </w:rPr>
            </w:pPr>
            <w:r>
              <w:rPr>
                <w:rFonts w:hint="eastAsia" w:ascii="宋体" w:hAnsi="宋体"/>
                <w:szCs w:val="21"/>
              </w:rPr>
              <w:t xml:space="preserve">掌握跟进的方法，有效检验销售机会和潜在客户的购买能力 </w:t>
            </w:r>
          </w:p>
          <w:p>
            <w:pPr>
              <w:pStyle w:val="38"/>
              <w:numPr>
                <w:ilvl w:val="0"/>
                <w:numId w:val="10"/>
              </w:numPr>
              <w:ind w:firstLineChars="0"/>
              <w:rPr>
                <w:rFonts w:ascii="宋体" w:hAnsi="宋体"/>
                <w:szCs w:val="21"/>
              </w:rPr>
            </w:pPr>
            <w:r>
              <w:rPr>
                <w:rFonts w:hint="eastAsia" w:ascii="宋体" w:hAnsi="宋体"/>
                <w:szCs w:val="21"/>
              </w:rPr>
              <w:t xml:space="preserve">编制评估计划，用来影响和引导买方的评估方式 </w:t>
            </w:r>
          </w:p>
          <w:p>
            <w:pPr>
              <w:pStyle w:val="38"/>
              <w:numPr>
                <w:ilvl w:val="0"/>
                <w:numId w:val="10"/>
              </w:numPr>
              <w:ind w:firstLineChars="0"/>
              <w:rPr>
                <w:rFonts w:ascii="宋体" w:hAnsi="宋体"/>
                <w:szCs w:val="21"/>
              </w:rPr>
            </w:pPr>
            <w:r>
              <w:rPr>
                <w:rFonts w:hint="eastAsia" w:ascii="宋体" w:hAnsi="宋体"/>
                <w:szCs w:val="21"/>
              </w:rPr>
              <w:t xml:space="preserve">描述评估计划中应该包括的关键内容 </w:t>
            </w:r>
          </w:p>
          <w:p>
            <w:pPr>
              <w:pStyle w:val="38"/>
              <w:numPr>
                <w:ilvl w:val="0"/>
                <w:numId w:val="10"/>
              </w:numPr>
              <w:ind w:firstLineChars="0"/>
              <w:rPr>
                <w:rFonts w:ascii="宋体" w:hAnsi="宋体"/>
                <w:szCs w:val="21"/>
              </w:rPr>
            </w:pPr>
            <w:r>
              <w:rPr>
                <w:rFonts w:hint="eastAsia" w:ascii="宋体" w:hAnsi="宋体"/>
                <w:szCs w:val="21"/>
              </w:rPr>
              <w:t xml:space="preserve">使用下列工作辅助工具，对买方和流程进行验证： </w:t>
            </w:r>
          </w:p>
          <w:p>
            <w:pPr>
              <w:ind w:left="420" w:firstLine="420" w:firstLineChars="200"/>
              <w:rPr>
                <w:rFonts w:ascii="宋体" w:hAnsi="宋体"/>
                <w:szCs w:val="21"/>
              </w:rPr>
            </w:pPr>
            <w:r>
              <w:rPr>
                <w:rFonts w:hint="eastAsia" w:ascii="宋体" w:hAnsi="宋体"/>
                <w:szCs w:val="21"/>
              </w:rPr>
              <w:t xml:space="preserve">.战略关联提示卡 </w:t>
            </w:r>
          </w:p>
          <w:p>
            <w:pPr>
              <w:ind w:left="420" w:firstLine="420" w:firstLineChars="200"/>
              <w:rPr>
                <w:rFonts w:ascii="宋体" w:hAnsi="宋体"/>
                <w:szCs w:val="21"/>
              </w:rPr>
            </w:pPr>
            <w:r>
              <w:rPr>
                <w:rFonts w:hint="eastAsia" w:ascii="宋体" w:hAnsi="宋体"/>
                <w:szCs w:val="21"/>
              </w:rPr>
              <w:t xml:space="preserve">.权力支持者信件 </w:t>
            </w:r>
          </w:p>
          <w:p>
            <w:pPr>
              <w:ind w:left="420" w:firstLine="420" w:firstLineChars="200"/>
              <w:rPr>
                <w:rFonts w:hint="eastAsia" w:ascii="宋体" w:hAnsi="宋体"/>
                <w:szCs w:val="21"/>
              </w:rPr>
            </w:pPr>
            <w:r>
              <w:rPr>
                <w:rFonts w:hint="eastAsia" w:ascii="宋体" w:hAnsi="宋体"/>
                <w:szCs w:val="21"/>
              </w:rPr>
              <w:t xml:space="preserve">.评估计划 </w:t>
            </w:r>
          </w:p>
          <w:p>
            <w:pPr>
              <w:ind w:left="420" w:firstLine="420" w:firstLineChars="200"/>
              <w:rPr>
                <w:rFonts w:ascii="宋体" w:hAnsi="宋体"/>
                <w:szCs w:val="21"/>
              </w:rPr>
            </w:pPr>
          </w:p>
          <w:p>
            <w:pPr>
              <w:widowControl/>
              <w:rPr>
                <w:rFonts w:ascii="宋体" w:hAnsi="宋体" w:cs="宋体"/>
                <w:b/>
                <w:color w:val="000000"/>
                <w:kern w:val="0"/>
                <w:szCs w:val="21"/>
              </w:rPr>
            </w:pPr>
            <w:r>
              <w:rPr>
                <w:rFonts w:hint="eastAsia" w:ascii="宋体" w:hAnsi="宋体" w:cs="宋体"/>
                <w:b/>
                <w:color w:val="000000"/>
                <w:kern w:val="0"/>
                <w:sz w:val="28"/>
                <w:szCs w:val="28"/>
              </w:rPr>
              <w:t>模块2.5：评估计划的要素</w:t>
            </w:r>
          </w:p>
          <w:p>
            <w:pPr>
              <w:widowControl/>
              <w:jc w:val="left"/>
              <w:rPr>
                <w:rFonts w:ascii="宋体" w:hAnsi="宋体" w:cs="宋体"/>
                <w:color w:val="000000"/>
                <w:kern w:val="0"/>
                <w:szCs w:val="21"/>
              </w:rPr>
            </w:pPr>
            <w:r>
              <w:rPr>
                <w:rFonts w:hint="eastAsia" w:ascii="宋体" w:hAnsi="宋体" w:cs="宋体"/>
                <w:color w:val="000000"/>
                <w:kern w:val="0"/>
                <w:szCs w:val="21"/>
              </w:rPr>
              <w:t xml:space="preserve">目标： </w:t>
            </w:r>
          </w:p>
          <w:p>
            <w:pPr>
              <w:pStyle w:val="38"/>
              <w:numPr>
                <w:ilvl w:val="0"/>
                <w:numId w:val="11"/>
              </w:numPr>
              <w:ind w:firstLineChars="0"/>
              <w:rPr>
                <w:rFonts w:ascii="宋体" w:hAnsi="宋体"/>
                <w:szCs w:val="21"/>
              </w:rPr>
            </w:pPr>
            <w:r>
              <w:rPr>
                <w:rFonts w:hint="eastAsia" w:ascii="宋体" w:hAnsi="宋体"/>
                <w:szCs w:val="21"/>
              </w:rPr>
              <w:t xml:space="preserve">有效地管理买方的评估流程 </w:t>
            </w:r>
          </w:p>
          <w:p>
            <w:pPr>
              <w:pStyle w:val="38"/>
              <w:numPr>
                <w:ilvl w:val="0"/>
                <w:numId w:val="11"/>
              </w:numPr>
              <w:ind w:firstLineChars="0"/>
              <w:rPr>
                <w:rFonts w:ascii="宋体" w:hAnsi="宋体"/>
                <w:szCs w:val="21"/>
              </w:rPr>
            </w:pPr>
            <w:r>
              <w:rPr>
                <w:rFonts w:hint="eastAsia" w:ascii="宋体" w:hAnsi="宋体"/>
                <w:szCs w:val="21"/>
              </w:rPr>
              <w:t xml:space="preserve">向权力支持者报告评估计划的执行进展 </w:t>
            </w:r>
          </w:p>
          <w:p>
            <w:pPr>
              <w:pStyle w:val="38"/>
              <w:numPr>
                <w:ilvl w:val="0"/>
                <w:numId w:val="11"/>
              </w:numPr>
              <w:ind w:firstLineChars="0"/>
              <w:rPr>
                <w:rFonts w:ascii="宋体" w:hAnsi="宋体"/>
                <w:szCs w:val="21"/>
              </w:rPr>
            </w:pPr>
            <w:r>
              <w:rPr>
                <w:rFonts w:hint="eastAsia" w:ascii="宋体" w:hAnsi="宋体"/>
                <w:szCs w:val="21"/>
              </w:rPr>
              <w:t xml:space="preserve">掌握价值分析和调整的方法 </w:t>
            </w:r>
          </w:p>
          <w:p>
            <w:pPr>
              <w:pStyle w:val="38"/>
              <w:numPr>
                <w:ilvl w:val="0"/>
                <w:numId w:val="11"/>
              </w:numPr>
              <w:ind w:firstLineChars="0"/>
              <w:rPr>
                <w:rFonts w:ascii="宋体" w:hAnsi="宋体"/>
                <w:szCs w:val="21"/>
              </w:rPr>
            </w:pPr>
            <w:r>
              <w:rPr>
                <w:rFonts w:hint="eastAsia" w:ascii="宋体" w:hAnsi="宋体"/>
                <w:szCs w:val="21"/>
              </w:rPr>
              <w:t xml:space="preserve">描述建立和衡量客户成功标准的好处 </w:t>
            </w:r>
          </w:p>
          <w:p>
            <w:pPr>
              <w:pStyle w:val="38"/>
              <w:numPr>
                <w:ilvl w:val="0"/>
                <w:numId w:val="11"/>
              </w:numPr>
              <w:ind w:firstLineChars="0"/>
              <w:rPr>
                <w:rFonts w:ascii="宋体" w:hAnsi="宋体"/>
                <w:szCs w:val="21"/>
              </w:rPr>
            </w:pPr>
            <w:r>
              <w:rPr>
                <w:rFonts w:hint="eastAsia" w:ascii="宋体" w:hAnsi="宋体"/>
                <w:szCs w:val="21"/>
              </w:rPr>
              <w:t xml:space="preserve">使用下列工作辅助工具来构造和执行评估计划的主要元素： </w:t>
            </w:r>
          </w:p>
          <w:p>
            <w:pPr>
              <w:ind w:left="420" w:firstLine="315" w:firstLineChars="150"/>
              <w:rPr>
                <w:rFonts w:ascii="宋体" w:hAnsi="宋体"/>
                <w:szCs w:val="21"/>
              </w:rPr>
            </w:pPr>
            <w:r>
              <w:rPr>
                <w:rFonts w:hint="eastAsia" w:ascii="宋体" w:hAnsi="宋体"/>
                <w:szCs w:val="21"/>
              </w:rPr>
              <w:t xml:space="preserve">.是否继续步骤完成信件 </w:t>
            </w:r>
          </w:p>
          <w:p>
            <w:pPr>
              <w:ind w:left="420" w:firstLine="315" w:firstLineChars="150"/>
              <w:rPr>
                <w:rFonts w:ascii="宋体" w:hAnsi="宋体"/>
                <w:szCs w:val="21"/>
              </w:rPr>
            </w:pPr>
            <w:r>
              <w:rPr>
                <w:rFonts w:hint="eastAsia" w:ascii="宋体" w:hAnsi="宋体"/>
                <w:szCs w:val="21"/>
              </w:rPr>
              <w:t xml:space="preserve">.价值分析/价值调整 </w:t>
            </w:r>
          </w:p>
          <w:p>
            <w:pPr>
              <w:ind w:left="420" w:firstLine="315" w:firstLineChars="150"/>
              <w:rPr>
                <w:rFonts w:ascii="宋体" w:hAnsi="宋体"/>
                <w:szCs w:val="21"/>
              </w:rPr>
            </w:pPr>
            <w:r>
              <w:rPr>
                <w:rFonts w:hint="eastAsia" w:ascii="宋体" w:hAnsi="宋体"/>
                <w:szCs w:val="21"/>
              </w:rPr>
              <w:t xml:space="preserve">.成功标准 </w:t>
            </w:r>
          </w:p>
          <w:p>
            <w:pPr>
              <w:widowControl/>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 xml:space="preserve">练习： 设计评估计划 </w:t>
            </w:r>
          </w:p>
          <w:p>
            <w:pPr>
              <w:widowControl/>
              <w:ind w:firstLine="420" w:firstLineChars="200"/>
              <w:jc w:val="left"/>
              <w:rPr>
                <w:rFonts w:ascii="宋体" w:hAnsi="宋体" w:cs="宋体"/>
                <w:color w:val="000000"/>
                <w:kern w:val="0"/>
                <w:szCs w:val="21"/>
              </w:rPr>
            </w:pPr>
          </w:p>
          <w:p>
            <w:pPr>
              <w:widowControl/>
              <w:rPr>
                <w:rFonts w:ascii="宋体" w:hAnsi="宋体" w:cs="宋体"/>
                <w:b/>
                <w:color w:val="000000"/>
                <w:kern w:val="0"/>
                <w:sz w:val="28"/>
                <w:szCs w:val="28"/>
              </w:rPr>
            </w:pPr>
            <w:r>
              <w:rPr>
                <w:rFonts w:hint="eastAsia" w:ascii="宋体" w:hAnsi="宋体" w:cs="宋体"/>
                <w:b/>
                <w:color w:val="000000"/>
                <w:kern w:val="0"/>
                <w:sz w:val="28"/>
                <w:szCs w:val="28"/>
              </w:rPr>
              <w:t>模块2.6：活跃的销售机会</w:t>
            </w:r>
          </w:p>
          <w:p>
            <w:pPr>
              <w:widowControl/>
              <w:jc w:val="left"/>
              <w:rPr>
                <w:rFonts w:ascii="宋体" w:hAnsi="宋体" w:cs="宋体"/>
                <w:color w:val="000000"/>
                <w:kern w:val="0"/>
                <w:szCs w:val="21"/>
              </w:rPr>
            </w:pPr>
            <w:r>
              <w:rPr>
                <w:rFonts w:hint="eastAsia" w:ascii="宋体" w:hAnsi="宋体" w:cs="宋体"/>
                <w:color w:val="000000"/>
                <w:kern w:val="0"/>
                <w:szCs w:val="21"/>
              </w:rPr>
              <w:t xml:space="preserve">目标： </w:t>
            </w:r>
          </w:p>
          <w:p>
            <w:pPr>
              <w:pStyle w:val="38"/>
              <w:numPr>
                <w:ilvl w:val="0"/>
                <w:numId w:val="12"/>
              </w:numPr>
              <w:ind w:firstLineChars="0"/>
              <w:rPr>
                <w:rFonts w:ascii="宋体" w:hAnsi="宋体"/>
                <w:szCs w:val="21"/>
              </w:rPr>
            </w:pPr>
            <w:r>
              <w:rPr>
                <w:rFonts w:hint="eastAsia" w:ascii="宋体" w:hAnsi="宋体"/>
                <w:szCs w:val="21"/>
              </w:rPr>
              <w:t xml:space="preserve">对活跃的机会进行客观评价，决定是否值得跟进 </w:t>
            </w:r>
          </w:p>
          <w:p>
            <w:pPr>
              <w:pStyle w:val="38"/>
              <w:numPr>
                <w:ilvl w:val="0"/>
                <w:numId w:val="12"/>
              </w:numPr>
              <w:ind w:firstLineChars="0"/>
              <w:rPr>
                <w:rFonts w:ascii="宋体" w:hAnsi="宋体"/>
                <w:szCs w:val="21"/>
              </w:rPr>
            </w:pPr>
            <w:r>
              <w:rPr>
                <w:rFonts w:hint="eastAsia" w:ascii="宋体" w:hAnsi="宋体"/>
                <w:szCs w:val="21"/>
              </w:rPr>
              <w:t xml:space="preserve">描述面对活跃销售机会可以考虑的四种竞争策略 </w:t>
            </w:r>
          </w:p>
          <w:p>
            <w:pPr>
              <w:pStyle w:val="38"/>
              <w:numPr>
                <w:ilvl w:val="0"/>
                <w:numId w:val="12"/>
              </w:numPr>
              <w:ind w:firstLineChars="0"/>
              <w:rPr>
                <w:rFonts w:ascii="宋体" w:hAnsi="宋体"/>
                <w:szCs w:val="21"/>
              </w:rPr>
            </w:pPr>
            <w:r>
              <w:rPr>
                <w:rFonts w:hint="eastAsia" w:ascii="宋体" w:hAnsi="宋体"/>
                <w:szCs w:val="21"/>
              </w:rPr>
              <w:t xml:space="preserve">改变客户已有的购买构想 </w:t>
            </w:r>
          </w:p>
          <w:p>
            <w:pPr>
              <w:pStyle w:val="38"/>
              <w:numPr>
                <w:ilvl w:val="0"/>
                <w:numId w:val="12"/>
              </w:numPr>
              <w:ind w:firstLineChars="0"/>
              <w:rPr>
                <w:rFonts w:ascii="宋体" w:hAnsi="宋体"/>
                <w:szCs w:val="21"/>
              </w:rPr>
            </w:pPr>
            <w:r>
              <w:rPr>
                <w:rFonts w:hint="eastAsia" w:ascii="宋体" w:hAnsi="宋体"/>
                <w:szCs w:val="21"/>
              </w:rPr>
              <w:t xml:space="preserve">使用下列工作辅助工具来处理活跃的销售机会： </w:t>
            </w:r>
          </w:p>
          <w:p>
            <w:pPr>
              <w:ind w:left="420" w:firstLine="420" w:firstLineChars="200"/>
              <w:rPr>
                <w:rFonts w:ascii="宋体" w:hAnsi="宋体"/>
                <w:szCs w:val="21"/>
              </w:rPr>
            </w:pPr>
            <w:r>
              <w:rPr>
                <w:rFonts w:hint="eastAsia" w:ascii="宋体" w:hAnsi="宋体"/>
                <w:szCs w:val="21"/>
              </w:rPr>
              <w:t xml:space="preserve">.机会评估工作表 </w:t>
            </w:r>
          </w:p>
          <w:p>
            <w:pPr>
              <w:ind w:left="420" w:firstLine="420" w:firstLineChars="200"/>
              <w:rPr>
                <w:rFonts w:ascii="宋体" w:hAnsi="宋体"/>
                <w:szCs w:val="21"/>
              </w:rPr>
            </w:pPr>
            <w:r>
              <w:rPr>
                <w:rFonts w:hint="eastAsia" w:ascii="宋体" w:hAnsi="宋体"/>
                <w:szCs w:val="21"/>
              </w:rPr>
              <w:t xml:space="preserve">.竞争策略选择器 </w:t>
            </w:r>
          </w:p>
          <w:p>
            <w:pPr>
              <w:ind w:left="420" w:firstLine="420" w:firstLineChars="200"/>
              <w:rPr>
                <w:rFonts w:ascii="宋体" w:hAnsi="宋体"/>
                <w:szCs w:val="21"/>
              </w:rPr>
            </w:pPr>
            <w:r>
              <w:rPr>
                <w:rFonts w:hint="eastAsia" w:ascii="宋体" w:hAnsi="宋体"/>
                <w:szCs w:val="21"/>
              </w:rPr>
              <w:t xml:space="preserve">. “平衡轮构想模型”创建购买构想（构想重塑） </w:t>
            </w:r>
          </w:p>
          <w:p>
            <w:pPr>
              <w:ind w:left="420" w:firstLine="420" w:firstLineChars="200"/>
              <w:rPr>
                <w:rFonts w:ascii="宋体" w:hAnsi="宋体"/>
                <w:szCs w:val="21"/>
              </w:rPr>
            </w:pPr>
            <w:r>
              <w:rPr>
                <w:rFonts w:hint="eastAsia" w:ascii="宋体" w:hAnsi="宋体"/>
                <w:szCs w:val="21"/>
              </w:rPr>
              <w:t xml:space="preserve">.痛苦表 </w:t>
            </w:r>
          </w:p>
          <w:p>
            <w:pPr>
              <w:ind w:left="420" w:firstLine="420" w:firstLineChars="200"/>
              <w:rPr>
                <w:rFonts w:ascii="宋体" w:hAnsi="宋体"/>
                <w:szCs w:val="21"/>
              </w:rPr>
            </w:pPr>
            <w:r>
              <w:rPr>
                <w:rFonts w:hint="eastAsia" w:ascii="宋体" w:hAnsi="宋体"/>
                <w:szCs w:val="21"/>
              </w:rPr>
              <w:t xml:space="preserve">.支持者信件（构想重塑） </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练习：</w:t>
            </w:r>
          </w:p>
          <w:p>
            <w:pPr>
              <w:widowControl/>
              <w:ind w:firstLine="840" w:firstLineChars="400"/>
              <w:jc w:val="left"/>
              <w:rPr>
                <w:rFonts w:hint="eastAsia" w:ascii="宋体" w:hAnsi="宋体" w:cs="宋体"/>
                <w:color w:val="000000"/>
                <w:kern w:val="0"/>
                <w:szCs w:val="21"/>
              </w:rPr>
            </w:pPr>
            <w:r>
              <w:rPr>
                <w:rFonts w:hint="eastAsia" w:ascii="宋体" w:hAnsi="宋体" w:cs="宋体"/>
                <w:color w:val="000000"/>
                <w:kern w:val="0"/>
                <w:szCs w:val="21"/>
              </w:rPr>
              <w:t>.进行角色演练，通过诊断性对话重塑客户的购买构想—构想重塑</w:t>
            </w:r>
          </w:p>
          <w:p>
            <w:pPr>
              <w:widowControl/>
              <w:ind w:firstLine="840" w:firstLineChars="400"/>
              <w:jc w:val="left"/>
              <w:rPr>
                <w:rFonts w:ascii="宋体" w:hAnsi="宋体" w:cs="宋体"/>
                <w:color w:val="000000"/>
                <w:kern w:val="0"/>
                <w:szCs w:val="21"/>
              </w:rPr>
            </w:pPr>
          </w:p>
          <w:p>
            <w:pPr>
              <w:widowControl/>
              <w:rPr>
                <w:rFonts w:ascii="宋体" w:hAnsi="宋体" w:cs="宋体"/>
                <w:b/>
                <w:color w:val="000000"/>
                <w:kern w:val="0"/>
                <w:sz w:val="28"/>
                <w:szCs w:val="28"/>
              </w:rPr>
            </w:pPr>
            <w:r>
              <w:rPr>
                <w:rFonts w:hint="eastAsia" w:ascii="宋体" w:hAnsi="宋体" w:cs="宋体"/>
                <w:b/>
                <w:color w:val="000000"/>
                <w:kern w:val="0"/>
                <w:sz w:val="28"/>
                <w:szCs w:val="28"/>
              </w:rPr>
              <w:t>模块2.7：达成协议</w:t>
            </w:r>
          </w:p>
          <w:p>
            <w:pPr>
              <w:widowControl/>
              <w:jc w:val="left"/>
              <w:rPr>
                <w:rFonts w:ascii="宋体" w:hAnsi="宋体" w:cs="宋体"/>
                <w:color w:val="000000"/>
                <w:kern w:val="0"/>
                <w:szCs w:val="21"/>
              </w:rPr>
            </w:pPr>
            <w:r>
              <w:rPr>
                <w:rFonts w:hint="eastAsia" w:ascii="宋体" w:hAnsi="宋体" w:cs="宋体"/>
                <w:color w:val="000000"/>
                <w:kern w:val="0"/>
                <w:szCs w:val="21"/>
              </w:rPr>
              <w:t xml:space="preserve">目标： </w:t>
            </w:r>
          </w:p>
          <w:p>
            <w:pPr>
              <w:pStyle w:val="38"/>
              <w:numPr>
                <w:ilvl w:val="0"/>
                <w:numId w:val="13"/>
              </w:numPr>
              <w:ind w:firstLineChars="0"/>
              <w:rPr>
                <w:rFonts w:ascii="宋体" w:hAnsi="宋体"/>
                <w:szCs w:val="21"/>
              </w:rPr>
            </w:pPr>
            <w:r>
              <w:rPr>
                <w:rFonts w:hint="eastAsia" w:ascii="宋体" w:hAnsi="宋体"/>
                <w:szCs w:val="21"/>
              </w:rPr>
              <w:t xml:space="preserve">描述谈判阶段买方的出发点和战术 </w:t>
            </w:r>
          </w:p>
          <w:p>
            <w:pPr>
              <w:pStyle w:val="38"/>
              <w:numPr>
                <w:ilvl w:val="0"/>
                <w:numId w:val="13"/>
              </w:numPr>
              <w:ind w:firstLineChars="0"/>
              <w:rPr>
                <w:rFonts w:ascii="宋体" w:hAnsi="宋体"/>
                <w:szCs w:val="21"/>
              </w:rPr>
            </w:pPr>
            <w:r>
              <w:rPr>
                <w:rFonts w:hint="eastAsia" w:ascii="宋体" w:hAnsi="宋体"/>
                <w:szCs w:val="21"/>
              </w:rPr>
              <w:t xml:space="preserve">在进行谈判之前进行有效的准备 </w:t>
            </w:r>
          </w:p>
          <w:p>
            <w:pPr>
              <w:pStyle w:val="38"/>
              <w:numPr>
                <w:ilvl w:val="0"/>
                <w:numId w:val="13"/>
              </w:numPr>
              <w:ind w:firstLineChars="0"/>
              <w:rPr>
                <w:rFonts w:ascii="宋体" w:hAnsi="宋体"/>
                <w:szCs w:val="21"/>
              </w:rPr>
            </w:pPr>
            <w:r>
              <w:rPr>
                <w:rFonts w:hint="eastAsia" w:ascii="宋体" w:hAnsi="宋体"/>
                <w:szCs w:val="21"/>
              </w:rPr>
              <w:t xml:space="preserve">使用下列工作辅助工具进行谈判的准备，和买方达成协议： </w:t>
            </w:r>
          </w:p>
          <w:p>
            <w:pPr>
              <w:ind w:left="420" w:firstLine="420" w:firstLineChars="200"/>
              <w:rPr>
                <w:rFonts w:ascii="宋体" w:hAnsi="宋体"/>
                <w:szCs w:val="21"/>
              </w:rPr>
            </w:pPr>
            <w:r>
              <w:rPr>
                <w:rFonts w:hint="eastAsia" w:ascii="宋体" w:hAnsi="宋体"/>
                <w:szCs w:val="21"/>
              </w:rPr>
              <w:t xml:space="preserve">.谈判工作表 </w:t>
            </w:r>
          </w:p>
          <w:p>
            <w:pPr>
              <w:ind w:left="420" w:firstLine="420" w:firstLineChars="200"/>
              <w:rPr>
                <w:rFonts w:hint="eastAsia" w:ascii="宋体" w:hAnsi="宋体"/>
                <w:szCs w:val="21"/>
              </w:rPr>
            </w:pPr>
            <w:r>
              <w:rPr>
                <w:rFonts w:hint="eastAsia" w:ascii="宋体" w:hAnsi="宋体"/>
                <w:szCs w:val="21"/>
              </w:rPr>
              <w:t xml:space="preserve">.得-让清单 </w:t>
            </w:r>
          </w:p>
          <w:p>
            <w:pPr>
              <w:ind w:left="420" w:firstLine="420" w:firstLineChars="200"/>
              <w:rPr>
                <w:rFonts w:ascii="宋体" w:hAnsi="宋体"/>
                <w:szCs w:val="21"/>
              </w:rPr>
            </w:pPr>
          </w:p>
          <w:p>
            <w:pPr>
              <w:rPr>
                <w:rFonts w:ascii="宋体" w:hAnsi="宋体"/>
                <w:sz w:val="18"/>
                <w:szCs w:val="18"/>
              </w:rPr>
            </w:pPr>
          </w:p>
        </w:tc>
        <w:tc>
          <w:tcPr>
            <w:tcW w:w="3529" w:type="dxa"/>
            <w:vMerge w:val="continue"/>
            <w:tcBorders>
              <w:left w:val="nil"/>
            </w:tcBorders>
            <w:shd w:val="clear" w:color="auto" w:fill="FF0000"/>
          </w:tcPr>
          <w:p>
            <w:pPr>
              <w:ind w:left="315" w:leftChars="150"/>
              <w:rPr>
                <w:color w:val="FFFFFF"/>
              </w:rPr>
            </w:pPr>
          </w:p>
        </w:tc>
      </w:tr>
    </w:tbl>
    <w:p>
      <w:pPr>
        <w:widowControl/>
        <w:jc w:val="left"/>
      </w:pPr>
    </w:p>
    <w:tbl>
      <w:tblPr>
        <w:tblStyle w:val="19"/>
        <w:tblpPr w:leftFromText="180" w:rightFromText="180" w:vertAnchor="page" w:horzAnchor="margin" w:tblpY="2791"/>
        <w:tblW w:w="1059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5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1" w:hRule="atLeast"/>
        </w:trPr>
        <w:tc>
          <w:tcPr>
            <w:tcW w:w="10598" w:type="dxa"/>
          </w:tcPr>
          <w:p>
            <w:pPr>
              <w:widowControl/>
              <w:jc w:val="left"/>
              <w:rPr>
                <w:rFonts w:hint="eastAsia"/>
              </w:rPr>
            </w:pPr>
          </w:p>
          <w:p>
            <w:pPr>
              <w:widowControl/>
              <w:jc w:val="left"/>
            </w:pPr>
          </w:p>
          <w:p>
            <w:pPr>
              <w:widowControl/>
              <w:jc w:val="left"/>
              <w:rPr>
                <w:rFonts w:eastAsiaTheme="minorEastAsia"/>
                <w:snapToGrid w:val="0"/>
                <w:color w:val="000000"/>
                <w:w w:val="0"/>
                <w:kern w:val="0"/>
                <w:sz w:val="0"/>
                <w:szCs w:val="0"/>
                <w:u w:color="000000"/>
                <w:shd w:val="clear" w:color="000000" w:fill="000000"/>
              </w:rPr>
            </w:pPr>
            <w:r>
              <w:pict>
                <v:rect id="文本框 22" o:spid="_x0000_s1067" o:spt="1" style="position:absolute;left:0pt;margin-left:170.3pt;margin-top:23.3pt;height:120.7pt;width:298.4pt;z-index:251658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">
                  <v:path/>
                  <v:fill on="f" focussize="0,0"/>
                  <v:stroke on="f"/>
                  <v:imagedata o:title=""/>
                  <o:lock v:ext="edit"/>
                  <v:textbox>
                    <w:txbxContent>
                      <w:p>
                        <w:pPr>
                          <w:rPr>
                            <w:rFonts w:hint="eastAsia" w:ascii="微软雅黑" w:hAnsi="微软雅黑" w:eastAsia="微软雅黑"/>
                            <w:b/>
                            <w:sz w:val="36"/>
                            <w:szCs w:val="22"/>
                          </w:rPr>
                        </w:pPr>
                        <w:r>
                          <w:rPr>
                            <w:rFonts w:hint="eastAsia" w:ascii="微软雅黑" w:hAnsi="微软雅黑" w:eastAsia="微软雅黑"/>
                            <w:b/>
                            <w:sz w:val="36"/>
                            <w:szCs w:val="22"/>
                          </w:rPr>
                          <w:t>邓志君</w:t>
                        </w:r>
                      </w:p>
                      <w:p>
                        <w:pPr>
                          <w:rPr>
                            <w:rFonts w:ascii="微软雅黑" w:hAnsi="微软雅黑" w:eastAsia="微软雅黑"/>
                            <w:b/>
                            <w:sz w:val="36"/>
                            <w:szCs w:val="22"/>
                          </w:rPr>
                        </w:pPr>
                        <w:r>
                          <w:rPr>
                            <w:rFonts w:hint="eastAsia" w:ascii="微软雅黑" w:hAnsi="微软雅黑" w:eastAsia="微软雅黑"/>
                            <w:b/>
                            <w:sz w:val="36"/>
                            <w:szCs w:val="22"/>
                          </w:rPr>
                          <w:t>曾任全球IT服务排名第二神州数码教育学院企业内训部主任</w:t>
                        </w:r>
                      </w:p>
                    </w:txbxContent>
                  </v:textbox>
                </v:rect>
              </w:pict>
            </w:r>
            <w:r>
              <w:rPr>
                <w:rFonts w:eastAsia="Times New Roman"/>
                <w:snapToGrid w:val="0"/>
                <w:color w:val="000000"/>
                <w:w w:val="0"/>
                <w:kern w:val="0"/>
                <w:sz w:val="0"/>
                <w:szCs w:val="0"/>
                <w:u w:color="000000"/>
                <w:shd w:val="clear" w:color="000000" w:fill="000000"/>
              </w:rPr>
              <w:t xml:space="preserve"> </w:t>
            </w:r>
            <w:r>
              <w:rPr>
                <w:rFonts w:hint="eastAsia"/>
              </w:rPr>
              <w:drawing>
                <wp:inline distT="0" distB="0" distL="0" distR="0">
                  <wp:extent cx="1948815" cy="2059305"/>
                  <wp:effectExtent l="38100" t="57150" r="32385" b="361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1962460" cy="2073629"/>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38" w:hRule="atLeast"/>
        </w:trPr>
        <w:tc>
          <w:tcPr>
            <w:tcW w:w="10598" w:type="dxa"/>
          </w:tcPr>
          <w:p>
            <w:pPr>
              <w:pStyle w:val="34"/>
              <w:spacing w:line="360" w:lineRule="auto"/>
              <w:ind w:firstLine="0" w:firstLineChars="0"/>
              <w:rPr>
                <w:rFonts w:ascii="微软雅黑" w:hAnsi="微软雅黑" w:eastAsia="微软雅黑"/>
                <w:b/>
                <w:sz w:val="32"/>
              </w:rPr>
            </w:pPr>
            <w:r>
              <w:rPr>
                <w:rFonts w:hint="eastAsia" w:ascii="微软雅黑" w:hAnsi="微软雅黑" w:eastAsia="微软雅黑"/>
                <w:b/>
                <w:sz w:val="32"/>
              </w:rPr>
              <w:t>资历背景</w:t>
            </w:r>
          </w:p>
          <w:p>
            <w:pPr>
              <w:pStyle w:val="34"/>
              <w:numPr>
                <w:ilvl w:val="0"/>
                <w:numId w:val="14"/>
              </w:numPr>
              <w:ind w:firstLineChars="0"/>
              <w:rPr>
                <w:rFonts w:hint="eastAsia"/>
              </w:rPr>
            </w:pPr>
            <w:r>
              <w:rPr>
                <w:rFonts w:hint="eastAsia"/>
              </w:rPr>
              <w:t>韩国专业体系训练的专业教练</w:t>
            </w:r>
          </w:p>
          <w:p>
            <w:pPr>
              <w:pStyle w:val="34"/>
              <w:numPr>
                <w:ilvl w:val="0"/>
                <w:numId w:val="14"/>
              </w:numPr>
              <w:ind w:firstLineChars="0"/>
              <w:rPr>
                <w:rFonts w:hint="eastAsia"/>
              </w:rPr>
            </w:pPr>
            <w:r>
              <w:rPr>
                <w:rFonts w:hint="eastAsia"/>
              </w:rPr>
              <w:t>专业的销售教练、CEO领导力教练</w:t>
            </w:r>
          </w:p>
          <w:p>
            <w:pPr>
              <w:pStyle w:val="34"/>
              <w:numPr>
                <w:ilvl w:val="0"/>
                <w:numId w:val="14"/>
              </w:numPr>
              <w:ind w:firstLineChars="0"/>
              <w:rPr>
                <w:rFonts w:hint="eastAsia"/>
              </w:rPr>
            </w:pPr>
            <w:r>
              <w:rPr>
                <w:rFonts w:hint="eastAsia"/>
              </w:rPr>
              <w:t>曾任中科院研究生院管理学院MBA中心招生办主任</w:t>
            </w:r>
          </w:p>
          <w:p>
            <w:pPr>
              <w:pStyle w:val="34"/>
              <w:numPr>
                <w:ilvl w:val="0"/>
                <w:numId w:val="14"/>
              </w:numPr>
              <w:ind w:firstLineChars="0"/>
              <w:rPr>
                <w:rFonts w:hint="eastAsia"/>
              </w:rPr>
            </w:pPr>
            <w:r>
              <w:rPr>
                <w:rFonts w:hint="eastAsia"/>
              </w:rPr>
              <w:t>曾任淄博四维软件公司副董事长兼总经理</w:t>
            </w:r>
          </w:p>
          <w:p>
            <w:pPr>
              <w:pStyle w:val="34"/>
              <w:numPr>
                <w:ilvl w:val="0"/>
                <w:numId w:val="14"/>
              </w:numPr>
              <w:ind w:firstLineChars="0"/>
              <w:rPr>
                <w:rFonts w:hint="eastAsia"/>
              </w:rPr>
            </w:pPr>
            <w:r>
              <w:rPr>
                <w:rFonts w:hint="eastAsia"/>
              </w:rPr>
              <w:t>埃里克森国际教练学院认证专业教练</w:t>
            </w:r>
          </w:p>
          <w:p>
            <w:pPr>
              <w:pStyle w:val="34"/>
              <w:ind w:left="420" w:firstLine="0" w:firstLineChars="0"/>
              <w:rPr>
                <w:rFonts w:ascii="宋体" w:hAnsi="宋体"/>
                <w:color w:val="00000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06" w:hRule="atLeast"/>
        </w:trPr>
        <w:tc>
          <w:tcPr>
            <w:tcW w:w="10598" w:type="dxa"/>
          </w:tcPr>
          <w:p>
            <w:pPr>
              <w:rPr>
                <w:rFonts w:ascii="微软雅黑" w:hAnsi="微软雅黑" w:eastAsia="微软雅黑"/>
                <w:b/>
                <w:sz w:val="32"/>
              </w:rPr>
            </w:pPr>
            <w:r>
              <w:rPr>
                <w:rFonts w:hint="eastAsia" w:ascii="微软雅黑" w:hAnsi="微软雅黑" w:eastAsia="微软雅黑"/>
                <w:b/>
                <w:sz w:val="32"/>
              </w:rPr>
              <w:t>授课风格</w:t>
            </w:r>
          </w:p>
          <w:p>
            <w:pPr>
              <w:rPr>
                <w:rFonts w:hint="eastAsia" w:ascii="宋体" w:hAnsi="宋体"/>
              </w:rPr>
            </w:pPr>
            <w:r>
              <w:rPr>
                <w:rFonts w:ascii="宋体" w:hAnsi="宋体"/>
              </w:rPr>
              <w:t>讲授经验非常丰富</w:t>
            </w:r>
            <w:r>
              <w:rPr>
                <w:rFonts w:hint="eastAsia" w:ascii="宋体" w:hAnsi="宋体"/>
              </w:rPr>
              <w:t>，</w:t>
            </w:r>
            <w:r>
              <w:rPr>
                <w:rFonts w:ascii="宋体" w:hAnsi="宋体"/>
              </w:rPr>
              <w:t>讲解深入浅出</w:t>
            </w:r>
            <w:r>
              <w:rPr>
                <w:rFonts w:hint="eastAsia" w:ascii="宋体" w:hAnsi="宋体"/>
              </w:rPr>
              <w:t>，以客户为中心，为客户着想；与客户一起、为客户创造最大价值，实现</w:t>
            </w:r>
          </w:p>
          <w:p>
            <w:pPr>
              <w:rPr>
                <w:rFonts w:hint="eastAsia" w:ascii="宋体" w:hAnsi="宋体"/>
              </w:rPr>
            </w:pPr>
            <w:r>
              <w:rPr>
                <w:rFonts w:hint="eastAsia" w:ascii="宋体" w:hAnsi="宋体"/>
              </w:rPr>
              <w:t>双赢。</w:t>
            </w:r>
          </w:p>
          <w:p>
            <w:pPr>
              <w:ind w:firstLine="420" w:firstLineChars="200"/>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36" w:hRule="atLeast"/>
        </w:trPr>
        <w:tc>
          <w:tcPr>
            <w:tcW w:w="10598" w:type="dxa"/>
          </w:tcPr>
          <w:p>
            <w:r>
              <w:rPr>
                <w:rFonts w:hint="eastAsia" w:ascii="微软雅黑" w:hAnsi="微软雅黑" w:eastAsia="微软雅黑"/>
                <w:b/>
                <w:sz w:val="32"/>
              </w:rPr>
              <w:t>授课经验</w:t>
            </w:r>
          </w:p>
          <w:p>
            <w:pPr>
              <w:rPr>
                <w:rFonts w:hint="eastAsia" w:ascii="宋体" w:hAnsi="宋体"/>
              </w:rPr>
            </w:pPr>
            <w:r>
              <w:rPr>
                <w:rFonts w:hint="eastAsia" w:ascii="宋体" w:hAnsi="宋体"/>
              </w:rPr>
              <w:t>华为赛门铁克、华为终端、联想控股、大联想学院、神州数码系统科技、神州数码系统集成、神州金桥、天涯社区、软思国际、数字100市场调查、安博教育集团、NEC中国研究院、清华大学、南通文峰大世界、新闻周刊、银河金桥投资、中国银行软件中心、燕山石化时代仪表、太申祥和山庄、北京天远三维科技公司、北京泛鹏天地科技有限公司、苏州工业园等。</w:t>
            </w:r>
          </w:p>
          <w:p>
            <w:pPr>
              <w:ind w:right="-498" w:rightChars="-237"/>
              <w:rPr>
                <w:rFonts w:hint="eastAsia" w:ascii="宋体" w:hAnsi="宋体"/>
                <w:color w:val="000000"/>
                <w:spacing w:val="8"/>
              </w:rPr>
            </w:pPr>
          </w:p>
          <w:p>
            <w:pPr>
              <w:ind w:right="-498" w:rightChars="-237"/>
              <w:rPr>
                <w:rFonts w:hint="eastAsia" w:ascii="宋体" w:hAnsi="宋体"/>
                <w:color w:val="000000"/>
                <w:spacing w:val="8"/>
              </w:rPr>
            </w:pPr>
          </w:p>
          <w:p>
            <w:pPr>
              <w:ind w:right="-498" w:rightChars="-237"/>
              <w:rPr>
                <w:rFonts w:ascii="宋体" w:hAnsi="宋体"/>
                <w:color w:val="000000"/>
                <w:spacing w:val="8"/>
              </w:rPr>
            </w:pPr>
          </w:p>
        </w:tc>
      </w:tr>
    </w:tbl>
    <w:p>
      <w:pPr>
        <w:widowControl/>
        <w:jc w:val="left"/>
      </w:pPr>
    </w:p>
    <w:p>
      <w:pPr>
        <w:widowControl/>
        <w:jc w:val="left"/>
        <w:rPr>
          <w:rFonts w:hint="eastAsia"/>
        </w:rPr>
      </w:pPr>
    </w:p>
    <w:p>
      <w:pPr>
        <w:widowControl/>
        <w:jc w:val="left"/>
        <w:rPr>
          <w:rFonts w:hint="eastAsia"/>
        </w:rPr>
      </w:pPr>
    </w:p>
    <w:p>
      <w:pPr>
        <w:widowControl/>
        <w:jc w:val="left"/>
        <w:rPr>
          <w:rFonts w:hint="eastAsia"/>
        </w:rPr>
      </w:pPr>
    </w:p>
    <w:p>
      <w:pPr>
        <w:widowControl/>
        <w:jc w:val="left"/>
        <w:rPr>
          <w:rFonts w:hint="eastAsia"/>
        </w:rPr>
      </w:pPr>
    </w:p>
    <w:p>
      <w:pPr>
        <w:widowControl/>
        <w:jc w:val="left"/>
      </w:pPr>
      <w:r>
        <w:drawing>
          <wp:inline distT="0" distB="0" distL="0" distR="0">
            <wp:extent cx="2125980" cy="831215"/>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noChangeArrowheads="1"/>
                    </pic:cNvPicPr>
                  </pic:nvPicPr>
                  <pic:blipFill>
                    <a:blip r:embed="rId7" cstate="print">
                      <a:extLst>
                        <a:ext uri="{28A0092B-C50C-407E-A947-70E740481C1C}">
                          <a14:useLocalDpi xmlns:a14="http://schemas.microsoft.com/office/drawing/2010/main" val="0"/>
                        </a:ext>
                      </a:extLst>
                    </a:blip>
                    <a:srcRect l="5290"/>
                    <a:stretch>
                      <a:fillRect/>
                    </a:stretch>
                  </pic:blipFill>
                  <pic:spPr>
                    <a:xfrm>
                      <a:off x="0" y="0"/>
                      <a:ext cx="2125980" cy="831215"/>
                    </a:xfrm>
                    <a:prstGeom prst="rect">
                      <a:avLst/>
                    </a:prstGeom>
                    <a:noFill/>
                    <a:ln>
                      <a:noFill/>
                    </a:ln>
                  </pic:spPr>
                </pic:pic>
              </a:graphicData>
            </a:graphic>
          </wp:inline>
        </w:drawing>
      </w:r>
    </w:p>
    <w:tbl>
      <w:tblPr>
        <w:tblStyle w:val="18"/>
        <w:tblpPr w:leftFromText="180" w:rightFromText="180" w:vertAnchor="page" w:horzAnchor="margin" w:tblpY="3180"/>
        <w:tblW w:w="10881" w:type="dxa"/>
        <w:tblInd w:w="0" w:type="dxa"/>
        <w:tblLayout w:type="fixed"/>
        <w:tblCellMar>
          <w:top w:w="0" w:type="dxa"/>
          <w:left w:w="108" w:type="dxa"/>
          <w:bottom w:w="0" w:type="dxa"/>
          <w:right w:w="108" w:type="dxa"/>
        </w:tblCellMar>
      </w:tblPr>
      <w:tblGrid>
        <w:gridCol w:w="2943"/>
        <w:gridCol w:w="7938"/>
      </w:tblGrid>
      <w:tr>
        <w:tblPrEx>
          <w:tblLayout w:type="fixed"/>
          <w:tblCellMar>
            <w:top w:w="0" w:type="dxa"/>
            <w:left w:w="108" w:type="dxa"/>
            <w:bottom w:w="0" w:type="dxa"/>
            <w:right w:w="108" w:type="dxa"/>
          </w:tblCellMar>
        </w:tblPrEx>
        <w:trPr>
          <w:trHeight w:val="1270" w:hRule="atLeast"/>
        </w:trPr>
        <w:tc>
          <w:tcPr>
            <w:tcW w:w="2943" w:type="dxa"/>
            <w:vMerge w:val="restart"/>
            <w:shd w:val="clear" w:color="auto" w:fill="FF0000"/>
            <w:vAlign w:val="center"/>
          </w:tcPr>
          <w:p>
            <w:pPr>
              <w:spacing w:line="360" w:lineRule="auto"/>
              <w:ind w:left="283" w:leftChars="135" w:right="317" w:rightChars="151" w:firstLine="2"/>
              <w:jc w:val="left"/>
              <w:rPr>
                <w:rFonts w:ascii="黑体" w:hAnsi="黑体" w:eastAsia="黑体"/>
                <w:b/>
                <w:color w:val="FFFFFF"/>
                <w:sz w:val="24"/>
                <w:szCs w:val="24"/>
              </w:rPr>
            </w:pPr>
            <w:r>
              <w:rPr>
                <w:rFonts w:hint="eastAsia" w:ascii="黑体" w:hAnsi="黑体" w:eastAsia="黑体"/>
                <w:b/>
                <w:color w:val="FFFFFF"/>
                <w:sz w:val="24"/>
                <w:szCs w:val="24"/>
              </w:rPr>
              <w:t>亲爱的学员，为了您能更加方便的参加邓志君老师的《基于教练技术的解决方案价值销售——销售技巧与流程》课程，请注意以下提示：</w:t>
            </w:r>
          </w:p>
          <w:p>
            <w:pPr>
              <w:spacing w:line="360" w:lineRule="auto"/>
              <w:ind w:left="283" w:leftChars="135" w:right="317" w:rightChars="151" w:firstLine="2"/>
              <w:jc w:val="left"/>
              <w:rPr>
                <w:rFonts w:ascii="黑体" w:hAnsi="黑体" w:eastAsia="黑体"/>
                <w:b/>
                <w:color w:val="FFFFFF"/>
                <w:sz w:val="24"/>
                <w:szCs w:val="24"/>
              </w:rPr>
            </w:pPr>
          </w:p>
          <w:p>
            <w:pPr>
              <w:spacing w:line="360" w:lineRule="auto"/>
              <w:ind w:left="283" w:leftChars="135" w:right="317" w:rightChars="151" w:firstLine="2"/>
              <w:jc w:val="left"/>
              <w:rPr>
                <w:rFonts w:ascii="黑体" w:hAnsi="黑体" w:eastAsia="黑体"/>
                <w:b/>
                <w:color w:val="FFFFFF"/>
                <w:sz w:val="24"/>
                <w:szCs w:val="24"/>
              </w:rPr>
            </w:pPr>
          </w:p>
        </w:tc>
        <w:tc>
          <w:tcPr>
            <w:tcW w:w="7938" w:type="dxa"/>
          </w:tcPr>
          <w:p>
            <w:pPr>
              <w:ind w:firstLine="689" w:firstLineChars="245"/>
              <w:rPr>
                <w:rFonts w:ascii="黑体" w:hAnsi="黑体" w:eastAsia="黑体"/>
                <w:color w:val="000000"/>
                <w:sz w:val="36"/>
              </w:rPr>
            </w:pPr>
            <w:r>
              <w:rPr>
                <w:rFonts w:hint="eastAsia" w:ascii="黑体" w:hAnsi="黑体" w:eastAsia="黑体"/>
                <w:b/>
                <w:color w:val="000000"/>
                <w:sz w:val="28"/>
              </w:rPr>
              <w:t xml:space="preserve">公交路线                                                           </w:t>
            </w:r>
          </w:p>
          <w:p>
            <w:pPr>
              <w:ind w:firstLine="727" w:firstLineChars="345"/>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密渡桥路口：</w:t>
            </w:r>
            <w:r>
              <w:rPr>
                <w:rFonts w:hint="eastAsia" w:ascii="黑体" w:hAnsi="黑体" w:eastAsia="黑体"/>
                <w:color w:val="000000"/>
                <w:sz w:val="22"/>
              </w:rPr>
              <w:t>267路;281路;281路高峰线;807路；</w:t>
            </w:r>
          </w:p>
          <w:p>
            <w:pPr>
              <w:ind w:left="1365" w:leftChars="349" w:hanging="632" w:hangingChars="300"/>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密渡桥：</w:t>
            </w:r>
            <w:r>
              <w:rPr>
                <w:rFonts w:hint="eastAsia" w:ascii="黑体" w:hAnsi="黑体" w:eastAsia="黑体"/>
                <w:color w:val="000000"/>
                <w:sz w:val="22"/>
              </w:rPr>
              <w:t>1路;10路;13路;45路;57路;58路;101路;156路;186路;188路;199路;266路;290路;517路;b支1路;游8线/y8；</w:t>
            </w:r>
          </w:p>
          <w:p>
            <w:pPr>
              <w:ind w:firstLine="700" w:firstLineChars="249"/>
              <w:rPr>
                <w:rFonts w:ascii="黑体" w:hAnsi="黑体" w:eastAsia="黑体"/>
                <w:b/>
                <w:color w:val="000000"/>
                <w:sz w:val="28"/>
              </w:rPr>
            </w:pPr>
            <w:r>
              <w:rPr>
                <w:rFonts w:hint="eastAsia" w:ascii="黑体" w:hAnsi="黑体" w:eastAsia="黑体"/>
                <w:b/>
                <w:color w:val="000000"/>
                <w:sz w:val="28"/>
              </w:rPr>
              <w:t>停车信息</w:t>
            </w:r>
          </w:p>
          <w:p>
            <w:pPr>
              <w:ind w:firstLine="770" w:firstLineChars="350"/>
              <w:rPr>
                <w:rFonts w:asciiTheme="minorEastAsia" w:hAnsiTheme="minorEastAsia" w:eastAsiaTheme="minorEastAsia"/>
                <w:color w:val="000000"/>
                <w:szCs w:val="21"/>
              </w:rPr>
            </w:pPr>
            <w:r>
              <w:rPr>
                <w:rFonts w:hint="eastAsia" w:ascii="黑体" w:hAnsi="黑体" w:eastAsia="黑体"/>
                <w:color w:val="000000"/>
                <w:sz w:val="22"/>
              </w:rPr>
              <w:t>酒店车位较少，先到先停（建议大家绿色出行）</w:t>
            </w:r>
          </w:p>
          <w:p>
            <w:pPr>
              <w:rPr>
                <w:rFonts w:ascii="黑体" w:hAnsi="黑体" w:eastAsia="黑体"/>
                <w:color w:val="000000"/>
                <w:sz w:val="24"/>
              </w:rPr>
            </w:pPr>
          </w:p>
          <w:p>
            <w:pPr>
              <w:ind w:firstLine="689" w:firstLineChars="245"/>
              <w:rPr>
                <w:rFonts w:ascii="黑体" w:hAnsi="黑体" w:eastAsia="黑体"/>
                <w:color w:val="000000"/>
                <w:sz w:val="22"/>
              </w:rPr>
            </w:pPr>
            <w:r>
              <w:rPr>
                <w:rFonts w:hint="eastAsia" w:ascii="黑体" w:hAnsi="黑体" w:eastAsia="黑体"/>
                <w:b/>
                <w:color w:val="000000"/>
                <w:sz w:val="28"/>
              </w:rPr>
              <w:t>用餐信息</w:t>
            </w:r>
          </w:p>
          <w:p>
            <w:pPr>
              <w:ind w:firstLine="770" w:firstLineChars="350"/>
              <w:rPr>
                <w:rFonts w:ascii="黑体" w:hAnsi="黑体" w:eastAsia="黑体"/>
                <w:color w:val="000000"/>
                <w:sz w:val="22"/>
              </w:rPr>
            </w:pPr>
            <w:r>
              <w:rPr>
                <w:rFonts w:hint="eastAsia" w:ascii="黑体" w:hAnsi="黑体" w:eastAsia="黑体"/>
                <w:color w:val="000000"/>
                <w:sz w:val="22"/>
              </w:rPr>
              <w:t>提供中餐</w:t>
            </w:r>
          </w:p>
          <w:p>
            <w:pPr>
              <w:ind w:firstLine="420" w:firstLineChars="200"/>
            </w:pPr>
          </w:p>
        </w:tc>
      </w:tr>
      <w:tr>
        <w:tblPrEx>
          <w:tblLayout w:type="fixed"/>
          <w:tblCellMar>
            <w:top w:w="0" w:type="dxa"/>
            <w:left w:w="108" w:type="dxa"/>
            <w:bottom w:w="0" w:type="dxa"/>
            <w:right w:w="108" w:type="dxa"/>
          </w:tblCellMar>
        </w:tblPrEx>
        <w:trPr>
          <w:trHeight w:val="1869" w:hRule="atLeast"/>
        </w:trPr>
        <w:tc>
          <w:tcPr>
            <w:tcW w:w="2943" w:type="dxa"/>
            <w:vMerge w:val="continue"/>
            <w:shd w:val="clear" w:color="auto" w:fill="FF0000"/>
          </w:tcPr>
          <w:p/>
        </w:tc>
        <w:tc>
          <w:tcPr>
            <w:tcW w:w="7938" w:type="dxa"/>
          </w:tcPr>
          <w:p>
            <w:pPr>
              <w:ind w:firstLine="689" w:firstLineChars="245"/>
              <w:rPr>
                <w:rFonts w:ascii="黑体" w:hAnsi="黑体" w:eastAsia="黑体"/>
                <w:b/>
                <w:color w:val="000000"/>
                <w:sz w:val="28"/>
              </w:rPr>
            </w:pPr>
            <w:r>
              <w:rPr>
                <w:rFonts w:hint="eastAsia" w:ascii="黑体" w:hAnsi="黑体" w:eastAsia="黑体"/>
                <w:b/>
                <w:color w:val="000000"/>
                <w:sz w:val="28"/>
              </w:rPr>
              <w:t>课程预告</w:t>
            </w:r>
          </w:p>
          <w:p>
            <w:pPr>
              <w:ind w:firstLine="660" w:firstLineChars="300"/>
              <w:rPr>
                <w:rFonts w:ascii="黑体" w:hAnsi="黑体" w:eastAsia="黑体"/>
                <w:b/>
                <w:color w:val="000000"/>
                <w:sz w:val="28"/>
              </w:rPr>
            </w:pPr>
            <w:r>
              <w:rPr>
                <w:rFonts w:hint="eastAsia" w:ascii="黑体" w:hAnsi="黑体" w:eastAsia="黑体"/>
                <w:color w:val="000000"/>
                <w:sz w:val="22"/>
              </w:rPr>
              <w:t>2017年9月15、16日（周五、六）</w:t>
            </w:r>
          </w:p>
          <w:p>
            <w:pPr>
              <w:ind w:left="571" w:leftChars="272" w:firstLine="78" w:firstLineChars="43"/>
              <w:rPr>
                <w:rFonts w:ascii="黑体" w:hAnsi="黑体" w:eastAsia="黑体"/>
                <w:color w:val="000000"/>
                <w:sz w:val="22"/>
              </w:rPr>
            </w:pPr>
            <w:r>
              <w:rPr>
                <w:b/>
                <w:i/>
                <w:color w:val="FF0000"/>
                <w:sz w:val="18"/>
              </w:rPr>
              <w:pict>
                <v:shape id="_x0000_i1025" o:spt="136" type="#_x0000_t136" style="height:9.85pt;width:19.7pt;" coordsize="21600,21600">
                  <v:path/>
                  <v:fill focussize="0,0"/>
                  <v:stroke/>
                  <v:imagedata o:title=""/>
                  <o:lock v:ext="edit" text="f"/>
                  <v:textpath on="t" fitshape="t" fitpath="t" trim="t" xscale="f" string="主题" style="font-family:宋体;font-size:10pt;font-style:italic;v-text-align:center;"/>
                  <v:shadow on="t" opacity="52428f"/>
                  <w10:wrap type="none"/>
                  <w10:anchorlock/>
                </v:shape>
              </w:pict>
            </w:r>
            <w:r>
              <w:rPr>
                <w:rFonts w:hint="eastAsia"/>
                <w:b/>
                <w:i/>
                <w:sz w:val="18"/>
              </w:rPr>
              <w:t>：</w:t>
            </w:r>
            <w:r>
              <w:rPr>
                <w:rFonts w:hint="eastAsia" w:ascii="黑体" w:hAnsi="黑体" w:eastAsia="黑体"/>
                <w:color w:val="000000"/>
                <w:sz w:val="22"/>
              </w:rPr>
              <w:t xml:space="preserve">《办公必备技能--PPT高效制作（小白班）》     </w:t>
            </w:r>
            <w:r>
              <w:rPr>
                <w:rFonts w:ascii="ˎ̥" w:hAnsi="ˎ̥"/>
                <w:b/>
                <w:i/>
                <w:color w:val="FF0000"/>
                <w:sz w:val="18"/>
              </w:rPr>
              <w:pict>
                <v:shape id="_x0000_i1026" o:spt="136" type="#_x0000_t136" style="height:9.85pt;width:19.7pt;" coordsize="21600,21600">
                  <v:path/>
                  <v:fill focussize="0,0"/>
                  <v:stroke/>
                  <v:imagedata o:title=""/>
                  <o:lock v:ext="edit" text="f"/>
                  <v:textpath on="t" fitshape="t" fitpath="t" trim="t" xscale="f" string="主讲" style="font-family:宋体;font-size:10pt;font-style:italic;v-text-align:center;"/>
                  <v:shadow on="t" opacity="52428f"/>
                  <w10:wrap type="none"/>
                  <w10:anchorlock/>
                </v:shape>
              </w:pict>
            </w:r>
            <w:r>
              <w:rPr>
                <w:rFonts w:hint="eastAsia" w:ascii="ˎ̥" w:hAnsi="ˎ̥"/>
                <w:b/>
                <w:i/>
                <w:sz w:val="18"/>
              </w:rPr>
              <w:t>：</w:t>
            </w:r>
            <w:r>
              <w:rPr>
                <w:rFonts w:hint="eastAsia" w:ascii="黑体" w:hAnsi="黑体" w:eastAsia="黑体"/>
                <w:color w:val="000000"/>
                <w:sz w:val="22"/>
              </w:rPr>
              <w:t>马建强</w:t>
            </w:r>
          </w:p>
          <w:p>
            <w:pPr>
              <w:ind w:left="571" w:leftChars="272" w:firstLine="94" w:firstLineChars="43"/>
              <w:rPr>
                <w:rFonts w:ascii="黑体" w:hAnsi="黑体" w:eastAsia="黑体"/>
                <w:color w:val="000000"/>
                <w:sz w:val="22"/>
              </w:rPr>
            </w:pPr>
          </w:p>
        </w:tc>
      </w:tr>
      <w:tr>
        <w:tblPrEx>
          <w:tblLayout w:type="fixed"/>
          <w:tblCellMar>
            <w:top w:w="0" w:type="dxa"/>
            <w:left w:w="108" w:type="dxa"/>
            <w:bottom w:w="0" w:type="dxa"/>
            <w:right w:w="108" w:type="dxa"/>
          </w:tblCellMar>
        </w:tblPrEx>
        <w:trPr>
          <w:trHeight w:val="80" w:hRule="atLeast"/>
        </w:trPr>
        <w:tc>
          <w:tcPr>
            <w:tcW w:w="2943" w:type="dxa"/>
            <w:vMerge w:val="continue"/>
            <w:shd w:val="clear" w:color="auto" w:fill="FF0000"/>
          </w:tcPr>
          <w:p/>
        </w:tc>
        <w:tc>
          <w:tcPr>
            <w:tcW w:w="7938" w:type="dxa"/>
          </w:tcPr>
          <w:p>
            <w:pPr>
              <w:rPr>
                <w:sz w:val="18"/>
              </w:rPr>
            </w:pPr>
          </w:p>
        </w:tc>
      </w:tr>
    </w:tbl>
    <w:p/>
    <w:tbl>
      <w:tblPr>
        <w:tblStyle w:val="19"/>
        <w:tblpPr w:leftFromText="180" w:rightFromText="180" w:vertAnchor="text" w:horzAnchor="margin" w:tblpY="1653"/>
        <w:tblW w:w="10361" w:type="dxa"/>
        <w:tblInd w:w="0" w:type="dxa"/>
        <w:tblBorders>
          <w:top w:val="single" w:color="FF0000" w:sz="48" w:space="0"/>
          <w:left w:val="none" w:color="auto" w:sz="0" w:space="0"/>
          <w:bottom w:val="single" w:color="FF0000" w:sz="4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361"/>
      </w:tblGrid>
      <w:tr>
        <w:tblPrEx>
          <w:tblBorders>
            <w:top w:val="single" w:color="FF0000" w:sz="48" w:space="0"/>
            <w:left w:val="none" w:color="auto" w:sz="0" w:space="0"/>
            <w:bottom w:val="single" w:color="FF0000" w:sz="4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5" w:hRule="atLeast"/>
        </w:trPr>
        <w:tc>
          <w:tcPr>
            <w:tcW w:w="10361" w:type="dxa"/>
          </w:tcPr>
          <w:p>
            <w:pPr>
              <w:widowControl/>
              <w:ind w:left="-2"/>
              <w:jc w:val="center"/>
            </w:pPr>
            <w:r>
              <w:drawing>
                <wp:inline distT="0" distB="0" distL="0" distR="0">
                  <wp:extent cx="6508750" cy="2639060"/>
                  <wp:effectExtent l="19050" t="0" r="6350" b="0"/>
                  <wp:docPr id="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pic:cNvPicPr>
                            <a:picLocks noChangeAspect="1" noChangeArrowheads="1"/>
                          </pic:cNvPicPr>
                        </pic:nvPicPr>
                        <pic:blipFill>
                          <a:blip r:embed="rId8" cstate="print"/>
                          <a:stretch>
                            <a:fillRect/>
                          </a:stretch>
                        </pic:blipFill>
                        <pic:spPr>
                          <a:xfrm>
                            <a:off x="0" y="0"/>
                            <a:ext cx="6508750" cy="2639222"/>
                          </a:xfrm>
                          <a:prstGeom prst="rect">
                            <a:avLst/>
                          </a:prstGeom>
                          <a:noFill/>
                          <a:ln>
                            <a:noFill/>
                          </a:ln>
                        </pic:spPr>
                      </pic:pic>
                    </a:graphicData>
                  </a:graphic>
                </wp:inline>
              </w:drawing>
            </w:r>
          </w:p>
        </w:tc>
      </w:tr>
    </w:tbl>
    <w:p>
      <w:pPr>
        <w:widowControl/>
        <w:jc w:val="left"/>
      </w:pPr>
      <w:r>
        <w:drawing>
          <wp:inline distT="0" distB="0" distL="0" distR="0">
            <wp:extent cx="1995170" cy="831215"/>
            <wp:effectExtent l="0" t="0" r="0" b="0"/>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rcRect l="11110"/>
                    <a:stretch>
                      <a:fillRect/>
                    </a:stretch>
                  </pic:blipFill>
                  <pic:spPr>
                    <a:xfrm>
                      <a:off x="0" y="0"/>
                      <a:ext cx="1995170" cy="831215"/>
                    </a:xfrm>
                    <a:prstGeom prst="rect">
                      <a:avLst/>
                    </a:prstGeom>
                    <a:noFill/>
                    <a:ln>
                      <a:noFill/>
                    </a:ln>
                  </pic:spPr>
                </pic:pic>
              </a:graphicData>
            </a:graphic>
          </wp:inline>
        </w:drawing>
      </w:r>
    </w:p>
    <w:p>
      <w:pPr>
        <w:widowControl/>
        <w:jc w:val="left"/>
      </w:pPr>
      <w:r>
        <w:drawing>
          <wp:inline distT="0" distB="0" distL="0" distR="0">
            <wp:extent cx="2054225" cy="831215"/>
            <wp:effectExtent l="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l="8466"/>
                    <a:stretch>
                      <a:fillRect/>
                    </a:stretch>
                  </pic:blipFill>
                  <pic:spPr>
                    <a:xfrm>
                      <a:off x="0" y="0"/>
                      <a:ext cx="2054225" cy="831215"/>
                    </a:xfrm>
                    <a:prstGeom prst="rect">
                      <a:avLst/>
                    </a:prstGeom>
                    <a:noFill/>
                    <a:ln>
                      <a:noFill/>
                    </a:ln>
                  </pic:spPr>
                </pic:pic>
              </a:graphicData>
            </a:graphic>
          </wp:inline>
        </w:drawing>
      </w:r>
    </w:p>
    <w:p>
      <w:r>
        <w:drawing>
          <wp:inline distT="0" distB="0" distL="0" distR="0">
            <wp:extent cx="6645910" cy="37820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3782060"/>
                    </a:xfrm>
                    <a:prstGeom prst="rect">
                      <a:avLst/>
                    </a:prstGeom>
                  </pic:spPr>
                </pic:pic>
              </a:graphicData>
            </a:graphic>
          </wp:inline>
        </w:drawing>
      </w:r>
    </w:p>
    <w:p>
      <w:r>
        <w:drawing>
          <wp:inline distT="0" distB="0" distL="0" distR="0">
            <wp:extent cx="1935480" cy="831215"/>
            <wp:effectExtent l="0" t="0" r="0"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l="13754"/>
                    <a:stretch>
                      <a:fillRect/>
                    </a:stretch>
                  </pic:blipFill>
                  <pic:spPr>
                    <a:xfrm>
                      <a:off x="0" y="0"/>
                      <a:ext cx="1935480" cy="831215"/>
                    </a:xfrm>
                    <a:prstGeom prst="rect">
                      <a:avLst/>
                    </a:prstGeom>
                    <a:noFill/>
                    <a:ln>
                      <a:noFill/>
                    </a:ln>
                  </pic:spPr>
                </pic:pic>
              </a:graphicData>
            </a:graphic>
          </wp:inline>
        </w:drawing>
      </w:r>
    </w:p>
    <w:p>
      <w:r>
        <w:drawing>
          <wp:inline distT="0" distB="0" distL="0" distR="0">
            <wp:extent cx="6645910" cy="27698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2770503"/>
                    </a:xfrm>
                    <a:prstGeom prst="rect">
                      <a:avLst/>
                    </a:prstGeom>
                    <a:noFill/>
                    <a:ln>
                      <a:noFill/>
                    </a:ln>
                  </pic:spPr>
                </pic:pic>
              </a:graphicData>
            </a:graphic>
          </wp:inline>
        </w:drawing>
      </w:r>
    </w:p>
    <w:p/>
    <w:p>
      <w:pPr>
        <w:jc w:val="center"/>
      </w:pPr>
    </w:p>
    <w:p>
      <w:pPr>
        <w:jc w:val="center"/>
        <w:rPr>
          <w:rFonts w:ascii="宋体" w:hAnsi="宋体" w:cs="宋体"/>
          <w:kern w:val="0"/>
          <w:sz w:val="18"/>
        </w:rPr>
      </w:pPr>
      <w:r>
        <w:rPr>
          <w:rFonts w:hint="eastAsia" w:ascii="微软雅黑" w:hAnsi="微软雅黑" w:eastAsia="微软雅黑" w:cs="微软雅黑"/>
          <w:b/>
          <w:bCs/>
          <w:sz w:val="32"/>
          <w:szCs w:val="36"/>
        </w:rPr>
        <w:t>《基于教练技术的解决方案价值销售——销售技巧与流程》报名回执</w:t>
      </w:r>
    </w:p>
    <w:p>
      <w:pPr>
        <w:adjustRightInd w:val="0"/>
        <w:snapToGrid w:val="0"/>
        <w:spacing w:line="360" w:lineRule="auto"/>
        <w:rPr>
          <w:rFonts w:ascii="宋体" w:hAnsi="宋体"/>
          <w:szCs w:val="21"/>
        </w:rPr>
      </w:pPr>
      <w:r>
        <w:rPr>
          <w:rFonts w:hint="eastAsia" w:ascii="微软雅黑" w:hAnsi="微软雅黑" w:eastAsia="微软雅黑" w:cs="微软雅黑"/>
          <w:sz w:val="22"/>
        </w:rPr>
        <w:t>填好下表后</w:t>
      </w:r>
      <w:r>
        <w:rPr>
          <w:rFonts w:hint="eastAsia" w:ascii="微软雅黑" w:hAnsi="微软雅黑" w:eastAsia="微软雅黑" w:cs="微软雅黑"/>
          <w:sz w:val="22"/>
          <w:lang w:eastAsia="zh-CN"/>
        </w:rPr>
        <w:t>发送到2969817824</w:t>
      </w:r>
      <w:r>
        <w:rPr>
          <w:rFonts w:hint="eastAsia" w:ascii="微软雅黑" w:hAnsi="微软雅黑" w:eastAsia="微软雅黑" w:cs="微软雅黑"/>
          <w:sz w:val="22"/>
          <w:lang w:val="en-US" w:eastAsia="zh-CN"/>
        </w:rPr>
        <w:t>@qq.com</w:t>
      </w:r>
      <w:r>
        <w:rPr>
          <w:rFonts w:hint="eastAsia" w:ascii="微软雅黑" w:hAnsi="微软雅黑" w:eastAsia="微软雅黑" w:cs="微软雅黑"/>
          <w:szCs w:val="21"/>
        </w:rPr>
        <w:t xml:space="preserve"> </w:t>
      </w:r>
      <w:r>
        <w:rPr>
          <w:rFonts w:hint="eastAsia" w:ascii="微软雅黑" w:hAnsi="微软雅黑" w:eastAsia="微软雅黑" w:cs="微软雅黑"/>
          <w:sz w:val="22"/>
        </w:rPr>
        <w:t xml:space="preserve">   </w:t>
      </w:r>
      <w:r>
        <w:rPr>
          <w:rFonts w:hint="eastAsia" w:ascii="微软雅黑" w:hAnsi="微软雅黑" w:eastAsia="微软雅黑" w:cs="微软雅黑"/>
          <w:sz w:val="22"/>
          <w:lang w:val="en-US" w:eastAsia="zh-CN"/>
        </w:rPr>
        <w:t xml:space="preserve">            </w:t>
      </w:r>
      <w:r>
        <w:rPr>
          <w:sz w:val="22"/>
        </w:rPr>
        <w:t xml:space="preserve"> </w:t>
      </w:r>
      <w:r>
        <w:rPr>
          <w:rFonts w:hint="eastAsia" w:ascii="微软雅黑" w:hAnsi="微软雅黑" w:eastAsia="微软雅黑" w:cs="微软雅黑"/>
          <w:b/>
          <w:color w:val="000000"/>
          <w:sz w:val="22"/>
        </w:rPr>
        <w:t>联系方式：</w:t>
      </w:r>
      <w:r>
        <w:rPr>
          <w:rFonts w:hint="eastAsia" w:ascii="黑体" w:hAnsi="黑体" w:eastAsia="黑体"/>
          <w:szCs w:val="21"/>
          <w:lang w:val="en-US" w:eastAsia="zh-CN"/>
        </w:rPr>
        <w:t>13719291959 梁彩云</w:t>
      </w:r>
      <w:r>
        <w:rPr>
          <w:rFonts w:hint="eastAsia" w:ascii="黑体" w:hAnsi="黑体" w:eastAsia="黑体"/>
          <w:szCs w:val="21"/>
        </w:rPr>
        <w:t xml:space="preserve">     </w:t>
      </w:r>
      <w:r>
        <w:rPr>
          <w:rFonts w:hint="eastAsia" w:ascii="宋体" w:hAnsi="宋体"/>
          <w:szCs w:val="21"/>
          <w:u w:val="single"/>
        </w:rPr>
        <w:t xml:space="preserve">                                    </w:t>
      </w:r>
      <w:r>
        <w:rPr>
          <w:rFonts w:ascii="宋体" w:hAnsi="宋体"/>
          <w:szCs w:val="21"/>
        </w:rPr>
        <w:t xml:space="preserve">                </w:t>
      </w:r>
      <w:r>
        <w:rPr>
          <w:rFonts w:hint="eastAsia" w:ascii="宋体" w:hAnsi="宋体"/>
          <w:szCs w:val="21"/>
        </w:rPr>
        <w:t xml:space="preserve">                                 </w:t>
      </w:r>
    </w:p>
    <w:tbl>
      <w:tblPr>
        <w:tblStyle w:val="18"/>
        <w:tblpPr w:leftFromText="180" w:rightFromText="180" w:vertAnchor="text" w:horzAnchor="margin" w:tblpX="108" w:tblpY="89"/>
        <w:tblW w:w="10180"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2023"/>
        <w:gridCol w:w="1237"/>
        <w:gridCol w:w="1019"/>
        <w:gridCol w:w="399"/>
        <w:gridCol w:w="1857"/>
        <w:gridCol w:w="2261"/>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551" w:hRule="exact"/>
        </w:trPr>
        <w:tc>
          <w:tcPr>
            <w:tcW w:w="1384" w:type="dxa"/>
            <w:vAlign w:val="center"/>
          </w:tcPr>
          <w:p>
            <w:pPr>
              <w:jc w:val="center"/>
              <w:rPr>
                <w:rStyle w:val="16"/>
                <w:rFonts w:ascii="黑体" w:hAnsi="黑体" w:eastAsia="黑体"/>
                <w:b w:val="0"/>
                <w:bCs w:val="0"/>
                <w:szCs w:val="21"/>
              </w:rPr>
            </w:pPr>
            <w:r>
              <w:rPr>
                <w:rFonts w:hint="eastAsia" w:ascii="黑体" w:hAnsi="黑体" w:eastAsia="黑体"/>
                <w:szCs w:val="21"/>
              </w:rPr>
              <w:t>单位名称</w:t>
            </w:r>
          </w:p>
        </w:tc>
        <w:tc>
          <w:tcPr>
            <w:tcW w:w="3260" w:type="dxa"/>
            <w:gridSpan w:val="2"/>
            <w:vAlign w:val="center"/>
          </w:tcPr>
          <w:p>
            <w:pPr>
              <w:rPr>
                <w:rStyle w:val="16"/>
                <w:rFonts w:ascii="黑体" w:hAnsi="黑体" w:eastAsia="黑体"/>
                <w:b w:val="0"/>
                <w:bCs w:val="0"/>
                <w:szCs w:val="18"/>
              </w:rPr>
            </w:pPr>
          </w:p>
        </w:tc>
        <w:tc>
          <w:tcPr>
            <w:tcW w:w="5536" w:type="dxa"/>
            <w:gridSpan w:val="4"/>
            <w:vAlign w:val="center"/>
          </w:tcPr>
          <w:p>
            <w:pPr>
              <w:rPr>
                <w:rStyle w:val="16"/>
                <w:rFonts w:ascii="黑体" w:hAnsi="黑体" w:eastAsia="黑体"/>
                <w:b w:val="0"/>
                <w:bCs w:val="0"/>
              </w:rPr>
            </w:pPr>
            <w:r>
              <w:rPr>
                <w:rFonts w:hint="eastAsia" w:ascii="黑体" w:hAnsi="黑体" w:eastAsia="黑体"/>
              </w:rPr>
              <w:t>企业类型： □外资 □台资 □港资 □民营 □其它</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8" w:hRule="exact"/>
        </w:trPr>
        <w:tc>
          <w:tcPr>
            <w:tcW w:w="1384" w:type="dxa"/>
            <w:vAlign w:val="center"/>
          </w:tcPr>
          <w:p>
            <w:pPr>
              <w:jc w:val="center"/>
              <w:rPr>
                <w:rFonts w:ascii="黑体" w:hAnsi="黑体" w:eastAsia="黑体"/>
                <w:szCs w:val="21"/>
              </w:rPr>
            </w:pPr>
            <w:r>
              <w:rPr>
                <w:rFonts w:hint="eastAsia" w:ascii="黑体" w:hAnsi="黑体" w:eastAsia="黑体"/>
                <w:szCs w:val="21"/>
              </w:rPr>
              <w:t>联 系 人</w:t>
            </w:r>
          </w:p>
        </w:tc>
        <w:tc>
          <w:tcPr>
            <w:tcW w:w="3260" w:type="dxa"/>
            <w:gridSpan w:val="2"/>
            <w:vAlign w:val="center"/>
          </w:tcPr>
          <w:p>
            <w:pPr>
              <w:rPr>
                <w:rStyle w:val="16"/>
                <w:rFonts w:ascii="黑体" w:hAnsi="黑体" w:eastAsia="黑体"/>
                <w:b w:val="0"/>
                <w:bCs w:val="0"/>
                <w:szCs w:val="18"/>
              </w:rPr>
            </w:pPr>
          </w:p>
        </w:tc>
        <w:tc>
          <w:tcPr>
            <w:tcW w:w="1418" w:type="dxa"/>
            <w:gridSpan w:val="2"/>
            <w:vAlign w:val="center"/>
          </w:tcPr>
          <w:p>
            <w:pPr>
              <w:jc w:val="center"/>
              <w:rPr>
                <w:rStyle w:val="16"/>
                <w:rFonts w:ascii="黑体" w:hAnsi="黑体" w:eastAsia="黑体"/>
                <w:b w:val="0"/>
                <w:bCs w:val="0"/>
                <w:szCs w:val="18"/>
              </w:rPr>
            </w:pPr>
            <w:r>
              <w:rPr>
                <w:rStyle w:val="16"/>
                <w:rFonts w:hint="eastAsia" w:ascii="黑体" w:hAnsi="黑体" w:eastAsia="黑体"/>
                <w:b w:val="0"/>
                <w:bCs w:val="0"/>
                <w:szCs w:val="18"/>
              </w:rPr>
              <w:t>公司地址</w:t>
            </w:r>
          </w:p>
        </w:tc>
        <w:tc>
          <w:tcPr>
            <w:tcW w:w="4118" w:type="dxa"/>
            <w:gridSpan w:val="2"/>
            <w:vAlign w:val="center"/>
          </w:tcPr>
          <w:p>
            <w:pPr>
              <w:rPr>
                <w:rStyle w:val="16"/>
                <w:rFonts w:ascii="黑体" w:hAnsi="黑体" w:eastAsia="黑体"/>
                <w:b w:val="0"/>
                <w:bCs w:val="0"/>
                <w:szCs w:val="18"/>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8" w:hRule="exact"/>
        </w:trPr>
        <w:tc>
          <w:tcPr>
            <w:tcW w:w="1384" w:type="dxa"/>
            <w:vAlign w:val="center"/>
          </w:tcPr>
          <w:p>
            <w:pPr>
              <w:jc w:val="center"/>
              <w:rPr>
                <w:rFonts w:ascii="黑体" w:hAnsi="黑体" w:eastAsia="黑体"/>
                <w:szCs w:val="21"/>
              </w:rPr>
            </w:pPr>
            <w:r>
              <w:rPr>
                <w:rFonts w:hint="eastAsia" w:ascii="黑体" w:hAnsi="黑体" w:eastAsia="黑体"/>
                <w:szCs w:val="21"/>
              </w:rPr>
              <w:t>联系电话</w:t>
            </w:r>
          </w:p>
        </w:tc>
        <w:tc>
          <w:tcPr>
            <w:tcW w:w="3260" w:type="dxa"/>
            <w:gridSpan w:val="2"/>
            <w:vAlign w:val="center"/>
          </w:tcPr>
          <w:p>
            <w:pPr>
              <w:rPr>
                <w:rStyle w:val="16"/>
                <w:rFonts w:ascii="黑体" w:hAnsi="黑体" w:eastAsia="黑体"/>
                <w:b w:val="0"/>
                <w:bCs w:val="0"/>
                <w:szCs w:val="18"/>
              </w:rPr>
            </w:pPr>
          </w:p>
        </w:tc>
        <w:tc>
          <w:tcPr>
            <w:tcW w:w="1418" w:type="dxa"/>
            <w:gridSpan w:val="2"/>
            <w:vAlign w:val="center"/>
          </w:tcPr>
          <w:p>
            <w:pPr>
              <w:jc w:val="center"/>
              <w:rPr>
                <w:rStyle w:val="16"/>
                <w:rFonts w:ascii="黑体" w:hAnsi="黑体" w:eastAsia="黑体"/>
                <w:b w:val="0"/>
                <w:bCs w:val="0"/>
                <w:szCs w:val="18"/>
              </w:rPr>
            </w:pPr>
            <w:r>
              <w:rPr>
                <w:rStyle w:val="16"/>
                <w:rFonts w:hint="eastAsia" w:ascii="黑体" w:hAnsi="黑体" w:eastAsia="黑体"/>
                <w:b w:val="0"/>
                <w:bCs w:val="0"/>
                <w:szCs w:val="18"/>
              </w:rPr>
              <w:t>E-mail</w:t>
            </w:r>
          </w:p>
        </w:tc>
        <w:tc>
          <w:tcPr>
            <w:tcW w:w="4118" w:type="dxa"/>
            <w:gridSpan w:val="2"/>
            <w:vAlign w:val="center"/>
          </w:tcPr>
          <w:p>
            <w:pPr>
              <w:rPr>
                <w:rStyle w:val="16"/>
                <w:rFonts w:ascii="黑体" w:hAnsi="黑体" w:eastAsia="黑体"/>
                <w:b w:val="0"/>
                <w:bCs w:val="0"/>
                <w:szCs w:val="18"/>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trPr>
        <w:tc>
          <w:tcPr>
            <w:tcW w:w="1384" w:type="dxa"/>
            <w:vAlign w:val="center"/>
          </w:tcPr>
          <w:p>
            <w:pPr>
              <w:spacing w:line="360" w:lineRule="auto"/>
              <w:jc w:val="center"/>
              <w:rPr>
                <w:rFonts w:ascii="黑体" w:hAnsi="黑体" w:eastAsia="黑体"/>
                <w:szCs w:val="21"/>
              </w:rPr>
            </w:pPr>
            <w:r>
              <w:rPr>
                <w:rFonts w:hint="eastAsia" w:ascii="黑体" w:hAnsi="黑体" w:eastAsia="黑体"/>
                <w:szCs w:val="21"/>
              </w:rPr>
              <w:t>参会人数</w:t>
            </w:r>
          </w:p>
        </w:tc>
        <w:tc>
          <w:tcPr>
            <w:tcW w:w="3260" w:type="dxa"/>
            <w:gridSpan w:val="2"/>
          </w:tcPr>
          <w:p>
            <w:pPr>
              <w:spacing w:line="360" w:lineRule="auto"/>
              <w:ind w:firstLine="525" w:firstLineChars="250"/>
              <w:rPr>
                <w:rFonts w:ascii="黑体" w:hAnsi="黑体" w:eastAsia="黑体"/>
                <w:szCs w:val="21"/>
              </w:rPr>
            </w:pPr>
            <w:r>
              <w:rPr>
                <w:rFonts w:hint="eastAsia" w:ascii="黑体" w:hAnsi="黑体" w:eastAsia="黑体"/>
                <w:szCs w:val="21"/>
                <w:u w:val="single"/>
              </w:rPr>
              <w:t xml:space="preserve">          </w:t>
            </w:r>
            <w:r>
              <w:rPr>
                <w:rFonts w:hint="eastAsia" w:ascii="黑体" w:hAnsi="黑体" w:eastAsia="黑体"/>
                <w:szCs w:val="21"/>
              </w:rPr>
              <w:t>人</w:t>
            </w:r>
          </w:p>
        </w:tc>
        <w:tc>
          <w:tcPr>
            <w:tcW w:w="1418" w:type="dxa"/>
            <w:gridSpan w:val="2"/>
            <w:vAlign w:val="center"/>
          </w:tcPr>
          <w:p>
            <w:pPr>
              <w:spacing w:line="360" w:lineRule="auto"/>
              <w:jc w:val="center"/>
              <w:rPr>
                <w:rFonts w:ascii="黑体" w:hAnsi="黑体" w:eastAsia="黑体"/>
                <w:szCs w:val="21"/>
              </w:rPr>
            </w:pPr>
            <w:r>
              <w:rPr>
                <w:rFonts w:hint="eastAsia" w:ascii="黑体" w:hAnsi="黑体" w:eastAsia="黑体"/>
                <w:szCs w:val="21"/>
              </w:rPr>
              <w:t>参会费用</w:t>
            </w:r>
          </w:p>
        </w:tc>
        <w:tc>
          <w:tcPr>
            <w:tcW w:w="4118" w:type="dxa"/>
            <w:gridSpan w:val="2"/>
          </w:tcPr>
          <w:p>
            <w:pPr>
              <w:spacing w:line="360" w:lineRule="auto"/>
              <w:ind w:firstLine="420" w:firstLineChars="200"/>
              <w:rPr>
                <w:rFonts w:ascii="黑体" w:hAnsi="黑体" w:eastAsia="黑体"/>
                <w:szCs w:val="21"/>
              </w:rPr>
            </w:pPr>
            <w:r>
              <w:rPr>
                <w:rFonts w:hint="eastAsia" w:ascii="黑体" w:hAnsi="黑体" w:eastAsia="黑体"/>
                <w:szCs w:val="21"/>
              </w:rPr>
              <w:t>￥_______元</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5" w:hRule="atLeast"/>
        </w:trPr>
        <w:tc>
          <w:tcPr>
            <w:tcW w:w="1384" w:type="dxa"/>
            <w:vAlign w:val="center"/>
          </w:tcPr>
          <w:p>
            <w:pPr>
              <w:jc w:val="center"/>
              <w:rPr>
                <w:rFonts w:ascii="黑体" w:hAnsi="黑体" w:eastAsia="黑体"/>
                <w:szCs w:val="21"/>
              </w:rPr>
            </w:pPr>
            <w:r>
              <w:rPr>
                <w:rFonts w:hint="eastAsia" w:ascii="黑体" w:hAnsi="黑体" w:eastAsia="黑体"/>
                <w:szCs w:val="21"/>
              </w:rPr>
              <w:t>请将款项</w:t>
            </w:r>
          </w:p>
          <w:p>
            <w:pPr>
              <w:jc w:val="center"/>
              <w:rPr>
                <w:rFonts w:ascii="黑体" w:hAnsi="黑体" w:eastAsia="黑体"/>
                <w:szCs w:val="21"/>
              </w:rPr>
            </w:pPr>
            <w:r>
              <w:rPr>
                <w:rFonts w:hint="eastAsia" w:ascii="黑体" w:hAnsi="黑体" w:eastAsia="黑体"/>
                <w:szCs w:val="21"/>
              </w:rPr>
              <w:t>汇至指定帐号</w:t>
            </w:r>
          </w:p>
        </w:tc>
        <w:tc>
          <w:tcPr>
            <w:tcW w:w="8796" w:type="dxa"/>
            <w:gridSpan w:val="6"/>
            <w:vAlign w:val="center"/>
          </w:tcPr>
          <w:p>
            <w:pPr>
              <w:spacing w:line="288" w:lineRule="auto"/>
              <w:rPr>
                <w:rFonts w:ascii="黑体" w:hAnsi="黑体" w:eastAsia="黑体"/>
              </w:rPr>
            </w:pPr>
            <w:r>
              <w:rPr>
                <w:rFonts w:hint="eastAsia" w:ascii="黑体" w:hAnsi="黑体" w:eastAsia="黑体"/>
              </w:rPr>
              <w:t xml:space="preserve">户  名： </w:t>
            </w:r>
          </w:p>
          <w:p>
            <w:pPr>
              <w:spacing w:line="288" w:lineRule="auto"/>
              <w:rPr>
                <w:rFonts w:ascii="黑体" w:hAnsi="黑体" w:eastAsia="黑体"/>
              </w:rPr>
            </w:pPr>
            <w:r>
              <w:rPr>
                <w:rFonts w:hint="eastAsia" w:ascii="黑体" w:hAnsi="黑体" w:eastAsia="黑体"/>
              </w:rPr>
              <w:t xml:space="preserve">开户行： </w:t>
            </w:r>
          </w:p>
          <w:p>
            <w:pPr>
              <w:spacing w:line="288" w:lineRule="auto"/>
              <w:rPr>
                <w:rFonts w:ascii="黑体" w:hAnsi="黑体" w:eastAsia="黑体"/>
              </w:rPr>
            </w:pPr>
            <w:r>
              <w:rPr>
                <w:rFonts w:hint="eastAsia" w:ascii="黑体" w:hAnsi="黑体" w:eastAsia="黑体"/>
              </w:rPr>
              <w:t>账  号：</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361" w:hRule="exact"/>
        </w:trPr>
        <w:tc>
          <w:tcPr>
            <w:tcW w:w="1384" w:type="dxa"/>
            <w:vMerge w:val="restart"/>
            <w:shd w:val="clear" w:color="auto" w:fill="auto"/>
            <w:vAlign w:val="center"/>
          </w:tcPr>
          <w:p>
            <w:pPr>
              <w:jc w:val="center"/>
              <w:rPr>
                <w:rFonts w:ascii="黑体" w:hAnsi="黑体" w:eastAsia="黑体"/>
              </w:rPr>
            </w:pPr>
          </w:p>
          <w:p>
            <w:pPr>
              <w:jc w:val="center"/>
              <w:rPr>
                <w:rFonts w:ascii="黑体" w:hAnsi="黑体" w:eastAsia="黑体"/>
              </w:rPr>
            </w:pPr>
          </w:p>
          <w:p>
            <w:pPr>
              <w:jc w:val="center"/>
              <w:rPr>
                <w:rFonts w:ascii="黑体" w:hAnsi="黑体" w:eastAsia="黑体"/>
              </w:rPr>
            </w:pPr>
            <w:r>
              <w:rPr>
                <w:rFonts w:hint="eastAsia" w:ascii="黑体" w:hAnsi="黑体" w:eastAsia="黑体"/>
              </w:rPr>
              <w:t>参加</w:t>
            </w:r>
          </w:p>
          <w:p>
            <w:pPr>
              <w:jc w:val="center"/>
              <w:rPr>
                <w:rFonts w:ascii="黑体" w:hAnsi="黑体" w:eastAsia="黑体"/>
              </w:rPr>
            </w:pPr>
            <w:r>
              <w:rPr>
                <w:rFonts w:hint="eastAsia" w:ascii="黑体" w:hAnsi="黑体" w:eastAsia="黑体"/>
              </w:rPr>
              <w:t>学员</w:t>
            </w:r>
          </w:p>
          <w:p>
            <w:pPr>
              <w:jc w:val="center"/>
              <w:rPr>
                <w:rFonts w:ascii="黑体" w:hAnsi="黑体" w:eastAsia="黑体"/>
              </w:rPr>
            </w:pPr>
          </w:p>
          <w:p>
            <w:pPr>
              <w:jc w:val="center"/>
              <w:rPr>
                <w:rFonts w:ascii="黑体" w:hAnsi="黑体" w:eastAsia="黑体"/>
              </w:rPr>
            </w:pPr>
          </w:p>
          <w:p>
            <w:pPr>
              <w:jc w:val="center"/>
              <w:rPr>
                <w:rFonts w:ascii="黑体" w:hAnsi="黑体" w:eastAsia="黑体"/>
              </w:rPr>
            </w:pPr>
          </w:p>
        </w:tc>
        <w:tc>
          <w:tcPr>
            <w:tcW w:w="2023" w:type="dxa"/>
            <w:shd w:val="clear" w:color="auto" w:fill="E6E6E6"/>
            <w:vAlign w:val="center"/>
          </w:tcPr>
          <w:p>
            <w:pPr>
              <w:jc w:val="center"/>
              <w:rPr>
                <w:rStyle w:val="16"/>
                <w:rFonts w:ascii="黑体" w:hAnsi="黑体" w:eastAsia="黑体"/>
                <w:b w:val="0"/>
                <w:bCs w:val="0"/>
                <w:szCs w:val="18"/>
              </w:rPr>
            </w:pPr>
            <w:r>
              <w:rPr>
                <w:rStyle w:val="16"/>
                <w:rFonts w:hint="eastAsia" w:ascii="黑体" w:hAnsi="黑体" w:eastAsia="黑体"/>
                <w:b w:val="0"/>
                <w:bCs w:val="0"/>
                <w:szCs w:val="18"/>
              </w:rPr>
              <w:t>姓名</w:t>
            </w:r>
          </w:p>
        </w:tc>
        <w:tc>
          <w:tcPr>
            <w:tcW w:w="2256" w:type="dxa"/>
            <w:gridSpan w:val="2"/>
            <w:shd w:val="clear" w:color="auto" w:fill="E6E6E6"/>
            <w:vAlign w:val="center"/>
          </w:tcPr>
          <w:p>
            <w:pPr>
              <w:jc w:val="center"/>
              <w:rPr>
                <w:rStyle w:val="16"/>
                <w:rFonts w:ascii="黑体" w:hAnsi="黑体" w:eastAsia="黑体"/>
                <w:b w:val="0"/>
                <w:bCs w:val="0"/>
                <w:szCs w:val="18"/>
              </w:rPr>
            </w:pPr>
            <w:r>
              <w:rPr>
                <w:rStyle w:val="16"/>
                <w:rFonts w:hint="eastAsia" w:ascii="黑体" w:hAnsi="黑体" w:eastAsia="黑体"/>
                <w:b w:val="0"/>
                <w:bCs w:val="0"/>
                <w:szCs w:val="18"/>
              </w:rPr>
              <w:t>职务</w:t>
            </w:r>
          </w:p>
        </w:tc>
        <w:tc>
          <w:tcPr>
            <w:tcW w:w="2256" w:type="dxa"/>
            <w:gridSpan w:val="2"/>
            <w:shd w:val="clear" w:color="auto" w:fill="E6E6E6"/>
            <w:vAlign w:val="center"/>
          </w:tcPr>
          <w:p>
            <w:pPr>
              <w:jc w:val="center"/>
              <w:rPr>
                <w:rStyle w:val="16"/>
                <w:rFonts w:ascii="黑体" w:hAnsi="黑体" w:eastAsia="黑体"/>
                <w:b w:val="0"/>
                <w:bCs w:val="0"/>
                <w:szCs w:val="18"/>
              </w:rPr>
            </w:pPr>
            <w:r>
              <w:rPr>
                <w:rStyle w:val="16"/>
                <w:rFonts w:hint="eastAsia" w:ascii="黑体" w:hAnsi="黑体" w:eastAsia="黑体"/>
                <w:b w:val="0"/>
                <w:bCs w:val="0"/>
                <w:szCs w:val="18"/>
              </w:rPr>
              <w:t>手 机</w:t>
            </w:r>
          </w:p>
        </w:tc>
        <w:tc>
          <w:tcPr>
            <w:tcW w:w="2261" w:type="dxa"/>
            <w:shd w:val="clear" w:color="auto" w:fill="E6E6E6"/>
            <w:vAlign w:val="center"/>
          </w:tcPr>
          <w:p>
            <w:pPr>
              <w:jc w:val="center"/>
              <w:rPr>
                <w:rStyle w:val="16"/>
                <w:rFonts w:ascii="黑体" w:hAnsi="黑体" w:eastAsia="黑体"/>
                <w:b w:val="0"/>
                <w:bCs w:val="0"/>
                <w:szCs w:val="18"/>
              </w:rPr>
            </w:pPr>
            <w:r>
              <w:rPr>
                <w:rStyle w:val="16"/>
                <w:rFonts w:hint="eastAsia" w:ascii="黑体" w:hAnsi="黑体" w:eastAsia="黑体"/>
                <w:b w:val="0"/>
                <w:bCs w:val="0"/>
                <w:szCs w:val="18"/>
              </w:rPr>
              <w:t>E-mail</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4" w:hRule="exact"/>
        </w:trPr>
        <w:tc>
          <w:tcPr>
            <w:tcW w:w="1384" w:type="dxa"/>
            <w:vMerge w:val="continue"/>
            <w:vAlign w:val="center"/>
          </w:tcPr>
          <w:p>
            <w:pPr>
              <w:jc w:val="center"/>
              <w:rPr>
                <w:rStyle w:val="16"/>
                <w:rFonts w:ascii="黑体" w:hAnsi="黑体" w:eastAsia="黑体"/>
                <w:b w:val="0"/>
                <w:bCs w:val="0"/>
                <w:szCs w:val="18"/>
              </w:rPr>
            </w:pPr>
          </w:p>
        </w:tc>
        <w:tc>
          <w:tcPr>
            <w:tcW w:w="2023" w:type="dxa"/>
            <w:vAlign w:val="center"/>
          </w:tcPr>
          <w:p>
            <w:pPr>
              <w:jc w:val="center"/>
              <w:rPr>
                <w:rStyle w:val="16"/>
                <w:rFonts w:ascii="黑体" w:hAnsi="黑体" w:eastAsia="黑体"/>
                <w:b w:val="0"/>
                <w:bCs w:val="0"/>
                <w:szCs w:val="18"/>
              </w:rPr>
            </w:pPr>
          </w:p>
        </w:tc>
        <w:tc>
          <w:tcPr>
            <w:tcW w:w="2256" w:type="dxa"/>
            <w:gridSpan w:val="2"/>
            <w:vAlign w:val="center"/>
          </w:tcPr>
          <w:p>
            <w:pPr>
              <w:jc w:val="center"/>
              <w:rPr>
                <w:rStyle w:val="16"/>
                <w:rFonts w:ascii="黑体" w:hAnsi="黑体" w:eastAsia="黑体"/>
                <w:b w:val="0"/>
                <w:bCs w:val="0"/>
                <w:szCs w:val="18"/>
              </w:rPr>
            </w:pPr>
          </w:p>
        </w:tc>
        <w:tc>
          <w:tcPr>
            <w:tcW w:w="2256" w:type="dxa"/>
            <w:gridSpan w:val="2"/>
            <w:vAlign w:val="center"/>
          </w:tcPr>
          <w:p>
            <w:pPr>
              <w:jc w:val="center"/>
              <w:rPr>
                <w:rStyle w:val="16"/>
                <w:rFonts w:ascii="黑体" w:hAnsi="黑体" w:eastAsia="黑体"/>
                <w:b w:val="0"/>
                <w:bCs w:val="0"/>
                <w:szCs w:val="18"/>
              </w:rPr>
            </w:pPr>
          </w:p>
        </w:tc>
        <w:tc>
          <w:tcPr>
            <w:tcW w:w="2261" w:type="dxa"/>
            <w:vAlign w:val="center"/>
          </w:tcPr>
          <w:p>
            <w:pPr>
              <w:jc w:val="center"/>
              <w:rPr>
                <w:rStyle w:val="16"/>
                <w:rFonts w:ascii="黑体" w:hAnsi="黑体" w:eastAsia="黑体"/>
                <w:b w:val="0"/>
                <w:bCs w:val="0"/>
                <w:szCs w:val="18"/>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56" w:hRule="exact"/>
        </w:trPr>
        <w:tc>
          <w:tcPr>
            <w:tcW w:w="1384" w:type="dxa"/>
            <w:vMerge w:val="continue"/>
            <w:vAlign w:val="center"/>
          </w:tcPr>
          <w:p>
            <w:pPr>
              <w:rPr>
                <w:rFonts w:ascii="黑体" w:hAnsi="黑体" w:eastAsia="黑体"/>
              </w:rPr>
            </w:pPr>
          </w:p>
        </w:tc>
        <w:tc>
          <w:tcPr>
            <w:tcW w:w="2023" w:type="dxa"/>
            <w:vAlign w:val="center"/>
          </w:tcPr>
          <w:p>
            <w:pPr>
              <w:rPr>
                <w:rStyle w:val="16"/>
                <w:rFonts w:ascii="黑体" w:hAnsi="黑体" w:eastAsia="黑体"/>
                <w:b w:val="0"/>
                <w:bCs w:val="0"/>
                <w:szCs w:val="18"/>
              </w:rPr>
            </w:pPr>
          </w:p>
        </w:tc>
        <w:tc>
          <w:tcPr>
            <w:tcW w:w="2256" w:type="dxa"/>
            <w:gridSpan w:val="2"/>
            <w:vAlign w:val="center"/>
          </w:tcPr>
          <w:p>
            <w:pPr>
              <w:rPr>
                <w:rStyle w:val="16"/>
                <w:rFonts w:ascii="黑体" w:hAnsi="黑体" w:eastAsia="黑体"/>
                <w:b w:val="0"/>
                <w:bCs w:val="0"/>
                <w:szCs w:val="18"/>
              </w:rPr>
            </w:pPr>
          </w:p>
        </w:tc>
        <w:tc>
          <w:tcPr>
            <w:tcW w:w="2256" w:type="dxa"/>
            <w:gridSpan w:val="2"/>
            <w:vAlign w:val="center"/>
          </w:tcPr>
          <w:p>
            <w:pPr>
              <w:jc w:val="center"/>
              <w:rPr>
                <w:rStyle w:val="16"/>
                <w:rFonts w:ascii="黑体" w:hAnsi="黑体" w:eastAsia="黑体"/>
                <w:b w:val="0"/>
                <w:bCs w:val="0"/>
                <w:szCs w:val="18"/>
              </w:rPr>
            </w:pPr>
          </w:p>
        </w:tc>
        <w:tc>
          <w:tcPr>
            <w:tcW w:w="2261" w:type="dxa"/>
            <w:vAlign w:val="center"/>
          </w:tcPr>
          <w:p>
            <w:pPr>
              <w:rPr>
                <w:rStyle w:val="16"/>
                <w:rFonts w:ascii="黑体" w:hAnsi="黑体" w:eastAsia="黑体"/>
                <w:b w:val="0"/>
                <w:bCs w:val="0"/>
                <w:szCs w:val="18"/>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exact"/>
        </w:trPr>
        <w:tc>
          <w:tcPr>
            <w:tcW w:w="1384" w:type="dxa"/>
            <w:vMerge w:val="continue"/>
            <w:vAlign w:val="center"/>
          </w:tcPr>
          <w:p>
            <w:pPr>
              <w:rPr>
                <w:rFonts w:ascii="黑体" w:hAnsi="黑体" w:eastAsia="黑体"/>
              </w:rPr>
            </w:pPr>
          </w:p>
        </w:tc>
        <w:tc>
          <w:tcPr>
            <w:tcW w:w="2023" w:type="dxa"/>
            <w:vAlign w:val="center"/>
          </w:tcPr>
          <w:p>
            <w:pPr>
              <w:rPr>
                <w:rStyle w:val="16"/>
                <w:rFonts w:ascii="黑体" w:hAnsi="黑体" w:eastAsia="黑体"/>
                <w:b w:val="0"/>
                <w:bCs w:val="0"/>
                <w:szCs w:val="18"/>
              </w:rPr>
            </w:pPr>
          </w:p>
        </w:tc>
        <w:tc>
          <w:tcPr>
            <w:tcW w:w="2256" w:type="dxa"/>
            <w:gridSpan w:val="2"/>
            <w:vAlign w:val="center"/>
          </w:tcPr>
          <w:p>
            <w:pPr>
              <w:rPr>
                <w:rStyle w:val="16"/>
                <w:rFonts w:ascii="黑体" w:hAnsi="黑体" w:eastAsia="黑体"/>
                <w:b w:val="0"/>
                <w:bCs w:val="0"/>
                <w:szCs w:val="18"/>
              </w:rPr>
            </w:pPr>
          </w:p>
        </w:tc>
        <w:tc>
          <w:tcPr>
            <w:tcW w:w="2256" w:type="dxa"/>
            <w:gridSpan w:val="2"/>
            <w:vAlign w:val="center"/>
          </w:tcPr>
          <w:p>
            <w:pPr>
              <w:jc w:val="center"/>
              <w:rPr>
                <w:rStyle w:val="16"/>
                <w:rFonts w:ascii="黑体" w:hAnsi="黑体" w:eastAsia="黑体"/>
                <w:b w:val="0"/>
                <w:bCs w:val="0"/>
                <w:szCs w:val="18"/>
              </w:rPr>
            </w:pPr>
          </w:p>
        </w:tc>
        <w:tc>
          <w:tcPr>
            <w:tcW w:w="2261" w:type="dxa"/>
            <w:vAlign w:val="center"/>
          </w:tcPr>
          <w:p>
            <w:pPr>
              <w:rPr>
                <w:rStyle w:val="16"/>
                <w:rFonts w:ascii="黑体" w:hAnsi="黑体" w:eastAsia="黑体"/>
                <w:b w:val="0"/>
                <w:bCs w:val="0"/>
                <w:szCs w:val="18"/>
              </w:rPr>
            </w:pPr>
          </w:p>
        </w:tc>
      </w:tr>
    </w:tbl>
    <w:p>
      <w:pPr>
        <w:rPr>
          <w:rFonts w:ascii="微软雅黑" w:hAnsi="微软雅黑" w:eastAsia="微软雅黑"/>
          <w:b/>
          <w:sz w:val="36"/>
        </w:rPr>
      </w:pPr>
    </w:p>
    <w:p>
      <w:bookmarkStart w:id="0" w:name="_GoBack"/>
      <w:bookmarkEnd w:id="0"/>
    </w:p>
    <w:sectPr>
      <w:headerReference r:id="rId3" w:type="default"/>
      <w:footerReference r:id="rId4" w:type="default"/>
      <w:pgSz w:w="11906" w:h="16838"/>
      <w:pgMar w:top="720" w:right="720" w:bottom="720" w:left="720" w:header="0" w:footer="56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幼圆">
    <w:altName w:val="宋体"/>
    <w:panose1 w:val="02010509060101010101"/>
    <w:charset w:val="86"/>
    <w:family w:val="modern"/>
    <w:pitch w:val="default"/>
    <w:sig w:usb0="00000000" w:usb1="00000000" w:usb2="00000010" w:usb3="00000000" w:csb0="00040000" w:csb1="00000000"/>
  </w:font>
  <w:font w:name="ˎ̥">
    <w:altName w:val="Courier New"/>
    <w:panose1 w:val="00000000000000000000"/>
    <w:charset w:val="00"/>
    <w:family w:val="roman"/>
    <w:pitch w:val="default"/>
    <w:sig w:usb0="00000000" w:usb1="00000000" w:usb2="00000000" w:usb3="00000000" w:csb0="00040001" w:csb1="00000000"/>
  </w:font>
  <w:font w:name="Courier New">
    <w:panose1 w:val="02070309020205020404"/>
    <w:charset w:val="00"/>
    <w:family w:val="roman"/>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1" w:leftChars="-337" w:right="-718" w:rightChars="-342" w:hanging="707" w:hangingChars="393"/>
    </w:pPr>
    <w:r>
      <w:pict>
        <v:rect id="矩形 23" o:spid="_x0000_s2049" o:spt="1" style="position:absolute;left:0pt;margin-left:-41.6pt;margin-top:34.3pt;height:39.15pt;width:605pt;z-index:251659264;mso-width-relative:page;mso-height-relative:page;" fillcolor="#FF000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">
          <v:path/>
          <v:fill on="t" focussize="0,0"/>
          <v:stroke weight="1pt" color="#FF0000" miterlimit="2"/>
          <v:imagedata o:title=""/>
          <o:lock v:ext="edit"/>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3" w:leftChars="-338" w:right="-718" w:rightChars="-342" w:hanging="707" w:hangingChars="337"/>
    </w:pPr>
    <w:r>
      <w:pict>
        <v:rect id="矩形 43" o:spid="_x0000_s2050" o:spt="1" style="position:absolute;left:0pt;margin-left:-35.05pt;margin-top:-23.85pt;height:13.1pt;width:593.25pt;z-index:251658240;mso-width-relative:page;mso-height-relative:page;" fillcolor="#FF000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">
          <v:path/>
          <v:fill on="t" focussize="0,0"/>
          <v:stroke weight="1pt" color="#FF0000" miterlimit="2"/>
          <v:imagedata o:title=""/>
          <o:lock v:ext="edit"/>
        </v:rect>
      </w:pict>
    </w:r>
    <w:r>
      <w:drawing>
        <wp:inline distT="0" distB="0" distL="0" distR="0">
          <wp:extent cx="7576185" cy="926465"/>
          <wp:effectExtent l="0" t="0" r="5715" b="6985"/>
          <wp:docPr id="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76185" cy="9264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3A7F"/>
    <w:multiLevelType w:val="multilevel"/>
    <w:tmpl w:val="00613A7F"/>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4956597"/>
    <w:multiLevelType w:val="multilevel"/>
    <w:tmpl w:val="0495659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207DDA"/>
    <w:multiLevelType w:val="multilevel"/>
    <w:tmpl w:val="12207DD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19C09A6"/>
    <w:multiLevelType w:val="multilevel"/>
    <w:tmpl w:val="219C09A6"/>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250A2BAE"/>
    <w:multiLevelType w:val="multilevel"/>
    <w:tmpl w:val="250A2BA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931F79"/>
    <w:multiLevelType w:val="multilevel"/>
    <w:tmpl w:val="25931F7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29572C10"/>
    <w:multiLevelType w:val="multilevel"/>
    <w:tmpl w:val="29572C1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2BE35D48"/>
    <w:multiLevelType w:val="multilevel"/>
    <w:tmpl w:val="2BE35D4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2F2E3C8B"/>
    <w:multiLevelType w:val="multilevel"/>
    <w:tmpl w:val="2F2E3C8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428411BD"/>
    <w:multiLevelType w:val="multilevel"/>
    <w:tmpl w:val="428411B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63E355A9"/>
    <w:multiLevelType w:val="multilevel"/>
    <w:tmpl w:val="63E355A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40837E3"/>
    <w:multiLevelType w:val="multilevel"/>
    <w:tmpl w:val="740837E3"/>
    <w:lvl w:ilvl="0" w:tentative="0">
      <w:start w:val="1"/>
      <w:numFmt w:val="none"/>
      <w:pStyle w:val="2"/>
      <w:suff w:val="nothing"/>
      <w:lvlText w:val="%1"/>
      <w:lvlJc w:val="left"/>
      <w:pPr>
        <w:ind w:left="0" w:firstLine="0"/>
      </w:pPr>
      <w:rPr>
        <w:rFonts w:hint="eastAsia"/>
      </w:rPr>
    </w:lvl>
    <w:lvl w:ilvl="1" w:tentative="0">
      <w:start w:val="1"/>
      <w:numFmt w:val="decimal"/>
      <w:pStyle w:val="3"/>
      <w:suff w:val="nothing"/>
      <w:lvlText w:val="%1第%2讲"/>
      <w:lvlJc w:val="left"/>
      <w:pPr>
        <w:ind w:left="0" w:firstLine="0"/>
      </w:pPr>
      <w:rPr>
        <w:rFonts w:hint="eastAsia"/>
        <w:lang w:val="en-US"/>
      </w:rPr>
    </w:lvl>
    <w:lvl w:ilvl="2" w:tentative="0">
      <w:start w:val="1"/>
      <w:numFmt w:val="decimal"/>
      <w:pStyle w:val="4"/>
      <w:suff w:val="nothing"/>
      <w:lvlText w:val="%1%2.%3"/>
      <w:lvlJc w:val="left"/>
      <w:pPr>
        <w:ind w:left="0" w:firstLine="0"/>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tentative="0">
      <w:start w:val="1"/>
      <w:numFmt w:val="decimal"/>
      <w:suff w:val="nothing"/>
      <w:lvlText w:val="%1.%2.%3.%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
    <w:nsid w:val="7A322FAE"/>
    <w:multiLevelType w:val="multilevel"/>
    <w:tmpl w:val="7A322FA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C0815A2"/>
    <w:multiLevelType w:val="multilevel"/>
    <w:tmpl w:val="7C0815A2"/>
    <w:lvl w:ilvl="0" w:tentative="0">
      <w:start w:val="1"/>
      <w:numFmt w:val="bullet"/>
      <w:lvlText w:val=""/>
      <w:lvlJc w:val="left"/>
      <w:pPr>
        <w:ind w:left="420" w:hanging="420"/>
      </w:pPr>
      <w:rPr>
        <w:rFonts w:hint="default" w:ascii="Wingdings" w:hAnsi="Wingdings"/>
        <w:color w:val="FF0000"/>
        <w:sz w:val="21"/>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1"/>
  </w:num>
  <w:num w:numId="2">
    <w:abstractNumId w:val="12"/>
  </w:num>
  <w:num w:numId="3">
    <w:abstractNumId w:val="8"/>
  </w:num>
  <w:num w:numId="4">
    <w:abstractNumId w:val="0"/>
  </w:num>
  <w:num w:numId="5">
    <w:abstractNumId w:val="10"/>
  </w:num>
  <w:num w:numId="6">
    <w:abstractNumId w:val="4"/>
  </w:num>
  <w:num w:numId="7">
    <w:abstractNumId w:val="1"/>
  </w:num>
  <w:num w:numId="8">
    <w:abstractNumId w:val="3"/>
  </w:num>
  <w:num w:numId="9">
    <w:abstractNumId w:val="7"/>
  </w:num>
  <w:num w:numId="10">
    <w:abstractNumId w:val="6"/>
  </w:num>
  <w:num w:numId="11">
    <w:abstractNumId w:val="5"/>
  </w:num>
  <w:num w:numId="12">
    <w:abstractNumId w:val="9"/>
  </w:num>
  <w:num w:numId="13">
    <w:abstractNumId w:val="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6006C"/>
    <w:rsid w:val="000015DB"/>
    <w:rsid w:val="000042CA"/>
    <w:rsid w:val="0001288F"/>
    <w:rsid w:val="0002428E"/>
    <w:rsid w:val="00032E96"/>
    <w:rsid w:val="00045EEE"/>
    <w:rsid w:val="00050E34"/>
    <w:rsid w:val="00052BF3"/>
    <w:rsid w:val="00063EE0"/>
    <w:rsid w:val="00074451"/>
    <w:rsid w:val="000B0523"/>
    <w:rsid w:val="000B429E"/>
    <w:rsid w:val="000B503E"/>
    <w:rsid w:val="000B51C8"/>
    <w:rsid w:val="000C7322"/>
    <w:rsid w:val="000D32C7"/>
    <w:rsid w:val="000D5F25"/>
    <w:rsid w:val="000E7BB7"/>
    <w:rsid w:val="001013E7"/>
    <w:rsid w:val="001105BB"/>
    <w:rsid w:val="0013367C"/>
    <w:rsid w:val="00134725"/>
    <w:rsid w:val="00144D56"/>
    <w:rsid w:val="00162257"/>
    <w:rsid w:val="00187601"/>
    <w:rsid w:val="00190671"/>
    <w:rsid w:val="00194A3F"/>
    <w:rsid w:val="001964B2"/>
    <w:rsid w:val="001B7F01"/>
    <w:rsid w:val="001E490B"/>
    <w:rsid w:val="00247BB3"/>
    <w:rsid w:val="00274B11"/>
    <w:rsid w:val="00281A6D"/>
    <w:rsid w:val="00284C9C"/>
    <w:rsid w:val="0029606F"/>
    <w:rsid w:val="002B69D3"/>
    <w:rsid w:val="002C626E"/>
    <w:rsid w:val="002D0F9B"/>
    <w:rsid w:val="002D3AC9"/>
    <w:rsid w:val="002F6628"/>
    <w:rsid w:val="003063A5"/>
    <w:rsid w:val="003305D9"/>
    <w:rsid w:val="00333738"/>
    <w:rsid w:val="003358C1"/>
    <w:rsid w:val="00343FE4"/>
    <w:rsid w:val="00350452"/>
    <w:rsid w:val="00361C3C"/>
    <w:rsid w:val="00362B19"/>
    <w:rsid w:val="003679A2"/>
    <w:rsid w:val="00371BDB"/>
    <w:rsid w:val="00377644"/>
    <w:rsid w:val="00386590"/>
    <w:rsid w:val="003B73B0"/>
    <w:rsid w:val="003C0251"/>
    <w:rsid w:val="003C6F41"/>
    <w:rsid w:val="003E4E1D"/>
    <w:rsid w:val="003F48BD"/>
    <w:rsid w:val="00415B3B"/>
    <w:rsid w:val="00416675"/>
    <w:rsid w:val="00417648"/>
    <w:rsid w:val="004267CD"/>
    <w:rsid w:val="00445830"/>
    <w:rsid w:val="004472BF"/>
    <w:rsid w:val="004717A0"/>
    <w:rsid w:val="004718F5"/>
    <w:rsid w:val="00481E3F"/>
    <w:rsid w:val="004827E2"/>
    <w:rsid w:val="004B7CB2"/>
    <w:rsid w:val="004D30FE"/>
    <w:rsid w:val="004D5A9D"/>
    <w:rsid w:val="004F0B53"/>
    <w:rsid w:val="00524A7E"/>
    <w:rsid w:val="00535D93"/>
    <w:rsid w:val="0054343A"/>
    <w:rsid w:val="00564E3F"/>
    <w:rsid w:val="00574368"/>
    <w:rsid w:val="00584C54"/>
    <w:rsid w:val="00586CB8"/>
    <w:rsid w:val="005B54FC"/>
    <w:rsid w:val="005E0D2A"/>
    <w:rsid w:val="005E2D42"/>
    <w:rsid w:val="005F22FD"/>
    <w:rsid w:val="00607B63"/>
    <w:rsid w:val="00614988"/>
    <w:rsid w:val="00616082"/>
    <w:rsid w:val="00620B52"/>
    <w:rsid w:val="00637899"/>
    <w:rsid w:val="00637DDF"/>
    <w:rsid w:val="00670D15"/>
    <w:rsid w:val="006737D2"/>
    <w:rsid w:val="006747F4"/>
    <w:rsid w:val="00681474"/>
    <w:rsid w:val="00693689"/>
    <w:rsid w:val="006C3CCA"/>
    <w:rsid w:val="006C6A8B"/>
    <w:rsid w:val="006D3549"/>
    <w:rsid w:val="006E22D3"/>
    <w:rsid w:val="006E7812"/>
    <w:rsid w:val="00700418"/>
    <w:rsid w:val="00705D88"/>
    <w:rsid w:val="00707B5E"/>
    <w:rsid w:val="007148FD"/>
    <w:rsid w:val="0072406B"/>
    <w:rsid w:val="007242A6"/>
    <w:rsid w:val="007244A6"/>
    <w:rsid w:val="00744EC5"/>
    <w:rsid w:val="00745EE6"/>
    <w:rsid w:val="00746341"/>
    <w:rsid w:val="0075322F"/>
    <w:rsid w:val="00753A42"/>
    <w:rsid w:val="007743CC"/>
    <w:rsid w:val="007808D4"/>
    <w:rsid w:val="00781E4A"/>
    <w:rsid w:val="007D628B"/>
    <w:rsid w:val="007D7358"/>
    <w:rsid w:val="007E10F2"/>
    <w:rsid w:val="007F0580"/>
    <w:rsid w:val="007F6172"/>
    <w:rsid w:val="008113E4"/>
    <w:rsid w:val="008159DE"/>
    <w:rsid w:val="00824321"/>
    <w:rsid w:val="008313B2"/>
    <w:rsid w:val="00833E26"/>
    <w:rsid w:val="008420F5"/>
    <w:rsid w:val="008503E4"/>
    <w:rsid w:val="0086201E"/>
    <w:rsid w:val="00870437"/>
    <w:rsid w:val="00870D07"/>
    <w:rsid w:val="00873DE9"/>
    <w:rsid w:val="008A7412"/>
    <w:rsid w:val="008C5894"/>
    <w:rsid w:val="008C6D9C"/>
    <w:rsid w:val="008D115E"/>
    <w:rsid w:val="008D2D0A"/>
    <w:rsid w:val="00901F1A"/>
    <w:rsid w:val="009270BC"/>
    <w:rsid w:val="0092762F"/>
    <w:rsid w:val="00954022"/>
    <w:rsid w:val="00956092"/>
    <w:rsid w:val="0096006C"/>
    <w:rsid w:val="00960686"/>
    <w:rsid w:val="00965D0B"/>
    <w:rsid w:val="009808F5"/>
    <w:rsid w:val="00986271"/>
    <w:rsid w:val="00992513"/>
    <w:rsid w:val="009970F0"/>
    <w:rsid w:val="009A075C"/>
    <w:rsid w:val="009A2CFE"/>
    <w:rsid w:val="009A2E11"/>
    <w:rsid w:val="009A5034"/>
    <w:rsid w:val="009B155F"/>
    <w:rsid w:val="009C787F"/>
    <w:rsid w:val="009E3BE2"/>
    <w:rsid w:val="00A328FB"/>
    <w:rsid w:val="00A419FA"/>
    <w:rsid w:val="00A456DC"/>
    <w:rsid w:val="00A64AD2"/>
    <w:rsid w:val="00A73B99"/>
    <w:rsid w:val="00A84B24"/>
    <w:rsid w:val="00A87640"/>
    <w:rsid w:val="00A878EB"/>
    <w:rsid w:val="00A87A5B"/>
    <w:rsid w:val="00A95261"/>
    <w:rsid w:val="00A95434"/>
    <w:rsid w:val="00AA469C"/>
    <w:rsid w:val="00AA6D48"/>
    <w:rsid w:val="00AE1D24"/>
    <w:rsid w:val="00AE3D39"/>
    <w:rsid w:val="00B26528"/>
    <w:rsid w:val="00B56CBF"/>
    <w:rsid w:val="00B639B6"/>
    <w:rsid w:val="00B64113"/>
    <w:rsid w:val="00B64CF5"/>
    <w:rsid w:val="00B83568"/>
    <w:rsid w:val="00B9423C"/>
    <w:rsid w:val="00BB6707"/>
    <w:rsid w:val="00BD1E2E"/>
    <w:rsid w:val="00BE1122"/>
    <w:rsid w:val="00BE1B6C"/>
    <w:rsid w:val="00BE712C"/>
    <w:rsid w:val="00C229E6"/>
    <w:rsid w:val="00C51C85"/>
    <w:rsid w:val="00C629E5"/>
    <w:rsid w:val="00C71793"/>
    <w:rsid w:val="00CD25EF"/>
    <w:rsid w:val="00CD2D7B"/>
    <w:rsid w:val="00CD3B57"/>
    <w:rsid w:val="00CD4E01"/>
    <w:rsid w:val="00CF6F59"/>
    <w:rsid w:val="00D05DF0"/>
    <w:rsid w:val="00D10141"/>
    <w:rsid w:val="00D14033"/>
    <w:rsid w:val="00D22183"/>
    <w:rsid w:val="00D235C4"/>
    <w:rsid w:val="00D25513"/>
    <w:rsid w:val="00D2585C"/>
    <w:rsid w:val="00D3718B"/>
    <w:rsid w:val="00D37F0E"/>
    <w:rsid w:val="00D546D8"/>
    <w:rsid w:val="00D64A8A"/>
    <w:rsid w:val="00D704DD"/>
    <w:rsid w:val="00D7114D"/>
    <w:rsid w:val="00D95153"/>
    <w:rsid w:val="00DB7B7B"/>
    <w:rsid w:val="00DD241D"/>
    <w:rsid w:val="00DD7EE8"/>
    <w:rsid w:val="00DE0B18"/>
    <w:rsid w:val="00DE43F5"/>
    <w:rsid w:val="00DE6C57"/>
    <w:rsid w:val="00E468B8"/>
    <w:rsid w:val="00E47275"/>
    <w:rsid w:val="00E603B0"/>
    <w:rsid w:val="00E72B44"/>
    <w:rsid w:val="00E83390"/>
    <w:rsid w:val="00EA29E7"/>
    <w:rsid w:val="00EA67D2"/>
    <w:rsid w:val="00EB4FD3"/>
    <w:rsid w:val="00EC3167"/>
    <w:rsid w:val="00EC66DE"/>
    <w:rsid w:val="00ED4331"/>
    <w:rsid w:val="00EE18BA"/>
    <w:rsid w:val="00EE3477"/>
    <w:rsid w:val="00EE59A3"/>
    <w:rsid w:val="00EF0D19"/>
    <w:rsid w:val="00F211AB"/>
    <w:rsid w:val="00F2162D"/>
    <w:rsid w:val="00F24141"/>
    <w:rsid w:val="00F30826"/>
    <w:rsid w:val="00F30EB5"/>
    <w:rsid w:val="00F418FC"/>
    <w:rsid w:val="00F44243"/>
    <w:rsid w:val="00F53BAE"/>
    <w:rsid w:val="00F55C25"/>
    <w:rsid w:val="00F614CA"/>
    <w:rsid w:val="00F63EA9"/>
    <w:rsid w:val="00F74166"/>
    <w:rsid w:val="00FA7286"/>
    <w:rsid w:val="00FC49AE"/>
    <w:rsid w:val="00FE0F7B"/>
    <w:rsid w:val="00FF6990"/>
    <w:rsid w:val="08CC176A"/>
    <w:rsid w:val="1C66055E"/>
    <w:rsid w:val="1E59101B"/>
    <w:rsid w:val="1EA4381C"/>
    <w:rsid w:val="1FC854A4"/>
    <w:rsid w:val="215D0D9C"/>
    <w:rsid w:val="27944D9A"/>
    <w:rsid w:val="2A965048"/>
    <w:rsid w:val="2EE73107"/>
    <w:rsid w:val="32155F4C"/>
    <w:rsid w:val="351D3E0C"/>
    <w:rsid w:val="3B781713"/>
    <w:rsid w:val="3DE17E7F"/>
    <w:rsid w:val="44EB4048"/>
    <w:rsid w:val="4A820A3B"/>
    <w:rsid w:val="56C67F63"/>
    <w:rsid w:val="57E24D15"/>
    <w:rsid w:val="654B1D62"/>
    <w:rsid w:val="74CB33EF"/>
    <w:rsid w:val="74DE1AB1"/>
    <w:rsid w:val="7A0A24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9"/>
    <w:qFormat/>
    <w:uiPriority w:val="9"/>
    <w:pPr>
      <w:keepNext/>
      <w:keepLines/>
      <w:numPr>
        <w:ilvl w:val="0"/>
        <w:numId w:val="1"/>
      </w:numPr>
      <w:adjustRightInd w:val="0"/>
      <w:snapToGrid w:val="0"/>
      <w:spacing w:beforeLines="50" w:afterLines="50"/>
      <w:outlineLvl w:val="0"/>
    </w:pPr>
    <w:rPr>
      <w:rFonts w:eastAsia="微软雅黑" w:asciiTheme="minorHAnsi" w:hAnsiTheme="minorHAnsi" w:cstheme="minorBidi"/>
      <w:b/>
      <w:bCs/>
      <w:color w:val="0070C0"/>
      <w:kern w:val="44"/>
      <w:sz w:val="32"/>
      <w:szCs w:val="44"/>
    </w:rPr>
  </w:style>
  <w:style w:type="paragraph" w:styleId="3">
    <w:name w:val="heading 2"/>
    <w:next w:val="1"/>
    <w:link w:val="30"/>
    <w:unhideWhenUsed/>
    <w:qFormat/>
    <w:uiPriority w:val="9"/>
    <w:pPr>
      <w:keepNext/>
      <w:keepLines/>
      <w:numPr>
        <w:ilvl w:val="1"/>
        <w:numId w:val="1"/>
      </w:numPr>
      <w:adjustRightInd w:val="0"/>
      <w:spacing w:line="312" w:lineRule="auto"/>
      <w:outlineLvl w:val="1"/>
    </w:pPr>
    <w:rPr>
      <w:rFonts w:eastAsia="微软雅黑" w:asciiTheme="majorHAnsi" w:hAnsiTheme="majorHAnsi" w:cstheme="majorBidi"/>
      <w:b/>
      <w:bCs/>
      <w:color w:val="0070C0"/>
      <w:kern w:val="2"/>
      <w:sz w:val="32"/>
      <w:szCs w:val="32"/>
      <w:lang w:val="en-US" w:eastAsia="zh-CN" w:bidi="ar-SA"/>
    </w:rPr>
  </w:style>
  <w:style w:type="paragraph" w:styleId="4">
    <w:name w:val="heading 3"/>
    <w:next w:val="1"/>
    <w:link w:val="31"/>
    <w:unhideWhenUsed/>
    <w:qFormat/>
    <w:uiPriority w:val="9"/>
    <w:pPr>
      <w:keepNext/>
      <w:keepLines/>
      <w:numPr>
        <w:ilvl w:val="2"/>
        <w:numId w:val="1"/>
      </w:numPr>
      <w:adjustRightInd w:val="0"/>
      <w:snapToGrid w:val="0"/>
      <w:spacing w:beforeLines="50" w:afterLines="50"/>
      <w:outlineLvl w:val="2"/>
    </w:pPr>
    <w:rPr>
      <w:rFonts w:eastAsia="微软雅黑" w:asciiTheme="minorHAnsi" w:hAnsiTheme="minorHAnsi" w:cstheme="minorBidi"/>
      <w:b/>
      <w:bCs/>
      <w:kern w:val="2"/>
      <w:sz w:val="21"/>
      <w:szCs w:val="32"/>
      <w:lang w:val="en-US" w:eastAsia="zh-CN" w:bidi="ar-SA"/>
    </w:rPr>
  </w:style>
  <w:style w:type="paragraph" w:styleId="5">
    <w:name w:val="heading 4"/>
    <w:basedOn w:val="1"/>
    <w:next w:val="1"/>
    <w:link w:val="3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9"/>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0"/>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5">
    <w:name w:val="Default Paragraph Font"/>
    <w:unhideWhenUsed/>
    <w:uiPriority w:val="1"/>
  </w:style>
  <w:style w:type="table" w:default="1" w:styleId="18">
    <w:name w:val="Normal Table"/>
    <w:unhideWhenUsed/>
    <w:qFormat/>
    <w:uiPriority w:val="99"/>
    <w:tblPr>
      <w:tblLayout w:type="fixed"/>
      <w:tblCellMar>
        <w:top w:w="0" w:type="dxa"/>
        <w:left w:w="108" w:type="dxa"/>
        <w:bottom w:w="0" w:type="dxa"/>
        <w:right w:w="108" w:type="dxa"/>
      </w:tblCellMar>
    </w:tblPr>
  </w:style>
  <w:style w:type="paragraph" w:styleId="8">
    <w:name w:val="caption"/>
    <w:basedOn w:val="1"/>
    <w:next w:val="1"/>
    <w:unhideWhenUsed/>
    <w:qFormat/>
    <w:uiPriority w:val="35"/>
    <w:rPr>
      <w:rFonts w:eastAsia="黑体" w:asciiTheme="majorHAnsi" w:hAnsiTheme="majorHAnsi" w:cstheme="majorBidi"/>
      <w:sz w:val="20"/>
    </w:rPr>
  </w:style>
  <w:style w:type="paragraph" w:styleId="9">
    <w:name w:val="Body Text"/>
    <w:basedOn w:val="1"/>
    <w:unhideWhenUsed/>
    <w:qFormat/>
    <w:uiPriority w:val="0"/>
    <w:pPr>
      <w:spacing w:line="360" w:lineRule="auto"/>
    </w:pPr>
    <w:rPr>
      <w:sz w:val="24"/>
    </w:rPr>
  </w:style>
  <w:style w:type="paragraph" w:styleId="10">
    <w:name w:val="Balloon Text"/>
    <w:basedOn w:val="1"/>
    <w:link w:val="24"/>
    <w:unhideWhenUsed/>
    <w:qFormat/>
    <w:uiPriority w:val="0"/>
    <w:rPr>
      <w:sz w:val="18"/>
      <w:szCs w:val="18"/>
    </w:r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HTML Preformatted"/>
    <w:basedOn w:val="1"/>
    <w:link w:val="4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Times New Roman"/>
      <w:kern w:val="0"/>
      <w:szCs w:val="21"/>
      <w:lang w:val="en-US" w:eastAsia="zh-CN"/>
    </w:rPr>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6">
    <w:name w:val="Strong"/>
    <w:qFormat/>
    <w:uiPriority w:val="0"/>
    <w:rPr>
      <w:b/>
      <w:bCs/>
    </w:rPr>
  </w:style>
  <w:style w:type="character" w:styleId="17">
    <w:name w:val="Hyperlink"/>
    <w:basedOn w:val="15"/>
    <w:unhideWhenUsed/>
    <w:uiPriority w:val="99"/>
    <w:rPr>
      <w:color w:val="0000FF"/>
      <w:u w:val="single"/>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20">
    <w:name w:val="Light List Accent 3"/>
    <w:basedOn w:val="18"/>
    <w:qFormat/>
    <w:uiPriority w:val="61"/>
    <w:rPr>
      <w:rFonts w:asciiTheme="minorHAnsi" w:hAnsiTheme="minorHAnsi" w:eastAsiaTheme="minorEastAsia" w:cstheme="minorBidi"/>
      <w:sz w:val="22"/>
      <w:szCs w:val="22"/>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Layout w:type="fixed"/>
    </w:tblPr>
    <w:tblStylePr w:type="firstRow">
      <w:pPr>
        <w:spacing w:before="0" w:after="0" w:line="240" w:lineRule="auto"/>
      </w:pPr>
      <w:rPr>
        <w:b/>
        <w:bCs/>
        <w:color w:val="FFFFFF" w:themeColor="background1"/>
      </w:rPr>
      <w:tblPr>
        <w:tblLayout w:type="fixed"/>
      </w:tblPr>
      <w:tcPr>
        <w:shd w:val="clear" w:color="auto" w:fill="9BBB59" w:themeFill="accent3"/>
      </w:tcPr>
    </w:tblStylePr>
    <w:tblStylePr w:type="lastRow">
      <w:pPr>
        <w:spacing w:before="0" w:after="0" w:line="240" w:lineRule="auto"/>
      </w:pPr>
      <w:rPr>
        <w:b/>
        <w:bCs/>
      </w:rPr>
      <w:tblPr>
        <w:tblLayout w:type="fixed"/>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blLayout w:type="fixed"/>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blLayout w:type="fixed"/>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paragraph" w:customStyle="1" w:styleId="21">
    <w:name w:val="列出段落1"/>
    <w:basedOn w:val="1"/>
    <w:qFormat/>
    <w:uiPriority w:val="34"/>
    <w:pPr>
      <w:ind w:firstLine="420" w:firstLineChars="200"/>
    </w:pPr>
    <w:rPr>
      <w:rFonts w:ascii="Calibri" w:hAnsi="Calibri"/>
      <w:szCs w:val="22"/>
    </w:rPr>
  </w:style>
  <w:style w:type="character" w:customStyle="1" w:styleId="22">
    <w:name w:val="页眉 Char"/>
    <w:basedOn w:val="15"/>
    <w:link w:val="12"/>
    <w:qFormat/>
    <w:uiPriority w:val="99"/>
    <w:rPr>
      <w:sz w:val="18"/>
      <w:szCs w:val="18"/>
    </w:rPr>
  </w:style>
  <w:style w:type="character" w:customStyle="1" w:styleId="23">
    <w:name w:val="页脚 Char"/>
    <w:basedOn w:val="15"/>
    <w:link w:val="11"/>
    <w:qFormat/>
    <w:uiPriority w:val="99"/>
    <w:rPr>
      <w:sz w:val="18"/>
      <w:szCs w:val="18"/>
    </w:rPr>
  </w:style>
  <w:style w:type="character" w:customStyle="1" w:styleId="24">
    <w:name w:val="批注框文本 Char"/>
    <w:basedOn w:val="15"/>
    <w:link w:val="10"/>
    <w:semiHidden/>
    <w:qFormat/>
    <w:uiPriority w:val="0"/>
    <w:rPr>
      <w:kern w:val="2"/>
      <w:sz w:val="18"/>
      <w:szCs w:val="18"/>
    </w:rPr>
  </w:style>
  <w:style w:type="paragraph" w:customStyle="1" w:styleId="25">
    <w:name w:val="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6">
    <w:name w:val="列出段落2"/>
    <w:basedOn w:val="1"/>
    <w:qFormat/>
    <w:uiPriority w:val="0"/>
    <w:pPr>
      <w:ind w:firstLine="420" w:firstLineChars="200"/>
    </w:pPr>
    <w:rPr>
      <w:rFonts w:ascii="Calibri" w:hAnsi="Calibri"/>
      <w:szCs w:val="22"/>
    </w:rPr>
  </w:style>
  <w:style w:type="character" w:customStyle="1" w:styleId="27">
    <w:name w:val="style681"/>
    <w:basedOn w:val="15"/>
    <w:qFormat/>
    <w:uiPriority w:val="0"/>
    <w:rPr>
      <w:color w:val="000033"/>
      <w:sz w:val="20"/>
      <w:szCs w:val="20"/>
    </w:rPr>
  </w:style>
  <w:style w:type="character" w:customStyle="1" w:styleId="28">
    <w:name w:val="course_content1"/>
    <w:basedOn w:val="15"/>
    <w:qFormat/>
    <w:uiPriority w:val="0"/>
    <w:rPr>
      <w:rFonts w:hint="default" w:ascii="Arial" w:hAnsi="Arial" w:cs="Arial"/>
      <w:sz w:val="21"/>
      <w:szCs w:val="21"/>
    </w:rPr>
  </w:style>
  <w:style w:type="character" w:customStyle="1" w:styleId="29">
    <w:name w:val="标题 1 Char"/>
    <w:basedOn w:val="15"/>
    <w:link w:val="2"/>
    <w:qFormat/>
    <w:uiPriority w:val="9"/>
    <w:rPr>
      <w:rFonts w:eastAsia="微软雅黑" w:asciiTheme="minorHAnsi" w:hAnsiTheme="minorHAnsi" w:cstheme="minorBidi"/>
      <w:b/>
      <w:bCs/>
      <w:color w:val="0070C0"/>
      <w:kern w:val="44"/>
      <w:sz w:val="32"/>
      <w:szCs w:val="44"/>
    </w:rPr>
  </w:style>
  <w:style w:type="character" w:customStyle="1" w:styleId="30">
    <w:name w:val="标题 2 Char"/>
    <w:basedOn w:val="15"/>
    <w:link w:val="3"/>
    <w:qFormat/>
    <w:uiPriority w:val="9"/>
    <w:rPr>
      <w:rFonts w:eastAsia="微软雅黑" w:asciiTheme="majorHAnsi" w:hAnsiTheme="majorHAnsi" w:cstheme="majorBidi"/>
      <w:b/>
      <w:bCs/>
      <w:color w:val="0070C0"/>
      <w:kern w:val="2"/>
      <w:sz w:val="32"/>
      <w:szCs w:val="32"/>
    </w:rPr>
  </w:style>
  <w:style w:type="character" w:customStyle="1" w:styleId="31">
    <w:name w:val="标题 3 Char"/>
    <w:basedOn w:val="15"/>
    <w:link w:val="4"/>
    <w:qFormat/>
    <w:uiPriority w:val="9"/>
    <w:rPr>
      <w:rFonts w:eastAsia="微软雅黑" w:asciiTheme="minorHAnsi" w:hAnsiTheme="minorHAnsi" w:cstheme="minorBidi"/>
      <w:b/>
      <w:bCs/>
      <w:kern w:val="2"/>
      <w:sz w:val="21"/>
      <w:szCs w:val="32"/>
    </w:rPr>
  </w:style>
  <w:style w:type="character" w:customStyle="1" w:styleId="32">
    <w:name w:val="标题 4 Char"/>
    <w:basedOn w:val="15"/>
    <w:link w:val="5"/>
    <w:semiHidden/>
    <w:qFormat/>
    <w:uiPriority w:val="9"/>
    <w:rPr>
      <w:rFonts w:asciiTheme="majorHAnsi" w:hAnsiTheme="majorHAnsi" w:eastAsiaTheme="majorEastAsia" w:cstheme="majorBidi"/>
      <w:b/>
      <w:bCs/>
      <w:kern w:val="2"/>
      <w:sz w:val="28"/>
      <w:szCs w:val="28"/>
    </w:rPr>
  </w:style>
  <w:style w:type="paragraph" w:customStyle="1" w:styleId="33">
    <w:name w:val="列出段落3"/>
    <w:basedOn w:val="1"/>
    <w:unhideWhenUsed/>
    <w:qFormat/>
    <w:uiPriority w:val="34"/>
    <w:pPr>
      <w:ind w:firstLine="420" w:firstLineChars="200"/>
    </w:pPr>
  </w:style>
  <w:style w:type="paragraph" w:customStyle="1" w:styleId="34">
    <w:name w:val="列出段落4"/>
    <w:basedOn w:val="1"/>
    <w:unhideWhenUsed/>
    <w:qFormat/>
    <w:uiPriority w:val="99"/>
    <w:pPr>
      <w:ind w:firstLine="420" w:firstLineChars="200"/>
    </w:pPr>
  </w:style>
  <w:style w:type="paragraph" w:customStyle="1" w:styleId="35">
    <w:name w:val="无间隔1"/>
    <w:link w:val="36"/>
    <w:qFormat/>
    <w:uiPriority w:val="1"/>
    <w:pPr>
      <w:widowControl w:val="0"/>
      <w:jc w:val="both"/>
    </w:pPr>
    <w:rPr>
      <w:rFonts w:ascii="Calibri" w:hAnsi="Calibri" w:eastAsia="宋体" w:cs="Times New Roman"/>
      <w:kern w:val="2"/>
      <w:sz w:val="21"/>
      <w:szCs w:val="22"/>
      <w:lang w:val="en-US" w:eastAsia="zh-CN" w:bidi="ar-SA"/>
    </w:rPr>
  </w:style>
  <w:style w:type="character" w:customStyle="1" w:styleId="36">
    <w:name w:val="无间隔 Char"/>
    <w:link w:val="35"/>
    <w:qFormat/>
    <w:uiPriority w:val="1"/>
    <w:rPr>
      <w:rFonts w:ascii="Calibri" w:hAnsi="Calibri"/>
      <w:kern w:val="2"/>
      <w:sz w:val="21"/>
      <w:szCs w:val="22"/>
    </w:rPr>
  </w:style>
  <w:style w:type="paragraph" w:customStyle="1" w:styleId="37">
    <w:name w:val="列出段落5"/>
    <w:basedOn w:val="1"/>
    <w:unhideWhenUsed/>
    <w:qFormat/>
    <w:uiPriority w:val="99"/>
    <w:pPr>
      <w:ind w:firstLine="420" w:firstLineChars="200"/>
    </w:pPr>
  </w:style>
  <w:style w:type="paragraph" w:customStyle="1" w:styleId="38">
    <w:name w:val="List Paragraph"/>
    <w:basedOn w:val="1"/>
    <w:unhideWhenUsed/>
    <w:qFormat/>
    <w:uiPriority w:val="99"/>
    <w:pPr>
      <w:ind w:firstLine="420" w:firstLineChars="200"/>
    </w:pPr>
  </w:style>
  <w:style w:type="character" w:customStyle="1" w:styleId="39">
    <w:name w:val="标题 5 Char"/>
    <w:basedOn w:val="15"/>
    <w:link w:val="6"/>
    <w:semiHidden/>
    <w:qFormat/>
    <w:uiPriority w:val="9"/>
    <w:rPr>
      <w:b/>
      <w:bCs/>
      <w:kern w:val="2"/>
      <w:sz w:val="28"/>
      <w:szCs w:val="28"/>
    </w:rPr>
  </w:style>
  <w:style w:type="character" w:customStyle="1" w:styleId="40">
    <w:name w:val="标题 6 Char"/>
    <w:basedOn w:val="15"/>
    <w:link w:val="7"/>
    <w:semiHidden/>
    <w:qFormat/>
    <w:uiPriority w:val="9"/>
    <w:rPr>
      <w:rFonts w:asciiTheme="majorHAnsi" w:hAnsiTheme="majorHAnsi" w:eastAsiaTheme="majorEastAsia" w:cstheme="majorBidi"/>
      <w:b/>
      <w:bCs/>
      <w:kern w:val="2"/>
      <w:sz w:val="24"/>
      <w:szCs w:val="24"/>
    </w:rPr>
  </w:style>
  <w:style w:type="character" w:customStyle="1" w:styleId="41">
    <w:name w:val="apple-converted-space"/>
    <w:basedOn w:val="15"/>
    <w:qFormat/>
    <w:uiPriority w:val="0"/>
  </w:style>
  <w:style w:type="character" w:customStyle="1" w:styleId="42">
    <w:name w:val="HTML 预设格式 Char"/>
    <w:basedOn w:val="15"/>
    <w:link w:val="13"/>
    <w:qFormat/>
    <w:uiPriority w:val="0"/>
    <w:rPr>
      <w:rFonts w:ascii="Arial" w:hAnsi="Arial" w:eastAsia="Times New Roman"/>
      <w:sz w:val="21"/>
      <w:szCs w:val="21"/>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Info spid="_x0000_s106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4A6DC9-D663-4A0A-BC51-8B0313641D11}">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Pages>
  <Words>502</Words>
  <Characters>2862</Characters>
  <Lines>23</Lines>
  <Paragraphs>6</Paragraphs>
  <TotalTime>0</TotalTime>
  <ScaleCrop>false</ScaleCrop>
  <LinksUpToDate>false</LinksUpToDate>
  <CharactersWithSpaces>3358</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2015-08-03T10:11:00Z</dcterms:created>
  <dc:creator>nina</dc:creator>
  <cp:lastModifiedBy>Administrator</cp:lastModifiedBy>
  <cp:lastPrinted>2015-07-07T09:25:00Z</cp:lastPrinted>
  <dcterms:modified xsi:type="dcterms:W3CDTF">2017-08-04T03:21:50Z</dcterms:modified>
  <dc:title>《压力与情绪管理》</dc:title>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