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pacing w:val="20"/>
          <w:sz w:val="48"/>
          <w:szCs w:val="48"/>
        </w:rPr>
        <w:t>《办公必备技能--PPT高效制作（小白班）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》</w:t>
      </w:r>
    </w:p>
    <w:p>
      <w:pPr>
        <w:jc w:val="center"/>
        <w:rPr>
          <w:rFonts w:ascii="Arial" w:hAnsi="Arial" w:cs="Arial"/>
          <w:kern w:val="0"/>
        </w:rPr>
      </w:pPr>
      <w:r>
        <w:rPr>
          <w:rFonts w:hint="eastAsia" w:ascii="微软雅黑" w:hAnsi="微软雅黑" w:eastAsia="微软雅黑"/>
          <w:b/>
          <w:sz w:val="28"/>
        </w:rPr>
        <w:t>主讲：Microsoft资深授权培训师    马建强</w:t>
      </w:r>
    </w:p>
    <w:tbl>
      <w:tblPr>
        <w:tblStyle w:val="13"/>
        <w:tblW w:w="1059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7"/>
        <w:gridCol w:w="3679"/>
        <w:gridCol w:w="340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7196" w:type="dxa"/>
            <w:gridSpan w:val="2"/>
            <w:shd w:val="clear" w:color="auto" w:fill="auto"/>
          </w:tcPr>
          <w:p>
            <w:pPr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课程收益</w:t>
            </w:r>
          </w:p>
          <w:p>
            <w:pPr>
              <w:ind w:left="420" w:left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某外企高管说：我的职场是PPT人生——上班做PPT，开会讲PPT，加班改PPT。</w:t>
            </w:r>
          </w:p>
          <w:p>
            <w:pPr>
              <w:ind w:firstLine="420" w:firstLine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你是否也曾为PPT加班熬夜，你是否也曾为PPT纠结焦灼。</w:t>
            </w:r>
          </w:p>
          <w:p>
            <w:pPr>
              <w:ind w:firstLine="420" w:firstLine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如何提升PPT制作效率，将生命用于更重要的事情。</w:t>
            </w:r>
          </w:p>
          <w:p>
            <w:pPr>
              <w:ind w:firstLine="420" w:firstLine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本</w:t>
            </w:r>
            <w:r>
              <w:rPr>
                <w:rFonts w:ascii="宋体" w:hAnsi="宋体"/>
              </w:rPr>
              <w:t>课程为PPT演示应用初级</w:t>
            </w:r>
            <w:r>
              <w:rPr>
                <w:rFonts w:hint="eastAsia" w:ascii="宋体" w:hAnsi="宋体"/>
              </w:rPr>
              <w:t>进阶</w:t>
            </w:r>
            <w:r>
              <w:rPr>
                <w:rFonts w:ascii="宋体" w:hAnsi="宋体"/>
              </w:rPr>
              <w:t>课程，偏重</w:t>
            </w:r>
            <w:r>
              <w:rPr>
                <w:rFonts w:hint="eastAsia" w:ascii="宋体" w:hAnsi="宋体"/>
              </w:rPr>
              <w:t>OFFICE之</w:t>
            </w:r>
            <w:r>
              <w:rPr>
                <w:rFonts w:ascii="宋体" w:hAnsi="宋体"/>
              </w:rPr>
              <w:t>PPT技术规范与效率提</w:t>
            </w:r>
            <w:r>
              <w:rPr>
                <w:rFonts w:hint="eastAsia" w:ascii="宋体" w:hAnsi="宋体"/>
              </w:rPr>
              <w:t>升</w:t>
            </w:r>
            <w:r>
              <w:rPr>
                <w:rFonts w:ascii="宋体" w:hAnsi="宋体"/>
              </w:rPr>
              <w:t>，</w:t>
            </w:r>
            <w:r>
              <w:rPr>
                <w:rFonts w:hint="eastAsia" w:ascii="宋体" w:hAnsi="宋体"/>
              </w:rPr>
              <w:t>适</w:t>
            </w:r>
            <w:r>
              <w:rPr>
                <w:rFonts w:ascii="宋体" w:hAnsi="宋体"/>
              </w:rPr>
              <w:t>合</w:t>
            </w:r>
            <w:r>
              <w:rPr>
                <w:rFonts w:hint="eastAsia" w:ascii="宋体" w:hAnsi="宋体"/>
              </w:rPr>
              <w:t>基础</w:t>
            </w:r>
            <w:r>
              <w:rPr>
                <w:rFonts w:ascii="宋体" w:hAnsi="宋体"/>
              </w:rPr>
              <w:t>比较薄弱或没有</w:t>
            </w:r>
            <w:r>
              <w:rPr>
                <w:rFonts w:hint="eastAsia" w:ascii="宋体" w:hAnsi="宋体"/>
              </w:rPr>
              <w:t>使用</w:t>
            </w:r>
            <w:r>
              <w:rPr>
                <w:rFonts w:ascii="宋体" w:hAnsi="宋体"/>
              </w:rPr>
              <w:t>经验的学员，</w:t>
            </w:r>
            <w:r>
              <w:rPr>
                <w:rFonts w:hint="eastAsia" w:ascii="宋体" w:hAnsi="宋体"/>
              </w:rPr>
              <w:t>帮助学员熟练PPT规范与各项功能与操作，提高效率，成为PPT设计制作高手。</w:t>
            </w:r>
          </w:p>
          <w:p>
            <w:pPr>
              <w:spacing w:line="276" w:lineRule="auto"/>
              <w:ind w:left="360"/>
            </w:pPr>
          </w:p>
        </w:tc>
        <w:tc>
          <w:tcPr>
            <w:tcW w:w="3402" w:type="dxa"/>
            <w:vMerge w:val="restart"/>
            <w:tcBorders>
              <w:left w:val="nil"/>
              <w:bottom w:val="nil"/>
            </w:tcBorders>
            <w:shd w:val="clear" w:color="auto" w:fill="FF0000"/>
          </w:tcPr>
          <w:p>
            <w:pPr>
              <w:rPr>
                <w:rFonts w:ascii="微软雅黑" w:hAnsi="微软雅黑" w:eastAsia="微软雅黑"/>
                <w:b/>
                <w:color w:val="FFFFFF"/>
                <w:sz w:val="32"/>
              </w:rPr>
            </w:pPr>
          </w:p>
          <w:p>
            <w:pPr>
              <w:ind w:left="287" w:leftChars="39" w:hanging="205" w:hangingChars="64"/>
              <w:rPr>
                <w:rFonts w:ascii="微软雅黑" w:hAnsi="微软雅黑" w:eastAsia="微软雅黑"/>
                <w:b/>
                <w:color w:val="FFFFFF"/>
                <w:sz w:val="32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32"/>
              </w:rPr>
              <w:t>时间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2017年9月 15日9:30至17:00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2017年9月 16日9:00至16:30</w:t>
            </w:r>
          </w:p>
          <w:p>
            <w:pPr>
              <w:ind w:left="287" w:leftChars="39" w:hanging="205" w:hangingChars="64"/>
              <w:rPr>
                <w:rFonts w:ascii="微软雅黑" w:hAnsi="微软雅黑" w:eastAsia="微软雅黑"/>
                <w:b/>
                <w:color w:val="FFFFFF"/>
                <w:sz w:val="32"/>
              </w:rPr>
            </w:pPr>
          </w:p>
          <w:p>
            <w:pPr>
              <w:ind w:left="287" w:leftChars="39" w:hanging="205" w:hangingChars="64"/>
              <w:rPr>
                <w:rFonts w:ascii="微软雅黑" w:hAnsi="微软雅黑" w:eastAsia="微软雅黑"/>
                <w:b/>
                <w:color w:val="FFFFFF"/>
                <w:sz w:val="32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32"/>
              </w:rPr>
              <w:t>地点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ascii="幼圆" w:hAnsi="微软雅黑" w:eastAsia="幼圆"/>
                <w:b/>
                <w:color w:val="FFFFFF"/>
                <w:szCs w:val="21"/>
              </w:rPr>
              <w:t>杭州时代光华教育发展有限公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司二楼</w:t>
            </w:r>
            <w:r>
              <w:rPr>
                <w:rFonts w:ascii="幼圆" w:hAnsi="微软雅黑" w:eastAsia="幼圆"/>
                <w:b/>
                <w:color w:val="FFFFFF"/>
                <w:szCs w:val="21"/>
              </w:rPr>
              <w:t>大培训教室</w:t>
            </w: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阿凡达</w:t>
            </w:r>
            <w:r>
              <w:rPr>
                <w:rFonts w:ascii="幼圆" w:hAnsi="微软雅黑" w:eastAsia="幼圆"/>
                <w:b/>
                <w:color w:val="FFFFFF"/>
                <w:szCs w:val="21"/>
              </w:rPr>
              <w:t>（杭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ascii="幼圆" w:hAnsi="微软雅黑" w:eastAsia="幼圆"/>
                <w:b/>
                <w:color w:val="FFFFFF"/>
                <w:szCs w:val="21"/>
              </w:rPr>
              <w:t>州市西湖区</w:t>
            </w: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文一</w:t>
            </w:r>
            <w:r>
              <w:rPr>
                <w:rFonts w:ascii="幼圆" w:hAnsi="微软雅黑" w:eastAsia="幼圆"/>
                <w:b/>
                <w:color w:val="FFFFFF"/>
                <w:szCs w:val="21"/>
              </w:rPr>
              <w:t>西路522号西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ascii="幼圆" w:hAnsi="微软雅黑" w:eastAsia="幼圆"/>
                <w:b/>
                <w:color w:val="FFFFFF"/>
                <w:szCs w:val="21"/>
              </w:rPr>
              <w:t>溪科创园</w:t>
            </w: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8</w:t>
            </w:r>
            <w:r>
              <w:rPr>
                <w:rFonts w:ascii="幼圆" w:hAnsi="微软雅黑" w:eastAsia="幼圆"/>
                <w:b/>
                <w:color w:val="FFFFFF"/>
                <w:szCs w:val="21"/>
              </w:rPr>
              <w:t>号楼，蒋村公交中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ascii="幼圆" w:hAnsi="微软雅黑" w:eastAsia="幼圆"/>
                <w:b/>
                <w:color w:val="FFFFFF"/>
                <w:szCs w:val="21"/>
              </w:rPr>
              <w:t>心站对面）</w:t>
            </w:r>
          </w:p>
          <w:p>
            <w:pPr>
              <w:rPr>
                <w:rFonts w:ascii="微软雅黑" w:hAnsi="微软雅黑" w:eastAsia="微软雅黑"/>
                <w:b/>
                <w:color w:val="FFFFFF"/>
                <w:sz w:val="32"/>
              </w:rPr>
            </w:pPr>
          </w:p>
          <w:p>
            <w:pPr>
              <w:ind w:left="287" w:leftChars="39" w:hanging="205" w:hangingChars="64"/>
              <w:rPr>
                <w:rFonts w:ascii="微软雅黑" w:hAnsi="微软雅黑" w:eastAsia="微软雅黑"/>
                <w:b/>
                <w:color w:val="FFFFFF"/>
                <w:sz w:val="32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32"/>
              </w:rPr>
              <w:t>课程对象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企业初学人员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</w:p>
          <w:p>
            <w:pPr>
              <w:ind w:left="287" w:leftChars="39" w:hanging="205" w:hangingChars="64"/>
              <w:rPr>
                <w:rFonts w:ascii="微软雅黑" w:hAnsi="微软雅黑" w:eastAsia="微软雅黑"/>
                <w:b/>
                <w:color w:val="FFFFFF"/>
                <w:sz w:val="32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32"/>
              </w:rPr>
              <w:t>企业大小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不限</w:t>
            </w:r>
          </w:p>
          <w:p>
            <w:pPr>
              <w:ind w:left="287" w:leftChars="39" w:hanging="205" w:hangingChars="64"/>
              <w:rPr>
                <w:rFonts w:ascii="微软雅黑" w:hAnsi="微软雅黑" w:eastAsia="微软雅黑"/>
                <w:b/>
                <w:color w:val="FFFFFF"/>
                <w:sz w:val="32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32"/>
              </w:rPr>
              <w:t>行业类型</w:t>
            </w:r>
          </w:p>
          <w:p>
            <w:pPr>
              <w:ind w:left="217" w:leftChars="39" w:hanging="135" w:hangingChars="64"/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不限</w:t>
            </w:r>
          </w:p>
          <w:p>
            <w:pPr>
              <w:rPr>
                <w:rFonts w:ascii="微软雅黑" w:hAnsi="微软雅黑" w:eastAsia="微软雅黑"/>
                <w:b/>
                <w:color w:val="FFFFFF"/>
                <w:sz w:val="32"/>
              </w:rPr>
            </w:pPr>
          </w:p>
          <w:p>
            <w:pPr>
              <w:rPr>
                <w:rFonts w:ascii="微软雅黑" w:hAnsi="微软雅黑" w:eastAsia="微软雅黑"/>
                <w:b/>
                <w:color w:val="FFFFFF"/>
                <w:sz w:val="32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sz w:val="32"/>
              </w:rPr>
              <w:t>参会费用</w:t>
            </w:r>
          </w:p>
          <w:p>
            <w:pPr>
              <w:rPr>
                <w:rFonts w:ascii="微软雅黑" w:hAnsi="微软雅黑" w:eastAsia="微软雅黑"/>
                <w:b/>
                <w:color w:val="FFFFFF"/>
                <w:sz w:val="32"/>
              </w:rPr>
            </w:pP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会员套票：</w:t>
            </w:r>
          </w:p>
          <w:p>
            <w:pPr>
              <w:rPr>
                <w:rFonts w:ascii="幼圆" w:hAnsi="微软雅黑" w:eastAsia="幼圆"/>
                <w:b/>
                <w:color w:val="FFFFFF"/>
                <w:szCs w:val="21"/>
              </w:rPr>
            </w:pP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5张  3</w:t>
            </w:r>
            <w:r>
              <w:rPr>
                <w:rFonts w:hint="eastAsia" w:ascii="幼圆" w:hAnsi="微软雅黑" w:eastAsia="幼圆"/>
                <w:b/>
                <w:color w:val="FFFFFF"/>
                <w:szCs w:val="21"/>
                <w:lang w:val="en-US" w:eastAsia="zh-CN"/>
              </w:rPr>
              <w:t>8</w:t>
            </w: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00元</w:t>
            </w:r>
            <w:r>
              <w:rPr>
                <w:rFonts w:ascii="幼圆" w:hAnsi="微软雅黑" w:eastAsia="幼圆"/>
                <w:b/>
                <w:color w:val="FFFFFF"/>
                <w:szCs w:val="21"/>
              </w:rPr>
              <w:t>/</w:t>
            </w: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人</w:t>
            </w:r>
            <w:r>
              <w:rPr>
                <w:rFonts w:ascii="幼圆" w:hAnsi="微软雅黑" w:eastAsia="幼圆"/>
                <w:b/>
                <w:color w:val="FFFFFF"/>
                <w:szCs w:val="21"/>
              </w:rPr>
              <w:t xml:space="preserve">   </w:t>
            </w: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 xml:space="preserve">限60人 </w:t>
            </w:r>
          </w:p>
          <w:p>
            <w:pPr>
              <w:rPr>
                <w:rFonts w:ascii="微软雅黑" w:hAnsi="微软雅黑" w:eastAsia="微软雅黑"/>
                <w:b/>
                <w:color w:val="FFFFFF"/>
                <w:sz w:val="32"/>
              </w:rPr>
            </w:pP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团队购票</w:t>
            </w:r>
            <w:r>
              <w:rPr>
                <w:rFonts w:ascii="幼圆" w:hAnsi="微软雅黑" w:eastAsia="幼圆"/>
                <w:b/>
                <w:color w:val="FFFFFF"/>
                <w:szCs w:val="21"/>
              </w:rPr>
              <w:t>5</w:t>
            </w:r>
            <w:r>
              <w:rPr>
                <w:rFonts w:hint="eastAsia" w:ascii="幼圆" w:hAnsi="微软雅黑" w:eastAsia="幼圆"/>
                <w:b/>
                <w:color w:val="FFFFFF"/>
                <w:szCs w:val="21"/>
              </w:rPr>
              <w:t>人以上更优惠！</w:t>
            </w:r>
            <w:r>
              <w:rPr>
                <w:rFonts w:ascii="幼圆" w:hAnsi="微软雅黑" w:eastAsia="幼圆"/>
                <w:b/>
                <w:color w:val="FFFFFF"/>
                <w:szCs w:val="21"/>
              </w:rPr>
              <w:t xml:space="preserve"> </w:t>
            </w:r>
          </w:p>
          <w:p>
            <w:pPr>
              <w:rPr>
                <w:rFonts w:ascii="幼圆" w:hAnsi="微软雅黑" w:eastAsia="幼圆"/>
                <w:b/>
                <w:color w:val="FFFFFF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3517" w:type="dxa"/>
            <w:shd w:val="clear" w:color="auto" w:fill="auto"/>
            <w:vAlign w:val="bottom"/>
          </w:tcPr>
          <w:p>
            <w:pPr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课程大纲</w:t>
            </w:r>
          </w:p>
        </w:tc>
        <w:tc>
          <w:tcPr>
            <w:tcW w:w="3679" w:type="dxa"/>
            <w:shd w:val="clear" w:color="auto" w:fill="auto"/>
          </w:tcPr>
          <w:p/>
        </w:tc>
        <w:tc>
          <w:tcPr>
            <w:tcW w:w="3402" w:type="dxa"/>
            <w:vMerge w:val="continue"/>
            <w:tcBorders>
              <w:left w:val="nil"/>
            </w:tcBorders>
            <w:shd w:val="clear" w:color="auto" w:fill="FF0000"/>
          </w:tcPr>
          <w:p>
            <w:pPr>
              <w:ind w:left="315" w:leftChars="150"/>
              <w:rPr>
                <w:color w:val="FFFFFF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</w:trPr>
        <w:tc>
          <w:tcPr>
            <w:tcW w:w="7196" w:type="dxa"/>
            <w:gridSpan w:val="2"/>
            <w:shd w:val="clear" w:color="auto" w:fill="auto"/>
          </w:tcPr>
          <w:p>
            <w:pPr>
              <w:jc w:val="left"/>
              <w:rPr>
                <w:rFonts w:ascii="微软雅黑" w:hAnsi="微软雅黑" w:eastAsia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</w:rPr>
              <w:t>引</w:t>
            </w:r>
            <w:r>
              <w:rPr>
                <w:rFonts w:ascii="微软雅黑" w:hAnsi="微软雅黑" w:eastAsia="微软雅黑"/>
                <w:b/>
                <w:bCs/>
                <w:sz w:val="24"/>
              </w:rPr>
              <w:t>言</w:t>
            </w:r>
            <w:r>
              <w:rPr>
                <w:rFonts w:hint="eastAsia" w:ascii="微软雅黑" w:hAnsi="微软雅黑" w:eastAsia="微软雅黑"/>
                <w:b/>
                <w:bCs/>
                <w:sz w:val="24"/>
              </w:rPr>
              <w:t>：PPT演讲</w:t>
            </w:r>
            <w:r>
              <w:rPr>
                <w:rFonts w:ascii="微软雅黑" w:hAnsi="微软雅黑" w:eastAsia="微软雅黑"/>
                <w:b/>
                <w:bCs/>
                <w:sz w:val="24"/>
              </w:rPr>
              <w:t>演示</w:t>
            </w:r>
            <w:r>
              <w:rPr>
                <w:rFonts w:hint="eastAsia" w:ascii="微软雅黑" w:hAnsi="微软雅黑" w:eastAsia="微软雅黑"/>
                <w:b/>
                <w:bCs/>
                <w:sz w:val="24"/>
              </w:rPr>
              <w:t>说服之道</w:t>
            </w:r>
          </w:p>
          <w:p>
            <w:pPr>
              <w:numPr>
                <w:ilvl w:val="0"/>
                <w:numId w:val="2"/>
              </w:numPr>
              <w:ind w:left="0" w:firstLine="0"/>
              <w:jc w:val="left"/>
              <w:rPr>
                <w:rFonts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演示之“广义PPT</w:t>
            </w:r>
            <w:r>
              <w:rPr>
                <w:rFonts w:ascii="宋体" w:hAnsi="宋体"/>
                <w:bCs/>
              </w:rPr>
              <w:t xml:space="preserve"> </w:t>
            </w:r>
            <w:r>
              <w:rPr>
                <w:rFonts w:hint="eastAsia" w:ascii="宋体" w:hAnsi="宋体"/>
                <w:bCs/>
              </w:rPr>
              <w:t>”</w:t>
            </w:r>
          </w:p>
          <w:p>
            <w:pPr>
              <w:numPr>
                <w:ilvl w:val="0"/>
                <w:numId w:val="2"/>
              </w:numPr>
              <w:ind w:left="0" w:firstLine="0"/>
              <w:jc w:val="left"/>
              <w:rPr>
                <w:rFonts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PPT演示“十宗罪”</w:t>
            </w:r>
          </w:p>
          <w:p>
            <w:pPr>
              <w:numPr>
                <w:ilvl w:val="0"/>
                <w:numId w:val="2"/>
              </w:numPr>
              <w:ind w:left="0" w:firstLine="0"/>
              <w:jc w:val="left"/>
              <w:rPr>
                <w:rFonts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演示的规范流程</w:t>
            </w:r>
          </w:p>
          <w:p>
            <w:pPr>
              <w:jc w:val="left"/>
              <w:rPr>
                <w:bCs/>
              </w:rPr>
            </w:pPr>
          </w:p>
          <w:p>
            <w:pPr>
              <w:jc w:val="left"/>
              <w:rPr>
                <w:rFonts w:ascii="微软雅黑" w:hAnsi="微软雅黑" w:eastAsia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</w:rPr>
              <w:t>模块</w:t>
            </w:r>
            <w:r>
              <w:rPr>
                <w:rFonts w:ascii="微软雅黑" w:hAnsi="微软雅黑" w:eastAsia="微软雅黑"/>
                <w:b/>
                <w:bCs/>
                <w:sz w:val="24"/>
              </w:rPr>
              <w:t>一：工欲善其事，必先</w:t>
            </w:r>
            <w:r>
              <w:rPr>
                <w:rFonts w:hint="eastAsia" w:ascii="微软雅黑" w:hAnsi="微软雅黑" w:eastAsia="微软雅黑"/>
                <w:b/>
                <w:bCs/>
                <w:sz w:val="24"/>
              </w:rPr>
              <w:t>利</w:t>
            </w:r>
            <w:r>
              <w:rPr>
                <w:rFonts w:ascii="微软雅黑" w:hAnsi="微软雅黑" w:eastAsia="微软雅黑"/>
                <w:b/>
                <w:bCs/>
                <w:sz w:val="24"/>
              </w:rPr>
              <w:t>其器</w:t>
            </w:r>
          </w:p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第一讲</w:t>
            </w:r>
            <w:r>
              <w:rPr>
                <w:rFonts w:hint="eastAsia"/>
                <w:b/>
                <w:bCs/>
              </w:rPr>
              <w:tab/>
            </w:r>
            <w:r>
              <w:rPr>
                <w:rFonts w:hint="eastAsia"/>
                <w:b/>
                <w:bCs/>
              </w:rPr>
              <w:t>快速设计</w:t>
            </w:r>
            <w:r>
              <w:rPr>
                <w:b/>
                <w:bCs/>
              </w:rPr>
              <w:t>应用</w:t>
            </w:r>
            <w:r>
              <w:rPr>
                <w:rFonts w:hint="eastAsia"/>
                <w:b/>
                <w:bCs/>
              </w:rPr>
              <w:t>PPT</w:t>
            </w:r>
          </w:p>
          <w:p>
            <w:pPr>
              <w:numPr>
                <w:ilvl w:val="0"/>
                <w:numId w:val="3"/>
              </w:numPr>
              <w:ind w:left="525" w:hanging="525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熟悉</w:t>
            </w:r>
            <w:r>
              <w:rPr>
                <w:rFonts w:ascii="宋体" w:hAnsi="宋体"/>
              </w:rPr>
              <w:t>视</w:t>
            </w:r>
            <w:r>
              <w:rPr>
                <w:rFonts w:hint="eastAsia" w:ascii="宋体" w:hAnsi="宋体"/>
              </w:rPr>
              <w:t>图</w:t>
            </w:r>
            <w:r>
              <w:rPr>
                <w:rFonts w:ascii="宋体" w:hAnsi="宋体"/>
              </w:rPr>
              <w:t>、认</w:t>
            </w:r>
            <w:r>
              <w:rPr>
                <w:rFonts w:hint="eastAsia" w:ascii="宋体" w:hAnsi="宋体"/>
              </w:rPr>
              <w:t>识</w:t>
            </w:r>
            <w:r>
              <w:rPr>
                <w:rFonts w:ascii="宋体" w:hAnsi="宋体"/>
              </w:rPr>
              <w:t>规范</w:t>
            </w:r>
          </w:p>
          <w:p>
            <w:pPr>
              <w:numPr>
                <w:ilvl w:val="0"/>
                <w:numId w:val="3"/>
              </w:num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WORD</w:t>
            </w:r>
            <w:r>
              <w:rPr>
                <w:rFonts w:ascii="宋体" w:hAnsi="宋体"/>
              </w:rPr>
              <w:t>大纲一键</w:t>
            </w:r>
            <w:r>
              <w:rPr>
                <w:rFonts w:hint="eastAsia" w:ascii="宋体" w:hAnsi="宋体"/>
              </w:rPr>
              <w:t>生成</w:t>
            </w:r>
            <w:r>
              <w:rPr>
                <w:rFonts w:ascii="宋体" w:hAnsi="宋体"/>
              </w:rPr>
              <w:t>PPT</w:t>
            </w:r>
          </w:p>
          <w:p>
            <w:pPr>
              <w:numPr>
                <w:ilvl w:val="0"/>
                <w:numId w:val="3"/>
              </w:num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规范</w:t>
            </w:r>
            <w:r>
              <w:rPr>
                <w:rFonts w:ascii="宋体" w:hAnsi="宋体"/>
              </w:rPr>
              <w:t>版</w:t>
            </w:r>
            <w:r>
              <w:rPr>
                <w:rFonts w:hint="eastAsia" w:ascii="宋体" w:hAnsi="宋体"/>
              </w:rPr>
              <w:t>式</w:t>
            </w:r>
            <w:r>
              <w:rPr>
                <w:rFonts w:ascii="宋体" w:hAnsi="宋体"/>
              </w:rPr>
              <w:t>应用</w:t>
            </w:r>
          </w:p>
          <w:p>
            <w:pPr>
              <w:numPr>
                <w:ilvl w:val="0"/>
                <w:numId w:val="3"/>
              </w:num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快速结构调整</w:t>
            </w:r>
          </w:p>
          <w:p>
            <w:pPr>
              <w:numPr>
                <w:ilvl w:val="0"/>
                <w:numId w:val="3"/>
              </w:numPr>
              <w:ind w:left="525" w:hanging="525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快速统一修改格式</w:t>
            </w:r>
          </w:p>
          <w:p>
            <w:pPr>
              <w:numPr>
                <w:ilvl w:val="0"/>
                <w:numId w:val="3"/>
              </w:numPr>
              <w:ind w:left="525" w:hanging="525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模版应用</w:t>
            </w:r>
          </w:p>
          <w:p>
            <w:pPr>
              <w:numPr>
                <w:ilvl w:val="0"/>
                <w:numId w:val="3"/>
              </w:numPr>
              <w:ind w:left="525" w:hanging="525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S</w:t>
            </w:r>
            <w:r>
              <w:rPr>
                <w:rFonts w:ascii="宋体" w:hAnsi="宋体"/>
              </w:rPr>
              <w:t>martArt</w:t>
            </w:r>
            <w:r>
              <w:rPr>
                <w:rFonts w:hint="eastAsia" w:ascii="宋体" w:hAnsi="宋体"/>
              </w:rPr>
              <w:t>应用</w:t>
            </w:r>
          </w:p>
          <w:p>
            <w:pPr>
              <w:numPr>
                <w:ilvl w:val="0"/>
                <w:numId w:val="3"/>
              </w:numPr>
              <w:ind w:left="525" w:hanging="525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文本动画显示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十、幻灯片放映</w:t>
            </w:r>
          </w:p>
          <w:p>
            <w:pPr>
              <w:rPr>
                <w:rFonts w:ascii="宋体" w:hAnsi="宋体"/>
              </w:rPr>
            </w:pPr>
          </w:p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第二讲 PPT制作进阶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图形的绘制与修改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图形填充的六类变化设计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线条的四类设计变化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图形的旋转与调节按钮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多个不同图形的快速统一修改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编辑组织结构图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编辑业务流程图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选择绘制流程图形状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选择绘制流程图连接线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流程图修改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表格设计</w:t>
            </w:r>
            <w:r>
              <w:t>应用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数据图表设计应用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数据</w:t>
            </w:r>
            <w:r>
              <w:t>图表应用原则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图表类型选择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图</w:t>
            </w:r>
            <w:r>
              <w:t>表</w:t>
            </w:r>
            <w:r>
              <w:rPr>
                <w:rFonts w:hint="eastAsia"/>
              </w:rPr>
              <w:t>修改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图表动画设置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图片的设计应用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图</w:t>
            </w:r>
            <w:r>
              <w:t>片应用规范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图</w:t>
            </w:r>
            <w:r>
              <w:t>片设计修改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剪贴画应用设计</w:t>
            </w:r>
          </w:p>
          <w:p>
            <w:pPr>
              <w:numPr>
                <w:ilvl w:val="0"/>
                <w:numId w:val="4"/>
              </w:numPr>
            </w:pPr>
            <w:r>
              <w:rPr>
                <w:rFonts w:hint="eastAsia"/>
              </w:rPr>
              <w:t>超链接应用</w:t>
            </w:r>
          </w:p>
          <w:p/>
          <w:p>
            <w:pPr>
              <w:jc w:val="left"/>
              <w:rPr>
                <w:rFonts w:ascii="微软雅黑" w:hAnsi="微软雅黑" w:eastAsia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</w:rPr>
              <w:t>模块二：以终为始，PPT设计制作实战提升</w:t>
            </w: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第三</w:t>
            </w:r>
            <w:r>
              <w:rPr>
                <w:b/>
              </w:rPr>
              <w:t>讲 PPT</w:t>
            </w:r>
            <w:r>
              <w:rPr>
                <w:rFonts w:hint="eastAsia"/>
                <w:b/>
              </w:rPr>
              <w:t>主题</w:t>
            </w:r>
            <w:r>
              <w:rPr>
                <w:b/>
              </w:rPr>
              <w:t>与</w:t>
            </w:r>
            <w:r>
              <w:rPr>
                <w:rFonts w:hint="eastAsia"/>
                <w:b/>
              </w:rPr>
              <w:t>逻辑</w:t>
            </w:r>
          </w:p>
          <w:p>
            <w:pPr>
              <w:numPr>
                <w:ilvl w:val="0"/>
                <w:numId w:val="5"/>
              </w:numPr>
              <w:ind w:left="426" w:hanging="426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PPT主题规范</w:t>
            </w:r>
          </w:p>
          <w:p>
            <w:pPr>
              <w:numPr>
                <w:ilvl w:val="0"/>
                <w:numId w:val="5"/>
              </w:numPr>
              <w:ind w:left="426" w:hanging="426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标题</w:t>
            </w:r>
            <w:r>
              <w:rPr>
                <w:rFonts w:ascii="宋体" w:hAnsi="宋体"/>
              </w:rPr>
              <w:t>之形</w:t>
            </w:r>
            <w:r>
              <w:rPr>
                <w:rFonts w:hint="eastAsia" w:ascii="宋体" w:hAnsi="宋体"/>
              </w:rPr>
              <w:t>式规范</w:t>
            </w:r>
          </w:p>
          <w:p>
            <w:pPr>
              <w:numPr>
                <w:ilvl w:val="0"/>
                <w:numId w:val="5"/>
              </w:numPr>
              <w:ind w:left="426" w:hanging="426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PPT的演示逻辑</w:t>
            </w:r>
          </w:p>
          <w:p>
            <w:pPr>
              <w:ind w:left="426"/>
            </w:pP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第四</w:t>
            </w:r>
            <w:r>
              <w:rPr>
                <w:b/>
              </w:rPr>
              <w:t>讲</w:t>
            </w:r>
            <w:r>
              <w:rPr>
                <w:rFonts w:hint="eastAsia"/>
                <w:b/>
              </w:rPr>
              <w:t xml:space="preserve"> 过</w:t>
            </w:r>
            <w:r>
              <w:rPr>
                <w:b/>
              </w:rPr>
              <w:t>目不忘的原则与方法</w:t>
            </w:r>
          </w:p>
          <w:p>
            <w:pPr>
              <w:numPr>
                <w:ilvl w:val="0"/>
                <w:numId w:val="6"/>
              </w:numPr>
              <w:ind w:left="426" w:hanging="426"/>
            </w:pPr>
            <w:r>
              <w:rPr>
                <w:rFonts w:hint="eastAsia"/>
              </w:rPr>
              <w:t>KISS原则</w:t>
            </w:r>
          </w:p>
          <w:p>
            <w:pPr>
              <w:numPr>
                <w:ilvl w:val="0"/>
                <w:numId w:val="6"/>
              </w:numPr>
              <w:ind w:left="426" w:hanging="426"/>
            </w:pPr>
            <w:r>
              <w:rPr>
                <w:rFonts w:hint="eastAsia"/>
              </w:rPr>
              <w:t>加减乘除法</w:t>
            </w:r>
          </w:p>
          <w:p>
            <w:pPr>
              <w:ind w:left="426"/>
            </w:pP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第五</w:t>
            </w:r>
            <w:r>
              <w:rPr>
                <w:b/>
              </w:rPr>
              <w:t>讲</w:t>
            </w:r>
            <w:r>
              <w:rPr>
                <w:rFonts w:hint="eastAsia"/>
                <w:b/>
              </w:rPr>
              <w:t xml:space="preserve"> 一目了然，图形化</w:t>
            </w:r>
            <w:r>
              <w:rPr>
                <w:b/>
              </w:rPr>
              <w:t>创意</w:t>
            </w:r>
            <w:r>
              <w:rPr>
                <w:rFonts w:hint="eastAsia"/>
                <w:b/>
              </w:rPr>
              <w:t>设计</w:t>
            </w:r>
          </w:p>
          <w:p>
            <w:pPr>
              <w:numPr>
                <w:ilvl w:val="0"/>
                <w:numId w:val="7"/>
              </w:numPr>
              <w:ind w:left="426" w:hanging="426"/>
            </w:pPr>
            <w:r>
              <w:rPr>
                <w:rFonts w:hint="eastAsia"/>
              </w:rPr>
              <w:t>图的来源与技巧</w:t>
            </w:r>
          </w:p>
          <w:p>
            <w:pPr>
              <w:numPr>
                <w:ilvl w:val="0"/>
                <w:numId w:val="7"/>
              </w:numPr>
              <w:ind w:left="426" w:hanging="426"/>
            </w:pPr>
            <w:r>
              <w:rPr>
                <w:rFonts w:hint="eastAsia"/>
              </w:rPr>
              <w:t>基本形状创意应用</w:t>
            </w:r>
          </w:p>
          <w:p>
            <w:pPr>
              <w:numPr>
                <w:ilvl w:val="0"/>
                <w:numId w:val="7"/>
              </w:numPr>
              <w:ind w:left="426" w:hanging="426"/>
            </w:pPr>
            <w:r>
              <w:rPr>
                <w:rFonts w:hint="eastAsia"/>
              </w:rPr>
              <w:t>SmartArt应用</w:t>
            </w:r>
          </w:p>
          <w:p>
            <w:pPr>
              <w:numPr>
                <w:ilvl w:val="0"/>
                <w:numId w:val="7"/>
              </w:numPr>
              <w:ind w:left="426" w:hanging="426"/>
            </w:pPr>
            <w:r>
              <w:rPr>
                <w:rFonts w:hint="eastAsia"/>
              </w:rPr>
              <w:t>剪贴画的创新应用</w:t>
            </w:r>
          </w:p>
          <w:p>
            <w:pPr>
              <w:numPr>
                <w:ilvl w:val="0"/>
                <w:numId w:val="7"/>
              </w:numPr>
              <w:ind w:left="426" w:hanging="426"/>
            </w:pPr>
            <w:r>
              <w:rPr>
                <w:rFonts w:hint="eastAsia"/>
              </w:rPr>
              <w:t>图片创意</w:t>
            </w:r>
            <w:r>
              <w:t>设计应用</w:t>
            </w:r>
          </w:p>
          <w:p>
            <w:pPr>
              <w:numPr>
                <w:ilvl w:val="0"/>
                <w:numId w:val="7"/>
              </w:numPr>
              <w:ind w:left="426" w:hanging="426"/>
            </w:pPr>
            <w:r>
              <w:rPr>
                <w:rFonts w:hint="eastAsia"/>
              </w:rPr>
              <w:t>逻辑图示应用方法</w:t>
            </w:r>
          </w:p>
          <w:p>
            <w:pPr>
              <w:ind w:left="426"/>
            </w:pPr>
          </w:p>
          <w:p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第六讲 动画及多媒体设计应用</w:t>
            </w:r>
          </w:p>
          <w:p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动画应用原则</w:t>
            </w:r>
          </w:p>
          <w:p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动画的属性详解</w:t>
            </w:r>
          </w:p>
          <w:p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创意</w:t>
            </w:r>
            <w:r>
              <w:t>动画设计</w:t>
            </w:r>
            <w:r>
              <w:rPr>
                <w:rFonts w:hint="eastAsia"/>
              </w:rPr>
              <w:t>示</w:t>
            </w:r>
            <w:r>
              <w:t>例</w:t>
            </w:r>
          </w:p>
          <w:p>
            <w:pPr>
              <w:numPr>
                <w:ilvl w:val="0"/>
                <w:numId w:val="8"/>
              </w:numPr>
            </w:pPr>
            <w:r>
              <w:rPr>
                <w:rFonts w:hint="eastAsia"/>
              </w:rPr>
              <w:t>放映切换应用</w:t>
            </w:r>
          </w:p>
          <w:p>
            <w:pPr>
              <w:ind w:left="420"/>
            </w:pP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第七</w:t>
            </w:r>
            <w:r>
              <w:rPr>
                <w:b/>
              </w:rPr>
              <w:t>讲</w:t>
            </w:r>
            <w:r>
              <w:rPr>
                <w:rFonts w:hint="eastAsia"/>
                <w:b/>
              </w:rPr>
              <w:t xml:space="preserve"> 色彩构图与视觉化</w:t>
            </w:r>
            <w:r>
              <w:rPr>
                <w:b/>
              </w:rPr>
              <w:t>创意</w:t>
            </w:r>
            <w:r>
              <w:rPr>
                <w:rFonts w:hint="eastAsia"/>
                <w:b/>
              </w:rPr>
              <w:t>设计</w:t>
            </w:r>
          </w:p>
          <w:p>
            <w:pPr>
              <w:numPr>
                <w:ilvl w:val="0"/>
                <w:numId w:val="9"/>
              </w:numPr>
              <w:ind w:left="426" w:hanging="426"/>
            </w:pPr>
            <w:r>
              <w:rPr>
                <w:rFonts w:hint="eastAsia"/>
              </w:rPr>
              <w:t>色彩原则与应用</w:t>
            </w:r>
          </w:p>
          <w:p>
            <w:pPr>
              <w:numPr>
                <w:ilvl w:val="0"/>
                <w:numId w:val="9"/>
              </w:numPr>
              <w:ind w:left="426" w:hanging="426"/>
            </w:pPr>
            <w:r>
              <w:rPr>
                <w:rFonts w:hint="eastAsia"/>
              </w:rPr>
              <w:t>构图原则与应用</w:t>
            </w:r>
          </w:p>
          <w:p>
            <w:pPr>
              <w:numPr>
                <w:ilvl w:val="0"/>
                <w:numId w:val="9"/>
              </w:numPr>
              <w:ind w:left="426" w:hanging="426"/>
            </w:pPr>
            <w:r>
              <w:rPr>
                <w:rFonts w:hint="eastAsia"/>
              </w:rPr>
              <w:t>动画</w:t>
            </w:r>
            <w:r>
              <w:t>创意设计</w:t>
            </w:r>
            <w:r>
              <w:rPr>
                <w:rFonts w:hint="eastAsia"/>
              </w:rPr>
              <w:t>应用</w:t>
            </w:r>
          </w:p>
          <w:p>
            <w:pPr>
              <w:ind w:left="426"/>
            </w:pPr>
          </w:p>
          <w:p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第八</w:t>
            </w:r>
            <w:r>
              <w:rPr>
                <w:b/>
              </w:rPr>
              <w:t>讲</w:t>
            </w:r>
            <w:r>
              <w:rPr>
                <w:rFonts w:hint="eastAsia"/>
                <w:b/>
              </w:rPr>
              <w:t xml:space="preserve"> 综合应用实战案例展示解析</w:t>
            </w:r>
          </w:p>
          <w:p>
            <w:pPr>
              <w:numPr>
                <w:ilvl w:val="0"/>
                <w:numId w:val="10"/>
              </w:numPr>
              <w:ind w:left="426" w:hanging="426"/>
            </w:pPr>
            <w:r>
              <w:rPr>
                <w:rFonts w:hint="eastAsia"/>
              </w:rPr>
              <w:t>综合管理类</w:t>
            </w:r>
          </w:p>
          <w:p>
            <w:pPr>
              <w:numPr>
                <w:ilvl w:val="0"/>
                <w:numId w:val="10"/>
              </w:numPr>
              <w:ind w:left="426" w:hanging="426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HR管理类</w:t>
            </w:r>
          </w:p>
          <w:p>
            <w:pPr>
              <w:numPr>
                <w:ilvl w:val="0"/>
                <w:numId w:val="10"/>
              </w:numPr>
              <w:ind w:left="426" w:hanging="426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生产技术类</w:t>
            </w:r>
          </w:p>
          <w:p>
            <w:pPr>
              <w:numPr>
                <w:ilvl w:val="0"/>
                <w:numId w:val="10"/>
              </w:numPr>
              <w:ind w:left="426" w:hanging="426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活动宣传类</w:t>
            </w:r>
          </w:p>
          <w:p>
            <w:pPr>
              <w:ind w:left="426"/>
            </w:pPr>
          </w:p>
          <w:p>
            <w:pPr>
              <w:jc w:val="left"/>
              <w:rPr>
                <w:rFonts w:ascii="微软雅黑" w:hAnsi="微软雅黑" w:eastAsia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</w:rPr>
              <w:t>模块三</w:t>
            </w:r>
            <w:r>
              <w:rPr>
                <w:rFonts w:ascii="微软雅黑" w:hAnsi="微软雅黑" w:eastAsia="微软雅黑"/>
                <w:b/>
                <w:bCs/>
                <w:sz w:val="24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sz w:val="24"/>
              </w:rPr>
              <w:t>实战</w:t>
            </w:r>
            <w:r>
              <w:rPr>
                <w:rFonts w:ascii="微软雅黑" w:hAnsi="微软雅黑" w:eastAsia="微软雅黑"/>
                <w:b/>
                <w:bCs/>
                <w:sz w:val="24"/>
              </w:rPr>
              <w:t>演练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以</w:t>
            </w:r>
            <w:r>
              <w:rPr>
                <w:rFonts w:ascii="宋体" w:hAnsi="宋体"/>
              </w:rPr>
              <w:t>学员实际工作中需演讲演示的内容为题</w:t>
            </w:r>
            <w:r>
              <w:rPr>
                <w:rFonts w:hint="eastAsia" w:ascii="宋体" w:hAnsi="宋体"/>
              </w:rPr>
              <w:t>，或</w:t>
            </w:r>
            <w:r>
              <w:rPr>
                <w:rFonts w:ascii="宋体" w:hAnsi="宋体"/>
              </w:rPr>
              <w:t>者以学员已</w:t>
            </w:r>
            <w:r>
              <w:rPr>
                <w:rFonts w:hint="eastAsia" w:ascii="宋体" w:hAnsi="宋体"/>
              </w:rPr>
              <w:t>有</w:t>
            </w:r>
            <w:r>
              <w:rPr>
                <w:rFonts w:ascii="宋体" w:hAnsi="宋体"/>
              </w:rPr>
              <w:t>的工作PPT文档为</w:t>
            </w:r>
            <w:r>
              <w:rPr>
                <w:rFonts w:hint="eastAsia" w:ascii="宋体" w:hAnsi="宋体"/>
              </w:rPr>
              <w:t>基础</w:t>
            </w:r>
            <w:r>
              <w:rPr>
                <w:rFonts w:ascii="宋体" w:hAnsi="宋体"/>
              </w:rPr>
              <w:t>，设计制作</w:t>
            </w:r>
            <w:r>
              <w:rPr>
                <w:rFonts w:hint="eastAsia" w:ascii="宋体" w:hAnsi="宋体"/>
              </w:rPr>
              <w:t>完善</w:t>
            </w:r>
            <w:r>
              <w:rPr>
                <w:rFonts w:ascii="宋体" w:hAnsi="宋体"/>
              </w:rPr>
              <w:t>PPT</w:t>
            </w:r>
            <w:r>
              <w:rPr>
                <w:rFonts w:hint="eastAsia" w:ascii="宋体" w:hAnsi="宋体"/>
              </w:rPr>
              <w:t>，</w:t>
            </w:r>
            <w:r>
              <w:rPr>
                <w:rFonts w:ascii="宋体" w:hAnsi="宋体"/>
              </w:rPr>
              <w:t>并登台演讲</w:t>
            </w:r>
            <w:r>
              <w:rPr>
                <w:rFonts w:hint="eastAsia" w:ascii="宋体" w:hAnsi="宋体"/>
              </w:rPr>
              <w:t>演示，培训</w:t>
            </w:r>
            <w:r>
              <w:rPr>
                <w:rFonts w:ascii="宋体" w:hAnsi="宋体"/>
              </w:rPr>
              <w:t>师点评</w:t>
            </w:r>
            <w:r>
              <w:rPr>
                <w:rFonts w:hint="eastAsia" w:ascii="宋体" w:hAnsi="宋体"/>
              </w:rPr>
              <w:t>反馈</w:t>
            </w:r>
            <w:r>
              <w:rPr>
                <w:rFonts w:ascii="宋体" w:hAnsi="宋体"/>
              </w:rPr>
              <w:t>建议。</w:t>
            </w:r>
          </w:p>
          <w:p>
            <w:pPr>
              <w:spacing w:line="360" w:lineRule="auto"/>
              <w:rPr>
                <w:rFonts w:ascii="Arial" w:hAnsi="Arial" w:cs="Arial"/>
                <w:b/>
                <w:bCs/>
                <w:iCs/>
                <w:color w:val="0000FF"/>
                <w:sz w:val="24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02" w:type="dxa"/>
            <w:vMerge w:val="continue"/>
            <w:tcBorders>
              <w:left w:val="nil"/>
            </w:tcBorders>
            <w:shd w:val="clear" w:color="auto" w:fill="FF0000"/>
          </w:tcPr>
          <w:p>
            <w:pPr>
              <w:ind w:left="315" w:leftChars="150"/>
              <w:rPr>
                <w:color w:val="FFFFFF"/>
              </w:rPr>
            </w:pPr>
          </w:p>
        </w:tc>
      </w:tr>
    </w:tbl>
    <w:tbl>
      <w:tblPr>
        <w:tblStyle w:val="14"/>
        <w:tblpPr w:leftFromText="180" w:rightFromText="180" w:vertAnchor="page" w:horzAnchor="margin" w:tblpY="2356"/>
        <w:tblW w:w="1059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"/>
        <w:gridCol w:w="103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7" w:hRule="atLeast"/>
        </w:trPr>
        <w:tc>
          <w:tcPr>
            <w:tcW w:w="10598" w:type="dxa"/>
            <w:gridSpan w:val="2"/>
          </w:tcPr>
          <w:p>
            <w:pPr>
              <w:widowControl/>
              <w:jc w:val="left"/>
            </w:pPr>
            <w:r>
              <w:drawing>
                <wp:inline distT="0" distB="0" distL="0" distR="0">
                  <wp:extent cx="1819275" cy="2495550"/>
                  <wp:effectExtent l="19050" t="1905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495672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390525</wp:posOffset>
                      </wp:positionV>
                      <wp:extent cx="3550920" cy="1438275"/>
                      <wp:effectExtent l="0" t="0" r="0" b="9525"/>
                      <wp:wrapNone/>
                      <wp:docPr id="14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0920" cy="143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b/>
                                      <w:sz w:val="40"/>
                                      <w:szCs w:val="36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sz w:val="40"/>
                                      <w:szCs w:val="36"/>
                                      <w:lang w:val="zh-CN"/>
                                    </w:rPr>
                                    <w:t>马建强</w:t>
                                  </w:r>
                                </w:p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36"/>
                                      <w:szCs w:val="30"/>
                                      <w:lang w:val="zh-CN"/>
                                    </w:rPr>
                                    <w:t>Microsoft资深授权培训师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文本框 22" o:spid="_x0000_s1026" o:spt="1" style="position:absolute;left:0pt;margin-left:174.75pt;margin-top:30.75pt;height:113.25pt;width:279.6pt;z-index:251668480;mso-width-relative:page;mso-height-relative:page;" filled="f" stroked="f" coordsize="21600,21600" o:gfxdata="UEsDBAoAAAAAAIdO4kAAAAAAAAAAAAAAAAAEAAAAZHJzL1BLAwQUAAAACACHTuJAjaq7YtwAAAAK&#10;AQAADwAAAGRycy9kb3ducmV2LnhtbE2PwUrDQBCG74LvsIzgRdrdVK1pzKSHglikUExrz9tkTYLZ&#10;2TS7TerbO570NAzz8c/3p8uLbcVget84QoimCoShwpUNVQj73cskBuGDplK3jgzCt/GwzK6vUp2U&#10;bqR3M+ShEhxCPtEIdQhdIqUvamO1n7rOEN8+XW914LWvZNnrkcNtK2dKzaXVDfGHWndmVZviKz9b&#10;hLHYDofd5lVu7w5rR6f1aZV/vCHe3kTqGUQwl/AHw68+q0PGTkd3ptKLFuH+YfHIKMI84snAQsVP&#10;II4IszhWILNU/q+Q/QBQSwMEFAAAAAgAh07iQAQgp6v5AQAAwAMAAA4AAABkcnMvZTJvRG9jLnht&#10;bK1TQW7bMBC8F+gfCN5rWYrdJILlIEiQokDaBkjyAIqiLKISl13SltwHtD/oqZfe+y6/o0vKcZ32&#10;VvRCkNzl7MzscnExdC3bKHQaTMHTyZQzZSRU2qwK/vhw8+qMM+eFqUQLRhV8qxy/WL58sehtrjJo&#10;oK0UMgIxLu9twRvvbZ4kTjaqE24CVhkK1oCd8HTEVVKh6Am9a5NsOn2d9ICVRZDKObq9HoN8GfHr&#10;Wkn/oa6d8qwtOHHzccW4lmFNlguRr1DYRss9DfEPLDqhDRU9QF0LL9ga9V9QnZYIDmo/kdAlUNda&#10;qqiB1KTTP9TcN8KqqIXMcfZgk/t/sPL95g6Zrqh3M86M6KhHu29fd99/7n58YVkWDOqtyynv3t5h&#10;kOjsLciPjhm4aoRZqUtE6BslKqKVhvzk2YNwcPSUlf07qAherD1Er4YauwBILrAhtmR7aIkaPJN0&#10;eTKfT88z6pykWDo7OctO57GGyJ+eW3T+jYKOhU3BkXoe4cXm1vlAR+RPKaGagRvdtrHvrXl2QYnh&#10;JtIPjEflfiiHvQklVFsSgjCOEY09bRrAz5z1NEIFd5/WAhVn7VtDZpyns1mYuXiYzU+DDDyOlMcR&#10;YSRBFdxzNm6v/Dina4t61VClNMoycEkG1jpKC+aOrPa8aUyi4v1Ihzk8Pses3x9v+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Nqrti3AAAAAoBAAAPAAAAAAAAAAEAIAAAACIAAABkcnMvZG93bnJl&#10;di54bWxQSwECFAAUAAAACACHTuJABCCnq/kBAADAAwAADgAAAAAAAAABACAAAAArAQAAZHJzL2Uy&#10;b0RvYy54bWxQSwUGAAAAAAYABgBZAQAAlg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40"/>
                                <w:szCs w:val="36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0"/>
                                <w:szCs w:val="36"/>
                                <w:lang w:val="zh-CN"/>
                              </w:rPr>
                              <w:t>马建强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0"/>
                                <w:lang w:val="zh-CN"/>
                              </w:rPr>
                              <w:t>Microsoft资深授权培训师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8" w:hRule="atLeast"/>
        </w:trPr>
        <w:tc>
          <w:tcPr>
            <w:tcW w:w="250" w:type="dxa"/>
          </w:tcPr>
          <w:p>
            <w:pPr>
              <w:widowControl/>
              <w:jc w:val="center"/>
            </w:pPr>
          </w:p>
          <w:p>
            <w:pPr>
              <w:widowControl/>
              <w:jc w:val="center"/>
            </w:pPr>
          </w:p>
          <w:p>
            <w:pPr>
              <w:widowControl/>
              <w:jc w:val="center"/>
            </w:pPr>
          </w:p>
          <w:p>
            <w:pPr>
              <w:widowControl/>
              <w:jc w:val="center"/>
            </w:pPr>
          </w:p>
          <w:p>
            <w:pPr>
              <w:widowControl/>
              <w:jc w:val="center"/>
            </w:pPr>
          </w:p>
          <w:p>
            <w:pPr>
              <w:widowControl/>
              <w:jc w:val="center"/>
            </w:pPr>
          </w:p>
          <w:p>
            <w:pPr>
              <w:widowControl/>
              <w:jc w:val="center"/>
            </w:pPr>
          </w:p>
          <w:p>
            <w:pPr>
              <w:widowControl/>
              <w:jc w:val="center"/>
            </w:pPr>
          </w:p>
          <w:p>
            <w:pPr>
              <w:widowControl/>
              <w:jc w:val="center"/>
            </w:pPr>
          </w:p>
          <w:p>
            <w:pPr>
              <w:widowControl/>
            </w:pPr>
          </w:p>
        </w:tc>
        <w:tc>
          <w:tcPr>
            <w:tcW w:w="10348" w:type="dxa"/>
          </w:tcPr>
          <w:p>
            <w:pPr>
              <w:rPr>
                <w:rFonts w:ascii="微软雅黑" w:hAnsi="微软雅黑" w:eastAsia="微软雅黑"/>
                <w:b/>
                <w:sz w:val="36"/>
              </w:rPr>
            </w:pPr>
            <w:r>
              <w:rPr>
                <w:rFonts w:hint="eastAsia" w:ascii="微软雅黑" w:hAnsi="微软雅黑" w:eastAsia="微软雅黑"/>
                <w:b/>
                <w:sz w:val="32"/>
              </w:rPr>
              <w:t>资历背景</w:t>
            </w:r>
          </w:p>
          <w:p>
            <w:pPr>
              <w:numPr>
                <w:ilvl w:val="1"/>
                <w:numId w:val="11"/>
              </w:numPr>
              <w:spacing w:line="276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商务演示专家·演示策划教练</w:t>
            </w:r>
          </w:p>
          <w:p>
            <w:pPr>
              <w:numPr>
                <w:ilvl w:val="1"/>
                <w:numId w:val="11"/>
              </w:numPr>
              <w:spacing w:line="276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PPT幻灯片设计师</w:t>
            </w:r>
          </w:p>
          <w:p>
            <w:pPr>
              <w:numPr>
                <w:ilvl w:val="1"/>
                <w:numId w:val="11"/>
              </w:numPr>
              <w:spacing w:line="276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IPPTA（国际专业演示培训协会）专家</w:t>
            </w:r>
          </w:p>
          <w:p>
            <w:pPr>
              <w:numPr>
                <w:ilvl w:val="1"/>
                <w:numId w:val="11"/>
              </w:numPr>
              <w:spacing w:line="276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MOS（</w:t>
            </w:r>
            <w:r>
              <w:rPr>
                <w:rFonts w:ascii="宋体" w:hAnsi="宋体"/>
                <w:color w:val="000000"/>
                <w:szCs w:val="21"/>
              </w:rPr>
              <w:t>Microsoft Office Specialist</w:t>
            </w:r>
            <w:r>
              <w:rPr>
                <w:rFonts w:hint="eastAsia" w:ascii="宋体" w:hAnsi="宋体"/>
                <w:color w:val="000000"/>
                <w:szCs w:val="21"/>
              </w:rPr>
              <w:t>）</w:t>
            </w:r>
          </w:p>
          <w:p>
            <w:pPr>
              <w:numPr>
                <w:ilvl w:val="1"/>
                <w:numId w:val="11"/>
              </w:numPr>
              <w:spacing w:line="276" w:lineRule="auto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微软办公软件大师（MASTER）</w:t>
            </w:r>
          </w:p>
          <w:p>
            <w:pPr>
              <w:numPr>
                <w:ilvl w:val="1"/>
                <w:numId w:val="11"/>
              </w:numPr>
              <w:spacing w:line="276" w:lineRule="auto"/>
              <w:rPr>
                <w:b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上海交大海外教育学院特聘培训师</w:t>
            </w:r>
          </w:p>
          <w:p>
            <w:pPr>
              <w:spacing w:line="276" w:lineRule="auto"/>
              <w:ind w:left="840"/>
              <w:rPr>
                <w:rFonts w:asciiTheme="minorEastAsia" w:hAnsiTheme="minorEastAsia" w:eastAsiaTheme="minorEastAsia"/>
                <w:color w:val="00000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6" w:hRule="atLeast"/>
        </w:trPr>
        <w:tc>
          <w:tcPr>
            <w:tcW w:w="250" w:type="dxa"/>
          </w:tcPr>
          <w:p>
            <w:pPr>
              <w:widowControl/>
              <w:jc w:val="left"/>
            </w:pPr>
          </w:p>
        </w:tc>
        <w:tc>
          <w:tcPr>
            <w:tcW w:w="10348" w:type="dxa"/>
          </w:tcPr>
          <w:p>
            <w:pPr>
              <w:rPr>
                <w:rFonts w:ascii="微软雅黑" w:hAnsi="微软雅黑" w:eastAsia="微软雅黑"/>
                <w:b/>
                <w:sz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</w:rPr>
              <w:t>授课风格</w:t>
            </w:r>
          </w:p>
          <w:p>
            <w:pPr>
              <w:pStyle w:val="29"/>
              <w:numPr>
                <w:ilvl w:val="0"/>
                <w:numId w:val="12"/>
              </w:numPr>
              <w:autoSpaceDN w:val="0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实用性强，演示的规范原则极具指导意义和可实现性，即学即用；</w:t>
            </w:r>
          </w:p>
          <w:p>
            <w:pPr>
              <w:pStyle w:val="29"/>
              <w:numPr>
                <w:ilvl w:val="0"/>
                <w:numId w:val="12"/>
              </w:numPr>
              <w:autoSpaceDN w:val="0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针对性强，针对职场演示者，以改善表现力、提升说服力为目标；</w:t>
            </w:r>
          </w:p>
          <w:p>
            <w:pPr>
              <w:pStyle w:val="29"/>
              <w:numPr>
                <w:ilvl w:val="0"/>
                <w:numId w:val="12"/>
              </w:numPr>
              <w:autoSpaceDN w:val="0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立竿见影，培训后即刻改善，述职汇报让领导满意，提案展示让客户喜欢； </w:t>
            </w:r>
          </w:p>
          <w:p>
            <w:pPr>
              <w:pStyle w:val="29"/>
              <w:numPr>
                <w:ilvl w:val="0"/>
                <w:numId w:val="12"/>
              </w:numPr>
              <w:autoSpaceDN w:val="0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后续支援，指导企业的演示活动、策划辅导企业PPT大赛、专项PPT设计广告制作等。</w:t>
            </w:r>
          </w:p>
          <w:p>
            <w:pPr>
              <w:ind w:left="780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250" w:type="dxa"/>
          </w:tcPr>
          <w:p>
            <w:pPr>
              <w:widowControl/>
              <w:jc w:val="left"/>
            </w:pPr>
          </w:p>
        </w:tc>
        <w:tc>
          <w:tcPr>
            <w:tcW w:w="10348" w:type="dxa"/>
          </w:tcPr>
          <w:p>
            <w:r>
              <w:rPr>
                <w:rFonts w:hint="eastAsia" w:ascii="微软雅黑" w:hAnsi="微软雅黑" w:eastAsia="微软雅黑"/>
                <w:b/>
                <w:sz w:val="32"/>
              </w:rPr>
              <w:t>授课经验</w:t>
            </w:r>
          </w:p>
          <w:p>
            <w:pPr>
              <w:ind w:right="-498" w:rightChars="-237"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联想集团、北大方正、搜房</w:t>
            </w:r>
            <w:r>
              <w:rPr>
                <w:rFonts w:ascii="宋体" w:hAnsi="宋体"/>
                <w:szCs w:val="21"/>
              </w:rPr>
              <w:t>网</w:t>
            </w:r>
            <w:r>
              <w:rPr>
                <w:rFonts w:hint="eastAsia" w:ascii="宋体" w:hAnsi="宋体"/>
                <w:szCs w:val="21"/>
              </w:rPr>
              <w:t>、中国科学院、搜狐网、CCTV、央视网、优米网、沪</w:t>
            </w:r>
            <w:r>
              <w:rPr>
                <w:rFonts w:ascii="宋体" w:hAnsi="宋体"/>
                <w:szCs w:val="21"/>
              </w:rPr>
              <w:t>江网</w:t>
            </w:r>
            <w:r>
              <w:rPr>
                <w:rFonts w:hint="eastAsia" w:ascii="宋体" w:hAnsi="宋体"/>
                <w:szCs w:val="21"/>
              </w:rPr>
              <w:t>、当当网、优酷土豆、虎扑体育、中国移动、中国电信、中国联通、中国五矿、中国邮政、中博信息技术研究院、工商银行、农业银行、建设银行、中国银行、浦发银行、招商银行、民生银行、光大银行、浙商银行、中信银行（广州）、中国人保、友邦保险、湖北银行、兴业银行、北京</w:t>
            </w:r>
            <w:r>
              <w:rPr>
                <w:rFonts w:ascii="宋体" w:hAnsi="宋体"/>
                <w:szCs w:val="21"/>
              </w:rPr>
              <w:t>银行</w:t>
            </w:r>
            <w:r>
              <w:rPr>
                <w:rFonts w:hint="eastAsia" w:ascii="宋体" w:hAnsi="宋体"/>
                <w:szCs w:val="21"/>
              </w:rPr>
              <w:t>、财通证券、国家电网集团、中国电力科学院、南方电网、浙江中烟、中海油、中国医药集团、中石化、伊敏煤电、中外运、广州发展集团、神华国能、华润化工、中国航信、阜阳卷烟、宝钢气体、宝钢金属、甘肃电力、招商地产、富力地产、世贸</w:t>
            </w:r>
            <w:r>
              <w:rPr>
                <w:rFonts w:ascii="宋体" w:hAnsi="宋体"/>
                <w:szCs w:val="21"/>
              </w:rPr>
              <w:t>物业</w:t>
            </w:r>
            <w:r>
              <w:rPr>
                <w:rFonts w:hint="eastAsia" w:ascii="宋体" w:hAnsi="宋体"/>
                <w:szCs w:val="21"/>
              </w:rPr>
              <w:t>、中海投资、弘毅投资、华润集团、中原地产、越秀地产、吉宝置业、江南造船、华晨金杯、天津一汽、一汽解放、北汽福田、东风本田、江铃汽车、富维江森等</w:t>
            </w:r>
          </w:p>
          <w:p>
            <w:pPr>
              <w:ind w:right="-498" w:rightChars="-237"/>
              <w:rPr>
                <w:b/>
                <w:color w:val="000000"/>
                <w:spacing w:val="8"/>
              </w:rPr>
            </w:pPr>
          </w:p>
          <w:p>
            <w:pPr>
              <w:ind w:right="-498" w:rightChars="-237"/>
              <w:rPr>
                <w:b/>
                <w:color w:val="000000"/>
                <w:spacing w:val="8"/>
              </w:rPr>
            </w:pPr>
          </w:p>
        </w:tc>
      </w:tr>
    </w:tbl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tbl>
      <w:tblPr>
        <w:tblStyle w:val="13"/>
        <w:tblpPr w:leftFromText="180" w:rightFromText="180" w:vertAnchor="page" w:horzAnchor="page" w:tblpX="704" w:tblpY="5887"/>
        <w:tblW w:w="1088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793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2943" w:type="dxa"/>
            <w:vMerge w:val="restart"/>
            <w:shd w:val="clear" w:color="auto" w:fill="FF0000"/>
            <w:vAlign w:val="center"/>
          </w:tcPr>
          <w:p>
            <w:pPr>
              <w:spacing w:line="360" w:lineRule="auto"/>
              <w:ind w:left="283" w:leftChars="135" w:right="317" w:rightChars="151" w:firstLine="2"/>
              <w:jc w:val="left"/>
              <w:rPr>
                <w:rFonts w:ascii="黑体" w:hAnsi="黑体" w:eastAsia="黑体"/>
                <w:b/>
                <w:color w:val="FFFFFF"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color w:val="FFFFFF"/>
                <w:sz w:val="24"/>
                <w:szCs w:val="24"/>
              </w:rPr>
              <w:t>亲爱的学员，为了您能更加方便的参加马建强老师的《</w:t>
            </w:r>
            <w:r>
              <w:rPr>
                <w:rFonts w:hint="eastAsia" w:ascii="黑体" w:eastAsia="黑体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办公必备技能--PPT高效制作（小白班）</w:t>
            </w:r>
            <w:r>
              <w:rPr>
                <w:rFonts w:hint="eastAsia" w:ascii="黑体" w:hAnsi="黑体" w:eastAsia="黑体"/>
                <w:b/>
                <w:color w:val="FFFFFF"/>
                <w:sz w:val="24"/>
                <w:szCs w:val="24"/>
              </w:rPr>
              <w:t>》课程，请注意以下提示：</w:t>
            </w:r>
          </w:p>
          <w:p>
            <w:pPr>
              <w:spacing w:line="360" w:lineRule="auto"/>
              <w:ind w:left="283" w:leftChars="135" w:right="317" w:rightChars="151" w:firstLine="2"/>
              <w:jc w:val="left"/>
              <w:rPr>
                <w:rFonts w:ascii="黑体" w:hAnsi="黑体" w:eastAsia="黑体"/>
                <w:b/>
                <w:color w:val="FFFFFF"/>
                <w:sz w:val="24"/>
                <w:szCs w:val="24"/>
              </w:rPr>
            </w:pPr>
          </w:p>
        </w:tc>
        <w:tc>
          <w:tcPr>
            <w:tcW w:w="7938" w:type="dxa"/>
          </w:tcPr>
          <w:p>
            <w:pPr>
              <w:ind w:firstLine="689" w:firstLineChars="245"/>
              <w:rPr>
                <w:rFonts w:ascii="黑体" w:hAnsi="黑体" w:eastAsia="黑体"/>
                <w:color w:val="000000"/>
                <w:sz w:val="36"/>
              </w:rPr>
            </w:pPr>
            <w:r>
              <w:rPr>
                <w:rFonts w:hint="eastAsia" w:ascii="黑体" w:hAnsi="黑体" w:eastAsia="黑体"/>
                <w:b/>
                <w:color w:val="000000"/>
                <w:sz w:val="28"/>
              </w:rPr>
              <w:t xml:space="preserve">公交路线                                                           </w:t>
            </w:r>
          </w:p>
          <w:p>
            <w:pPr>
              <w:ind w:left="733" w:leftChars="349"/>
              <w:rPr>
                <w:rFonts w:ascii="黑体" w:hAnsi="黑体" w:eastAsia="黑体"/>
                <w:color w:val="000000"/>
                <w:sz w:val="24"/>
              </w:rPr>
            </w:pPr>
            <w:r>
              <w:rPr>
                <w:rFonts w:hint="eastAsia" w:ascii="黑体" w:hAnsi="黑体" w:eastAsia="黑体"/>
                <w:color w:val="000000"/>
                <w:sz w:val="24"/>
              </w:rPr>
              <w:t>蒋村公交中心站： K24 、K25、K43、K53、K54、K186 、K194、K203、K215、K261、K273</w:t>
            </w:r>
            <w:r>
              <w:rPr>
                <w:rFonts w:ascii="黑体" w:hAnsi="黑体" w:eastAsia="黑体"/>
                <w:color w:val="000000"/>
                <w:sz w:val="24"/>
              </w:rPr>
              <w:t xml:space="preserve"> </w:t>
            </w:r>
          </w:p>
          <w:p>
            <w:pPr>
              <w:ind w:firstLine="700" w:firstLineChars="249"/>
              <w:rPr>
                <w:rFonts w:ascii="黑体" w:hAnsi="黑体" w:eastAsia="黑体"/>
                <w:b/>
                <w:color w:val="000000"/>
                <w:sz w:val="28"/>
              </w:rPr>
            </w:pPr>
            <w:r>
              <w:rPr>
                <w:rFonts w:hint="eastAsia" w:ascii="黑体" w:hAnsi="黑体" w:eastAsia="黑体"/>
                <w:b/>
                <w:color w:val="000000"/>
                <w:sz w:val="28"/>
              </w:rPr>
              <w:t>停车信息</w:t>
            </w:r>
          </w:p>
          <w:p>
            <w:pPr>
              <w:ind w:left="630" w:leftChars="300"/>
              <w:rPr>
                <w:rFonts w:ascii="黑体" w:hAnsi="黑体" w:eastAsia="黑体"/>
                <w:color w:val="000000"/>
                <w:sz w:val="22"/>
              </w:rPr>
            </w:pPr>
            <w:r>
              <w:rPr>
                <w:rFonts w:hint="eastAsia" w:ascii="黑体" w:hAnsi="黑体" w:eastAsia="黑体"/>
                <w:color w:val="000000"/>
                <w:sz w:val="22"/>
              </w:rPr>
              <w:t>提供车位需自费，持停车优惠券5元/小时、10元/3小时、20元/天（建议大家绿色出行）</w:t>
            </w:r>
          </w:p>
          <w:p>
            <w:pPr>
              <w:rPr>
                <w:rFonts w:ascii="黑体" w:hAnsi="黑体" w:eastAsia="黑体"/>
                <w:color w:val="000000"/>
                <w:sz w:val="24"/>
              </w:rPr>
            </w:pPr>
          </w:p>
          <w:p>
            <w:pPr>
              <w:ind w:firstLine="689" w:firstLineChars="245"/>
              <w:rPr>
                <w:rFonts w:ascii="黑体" w:hAnsi="黑体" w:eastAsia="黑体"/>
                <w:color w:val="000000"/>
                <w:sz w:val="22"/>
              </w:rPr>
            </w:pPr>
            <w:r>
              <w:rPr>
                <w:rFonts w:hint="eastAsia" w:ascii="黑体" w:hAnsi="黑体" w:eastAsia="黑体"/>
                <w:b/>
                <w:color w:val="000000"/>
                <w:sz w:val="28"/>
              </w:rPr>
              <w:t>用餐信息</w:t>
            </w:r>
          </w:p>
          <w:p>
            <w:pPr>
              <w:ind w:firstLine="660" w:firstLineChars="300"/>
              <w:rPr>
                <w:rFonts w:ascii="黑体" w:hAnsi="黑体" w:eastAsia="黑体"/>
                <w:color w:val="000000"/>
                <w:sz w:val="22"/>
              </w:rPr>
            </w:pPr>
            <w:r>
              <w:rPr>
                <w:rFonts w:hint="eastAsia" w:ascii="黑体" w:hAnsi="黑体" w:eastAsia="黑体"/>
                <w:color w:val="000000"/>
                <w:sz w:val="22"/>
              </w:rPr>
              <w:t>提供中餐</w:t>
            </w:r>
          </w:p>
          <w:p>
            <w:pPr>
              <w:ind w:firstLine="420" w:firstLineChars="200"/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9" w:hRule="atLeast"/>
        </w:trPr>
        <w:tc>
          <w:tcPr>
            <w:tcW w:w="2943" w:type="dxa"/>
            <w:vMerge w:val="continue"/>
            <w:shd w:val="clear" w:color="auto" w:fill="FF0000"/>
          </w:tcPr>
          <w:p/>
        </w:tc>
        <w:tc>
          <w:tcPr>
            <w:tcW w:w="7938" w:type="dxa"/>
          </w:tcPr>
          <w:p>
            <w:pPr>
              <w:ind w:firstLine="689" w:firstLineChars="245"/>
              <w:rPr>
                <w:rFonts w:ascii="黑体" w:hAnsi="黑体" w:eastAsia="黑体"/>
                <w:b/>
                <w:color w:val="000000"/>
                <w:sz w:val="28"/>
              </w:rPr>
            </w:pPr>
            <w:r>
              <w:rPr>
                <w:rFonts w:hint="eastAsia" w:ascii="黑体" w:hAnsi="黑体" w:eastAsia="黑体"/>
                <w:b/>
                <w:color w:val="000000"/>
                <w:sz w:val="28"/>
              </w:rPr>
              <w:t>课程预告</w:t>
            </w:r>
          </w:p>
          <w:p>
            <w:pPr>
              <w:ind w:firstLine="660" w:firstLineChars="300"/>
              <w:rPr>
                <w:rFonts w:ascii="黑体" w:hAnsi="黑体" w:eastAsia="黑体"/>
                <w:b/>
                <w:color w:val="000000"/>
                <w:sz w:val="28"/>
              </w:rPr>
            </w:pPr>
            <w:r>
              <w:rPr>
                <w:rFonts w:hint="eastAsia" w:ascii="黑体" w:hAnsi="黑体" w:eastAsia="黑体"/>
                <w:color w:val="000000"/>
                <w:sz w:val="22"/>
              </w:rPr>
              <w:t>2017年9月22日（周五）</w:t>
            </w:r>
          </w:p>
          <w:p>
            <w:pPr>
              <w:ind w:left="571" w:leftChars="272" w:firstLine="78" w:firstLineChars="43"/>
              <w:rPr>
                <w:rFonts w:ascii="黑体" w:hAnsi="黑体" w:eastAsia="黑体"/>
                <w:color w:val="000000"/>
                <w:sz w:val="22"/>
              </w:rPr>
            </w:pPr>
            <w:r>
              <w:rPr>
                <w:b/>
                <w:i/>
                <w:color w:val="FF0000"/>
                <w:sz w:val="18"/>
              </w:rPr>
              <w:pict>
                <v:shape id="_x0000_i1025" o:spt="136" type="#_x0000_t136" style="height:9.75pt;width:19.5pt;" coordsize="21600,21600">
                  <v:path/>
                  <v:fill focussize="0,0"/>
                  <v:stroke/>
                  <v:imagedata o:title=""/>
                  <o:lock v:ext="edit" text="f"/>
                  <v:textpath on="t" fitshape="t" fitpath="t" trim="t" xscale="f" string="主题" style="font-family:宋体;font-size:10pt;font-style:italic;v-text-align:center;"/>
                  <v:shadow on="t" opacity="52428f"/>
                  <w10:wrap type="none"/>
                  <w10:anchorlock/>
                </v:shape>
              </w:pict>
            </w:r>
            <w:r>
              <w:rPr>
                <w:rFonts w:hint="eastAsia"/>
                <w:b/>
                <w:i/>
                <w:sz w:val="18"/>
              </w:rPr>
              <w:t>：</w:t>
            </w:r>
            <w:r>
              <w:rPr>
                <w:rFonts w:hint="eastAsia" w:ascii="黑体" w:hAnsi="黑体" w:eastAsia="黑体"/>
                <w:color w:val="000000"/>
                <w:sz w:val="22"/>
              </w:rPr>
              <w:t>《管理沟通与心理学》</w:t>
            </w:r>
            <w:r>
              <w:rPr>
                <w:rFonts w:hint="eastAsia"/>
                <w:b/>
                <w:i/>
                <w:sz w:val="18"/>
              </w:rPr>
              <w:t xml:space="preserve">            </w:t>
            </w:r>
            <w:r>
              <w:rPr>
                <w:rFonts w:ascii="ˎ̥" w:hAnsi="ˎ̥"/>
                <w:b/>
                <w:i/>
                <w:color w:val="FF0000"/>
                <w:sz w:val="18"/>
              </w:rPr>
              <w:pict>
                <v:shape id="_x0000_i1026" o:spt="136" type="#_x0000_t136" style="height:9.75pt;width:19.5pt;" coordsize="21600,21600">
                  <v:path/>
                  <v:fill focussize="0,0"/>
                  <v:stroke/>
                  <v:imagedata o:title=""/>
                  <o:lock v:ext="edit" text="f"/>
                  <v:textpath on="t" fitshape="t" fitpath="t" trim="t" xscale="f" string="主讲" style="font-family:宋体;font-size:10pt;font-style:italic;v-text-align:center;"/>
                  <v:shadow on="t" opacity="52428f"/>
                  <w10:wrap type="none"/>
                  <w10:anchorlock/>
                </v:shape>
              </w:pict>
            </w:r>
            <w:r>
              <w:rPr>
                <w:rFonts w:hint="eastAsia" w:ascii="ˎ̥" w:hAnsi="ˎ̥"/>
                <w:b/>
                <w:i/>
                <w:sz w:val="18"/>
              </w:rPr>
              <w:t>：</w:t>
            </w:r>
            <w:r>
              <w:rPr>
                <w:rFonts w:hint="eastAsia" w:ascii="黑体" w:hAnsi="黑体" w:eastAsia="黑体"/>
                <w:color w:val="000000"/>
                <w:sz w:val="22"/>
              </w:rPr>
              <w:t>王龙</w:t>
            </w:r>
          </w:p>
          <w:p>
            <w:pPr>
              <w:ind w:left="571" w:leftChars="272" w:firstLine="94" w:firstLineChars="43"/>
              <w:rPr>
                <w:rFonts w:ascii="黑体" w:hAnsi="黑体" w:eastAsia="黑体"/>
                <w:color w:val="000000"/>
                <w:sz w:val="2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3" w:type="dxa"/>
            <w:vMerge w:val="continue"/>
            <w:shd w:val="clear" w:color="auto" w:fill="FF0000"/>
          </w:tcPr>
          <w:p/>
        </w:tc>
        <w:tc>
          <w:tcPr>
            <w:tcW w:w="7938" w:type="dxa"/>
          </w:tcPr>
          <w:p>
            <w:pPr>
              <w:rPr>
                <w:sz w:val="18"/>
              </w:rPr>
            </w:pPr>
          </w:p>
        </w:tc>
      </w:tr>
    </w:tbl>
    <w:p/>
    <w:tbl>
      <w:tblPr>
        <w:tblStyle w:val="14"/>
        <w:tblpPr w:leftFromText="180" w:rightFromText="180" w:vertAnchor="text" w:horzAnchor="margin" w:tblpY="1653"/>
        <w:tblW w:w="10361" w:type="dxa"/>
        <w:tblInd w:w="0" w:type="dxa"/>
        <w:tblBorders>
          <w:top w:val="single" w:color="FF0000" w:sz="48" w:space="0"/>
          <w:left w:val="none" w:color="auto" w:sz="0" w:space="0"/>
          <w:bottom w:val="single" w:color="FF0000" w:sz="4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61"/>
      </w:tblGrid>
      <w:tr>
        <w:tblPrEx>
          <w:tblBorders>
            <w:top w:val="single" w:color="FF0000" w:sz="48" w:space="0"/>
            <w:left w:val="none" w:color="auto" w:sz="0" w:space="0"/>
            <w:bottom w:val="single" w:color="FF0000" w:sz="48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5" w:hRule="atLeast"/>
        </w:trPr>
        <w:tc>
          <w:tcPr>
            <w:tcW w:w="10361" w:type="dxa"/>
          </w:tcPr>
          <w:p>
            <w:pPr>
              <w:widowControl/>
              <w:ind w:left="-2"/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631190</wp:posOffset>
                      </wp:positionV>
                      <wp:extent cx="1504950" cy="304800"/>
                      <wp:effectExtent l="0" t="0" r="38100" b="247650"/>
                      <wp:wrapNone/>
                      <wp:docPr id="13" name="AutoShap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4800"/>
                              </a:xfrm>
                              <a:prstGeom prst="wedgeRoundRectCallout">
                                <a:avLst>
                                  <a:gd name="adj1" fmla="val -45949"/>
                                  <a:gd name="adj2" fmla="val 110625"/>
                                  <a:gd name="adj3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200000"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ind w:firstLine="105" w:firstLineChars="5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西溪科创园8号楼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12" o:spid="_x0000_s1026" o:spt="62" type="#_x0000_t62" style="position:absolute;left:0pt;margin-left:234.75pt;margin-top:49.7pt;height:24pt;width:118.5pt;z-index:251666432;mso-width-relative:page;mso-height-relative:page;" fillcolor="#FFFFFF [3217]" filled="t" stroked="t" coordsize="21600,21600" o:gfxdata="UEsDBAoAAAAAAIdO4kAAAAAAAAAAAAAAAAAEAAAAZHJzL1BLAwQUAAAACACHTuJAygDj8toAAAAK&#10;AQAADwAAAGRycy9kb3ducmV2LnhtbE2PQU7DMBBF90jcwRokdtQuCmmSxukCEQFSRdXCAZx4mkSN&#10;7Sh20/T2DKuynJmnP+/nm9n0bMLRd85KWC4EMLS1051tJPx8l08JMB+U1ap3FiVc0cOmuL/LVabd&#10;xe5xOoSGUYj1mZLQhjBknPu6RaP8wg1o6XZ0o1GBxrHhelQXCjc9fxYi5kZ1lj60asDXFuvT4Wwk&#10;zPH14/1r/7abymS7LXeVP/LPRMrHh6VYAws4hxsMf/qkDgU5Ve5stWe9hChOXwiVkKYRMAJWIqZF&#10;RWS0ioAXOf9fofgFUEsDBBQAAAAIAIdO4kASm94QEAMAAL4GAAAOAAAAZHJzL2Uyb0RvYy54bWyt&#10;VVtvmzAUfp+0/2D5veUSciEqqbqknSZ1W9Vu2rODDXgzNrOdku7X79gQSpI+TeMB4XPs73zn4o+r&#10;630t0DPThiuZ4egyxIjJXFEuywx//3Z3scDIWCIpEUqyDL8wg69X799dtc2SxapSgjKNAESaZdtk&#10;uLK2WQaByStWE3OpGibBWShdEwtLXQZUkxbQaxHEYTgLWqVpo1XOjAHrpnPilccvCpbbr0VhmEUi&#10;w8DN+rf27617B6srsiw1aSqe9zTIP7CoCZcQdIDaEEvQTvMzqJrnWhlV2Mtc1YEqCp4znwNkE4Un&#10;2TxVpGE+FyiOaYYymf8Hm395ftCIU+jdBCNJaujRzc4qHxpFsStQ25gl7HtqHrRL0TT3Kv9lkFTr&#10;isiS3Wit2ooRCrQitz84OuAWBo6ibftZUYAnAO9rtS907QChCmjvW/IytITtLcrBGE3DJJ1C53Lw&#10;TcJkEfqeBWR5ON1oYz8yVSP3keGW0ZI9qp2kj9D8NRFC7awPR57vjfU9on2ihP6MMCpqAS1/JgJd&#10;JNM0SfuZGG2Kx5uiKJzF0/NNUL5XpGg2m819LciyjwuUD1T7QaF3XAiklf3BbeUL7tL3TnOgalCj&#10;oK6d2ehyuxYaAdcM3/nHbxe7GkrbmaPQPR09sMP0d/ZD2XoM6BIMq+mCdTH6k850FOjDfHN7uzgL&#10;lLwdZ3YwA/5pLB+yz0xwiWB6Mjz1QNBhkxPB3CD2dYNb6SvkCAmJWvDEc0jNE1SCD84jtulkvdls&#10;ztgOtABrVJUhiRO2ZoxfcwsaJXidYZAceHqCQjoqzKtMnxXMGtNPFW0R5W4a48UkBQWkHCRnsghn&#10;YTrHiIgStDK3Gr/Z/KN04miazs6LPz3QOE6n7zsRTUW6tg8bTxIciPpBGOXgL6+7r929t/vtvpeA&#10;raIvcI1hXv1dBdGHj0rpPxi1IKAZNr93RDOMxCcJI5tGSeIU1y+S6TyGhR57tmMPkTlAZdhCefzn&#10;2nYqvWs0LyuIFPmeSuXUqeD2oDMdq150QCS7we4E3anweO13vf52V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gwUAAFtDb250ZW50X1R5cGVz&#10;XS54bWxQSwECFAAKAAAAAACHTuJAAAAAAAAAAAAAAAAABgAAAAAAAAAAABAAAABlBAAAX3JlbHMv&#10;UEsBAhQAFAAAAAgAh07iQIoUZjzRAAAAlAEAAAsAAAAAAAAAAQAgAAAAiQQAAF9yZWxzLy5yZWxz&#10;UEsBAhQACgAAAAAAh07iQAAAAAAAAAAAAAAAAAQAAAAAAAAAAAAQAAAAAAAAAGRycy9QSwECFAAU&#10;AAAACACHTuJAygDj8toAAAAKAQAADwAAAAAAAAABACAAAAAiAAAAZHJzL2Rvd25yZXYueG1sUEsB&#10;AhQAFAAAAAgAh07iQBKb3hAQAwAAvgYAAA4AAAAAAAAAAQAgAAAAKQEAAGRycy9lMm9Eb2MueG1s&#10;UEsFBgAAAAAGAAYAWQEAAKsGAAAAAA==&#10;" adj="875,34695,14400">
                      <v:fill type="gradient" on="t" color2="#B7DEE8 [1304]" focus="100%" focussize="0,0"/>
                      <v:stroke weight="1pt" color="#93CDDD [1944]" miterlimit="2" joinstyle="miter"/>
                      <v:imagedata o:title=""/>
                      <o:lock v:ext="edit" aspectratio="f"/>
                      <v:shadow on="t" color="#215968 [3208]" opacity="32768f" offset="1pt,2pt" origin="0f,0f" matrix="65536f,0f,0f,65536f"/>
                      <v:textbox>
                        <w:txbxContent>
                          <w:p>
                            <w:pPr>
                              <w:ind w:firstLine="105" w:firstLineChars="50"/>
                            </w:pPr>
                            <w:r>
                              <w:rPr>
                                <w:rFonts w:hint="eastAsia"/>
                              </w:rPr>
                              <w:t>西溪科创园8号楼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6362700" cy="263525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263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</w:pPr>
      <w:r>
        <w:drawing>
          <wp:inline distT="0" distB="0" distL="0" distR="0">
            <wp:extent cx="1995170" cy="831215"/>
            <wp:effectExtent l="0" t="0" r="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0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0" distR="0">
            <wp:extent cx="2054225" cy="831215"/>
            <wp:effectExtent l="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45910" cy="37820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jc w:val="center"/>
      </w:pPr>
    </w:p>
    <w:p>
      <w:pPr>
        <w:jc w:val="center"/>
        <w:rPr>
          <w:rFonts w:ascii="宋体" w:hAnsi="宋体" w:cs="宋体"/>
          <w:kern w:val="0"/>
          <w:sz w:val="20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《办公必备技能--PPT高效制作（小白班）》报名回执</w:t>
      </w:r>
    </w:p>
    <w:p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微软雅黑" w:hAnsi="微软雅黑" w:eastAsia="微软雅黑" w:cs="微软雅黑"/>
          <w:sz w:val="22"/>
        </w:rPr>
        <w:t xml:space="preserve">填好下表后传真至 </w:t>
      </w:r>
      <w:r>
        <w:rPr>
          <w:rFonts w:hint="eastAsia" w:ascii="微软雅黑" w:hAnsi="微软雅黑" w:eastAsia="微软雅黑" w:cs="微软雅黑"/>
          <w:szCs w:val="21"/>
        </w:rPr>
        <w:t xml:space="preserve">0571-89938990 </w:t>
      </w:r>
      <w:r>
        <w:rPr>
          <w:rFonts w:hint="eastAsia" w:ascii="微软雅黑" w:hAnsi="微软雅黑" w:eastAsia="微软雅黑" w:cs="微软雅黑"/>
          <w:sz w:val="22"/>
        </w:rPr>
        <w:t xml:space="preserve">           （此表复印有效）</w:t>
      </w:r>
      <w:r>
        <w:rPr>
          <w:sz w:val="22"/>
        </w:rPr>
        <w:t xml:space="preserve"> </w:t>
      </w:r>
      <w:r>
        <w:rPr>
          <w:rFonts w:hint="eastAsia" w:ascii="微软雅黑" w:hAnsi="微软雅黑" w:eastAsia="微软雅黑" w:cs="微软雅黑"/>
          <w:b/>
          <w:color w:val="000000"/>
          <w:sz w:val="22"/>
        </w:rPr>
        <w:t>联系方式：</w:t>
      </w:r>
      <w:r>
        <w:rPr>
          <w:rFonts w:ascii="宋体" w:hAnsi="宋体"/>
          <w:szCs w:val="21"/>
          <w:u w:val="single"/>
        </w:rPr>
        <w:t xml:space="preserve">                       </w:t>
      </w:r>
      <w:r>
        <w:rPr>
          <w:rFonts w:ascii="宋体" w:hAnsi="宋体"/>
          <w:szCs w:val="21"/>
        </w:rPr>
        <w:t xml:space="preserve">                   </w:t>
      </w:r>
      <w:r>
        <w:rPr>
          <w:rFonts w:hint="eastAsia" w:ascii="宋体" w:hAnsi="宋体"/>
          <w:szCs w:val="21"/>
        </w:rPr>
        <w:t xml:space="preserve">                                 </w:t>
      </w:r>
    </w:p>
    <w:tbl>
      <w:tblPr>
        <w:tblStyle w:val="13"/>
        <w:tblpPr w:leftFromText="180" w:rightFromText="180" w:vertAnchor="text" w:horzAnchor="margin" w:tblpX="108" w:tblpY="89"/>
        <w:tblW w:w="10180" w:type="dxa"/>
        <w:tblInd w:w="0" w:type="dxa"/>
        <w:tblBorders>
          <w:top w:val="thinThickSmallGap" w:color="auto" w:sz="18" w:space="0"/>
          <w:left w:val="thinThickSmallGap" w:color="auto" w:sz="18" w:space="0"/>
          <w:bottom w:val="thickThinSmallGap" w:color="auto" w:sz="18" w:space="0"/>
          <w:right w:val="thickThinSmallGap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023"/>
        <w:gridCol w:w="1237"/>
        <w:gridCol w:w="1019"/>
        <w:gridCol w:w="399"/>
        <w:gridCol w:w="1857"/>
        <w:gridCol w:w="2261"/>
      </w:tblGrid>
      <w:tr>
        <w:tblPrEx>
          <w:tblBorders>
            <w:top w:val="thinThickSmallGap" w:color="auto" w:sz="18" w:space="0"/>
            <w:left w:val="thinThickSmallGap" w:color="auto" w:sz="18" w:space="0"/>
            <w:bottom w:val="thickThinSmallGap" w:color="auto" w:sz="18" w:space="0"/>
            <w:right w:val="thickThinSmallGap" w:color="auto" w:sz="1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1" w:hRule="exact"/>
        </w:trPr>
        <w:tc>
          <w:tcPr>
            <w:tcW w:w="1384" w:type="dxa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单位名称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5536" w:type="dxa"/>
            <w:gridSpan w:val="4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</w:rPr>
            </w:pPr>
            <w:r>
              <w:rPr>
                <w:rFonts w:hint="eastAsia" w:ascii="黑体" w:hAnsi="黑体" w:eastAsia="黑体"/>
              </w:rPr>
              <w:t>企业类型： □外资 □台资 □港资 □民营 □其它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ckThinSmallGap" w:color="auto" w:sz="18" w:space="0"/>
            <w:right w:val="thickThinSmallGap" w:color="auto" w:sz="1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exac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联 系 人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  <w:r>
              <w:rPr>
                <w:rStyle w:val="12"/>
                <w:rFonts w:hint="eastAsia" w:ascii="黑体" w:hAnsi="黑体" w:eastAsia="黑体"/>
                <w:b w:val="0"/>
                <w:bCs w:val="0"/>
                <w:szCs w:val="18"/>
              </w:rPr>
              <w:t>公司地址</w:t>
            </w:r>
          </w:p>
        </w:tc>
        <w:tc>
          <w:tcPr>
            <w:tcW w:w="4118" w:type="dxa"/>
            <w:gridSpan w:val="2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ckThinSmallGap" w:color="auto" w:sz="18" w:space="0"/>
            <w:right w:val="thickThinSmallGap" w:color="auto" w:sz="1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exac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联系电话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1418" w:type="dxa"/>
            <w:gridSpan w:val="2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  <w:r>
              <w:rPr>
                <w:rStyle w:val="12"/>
                <w:rFonts w:hint="eastAsia" w:ascii="黑体" w:hAnsi="黑体" w:eastAsia="黑体"/>
                <w:b w:val="0"/>
                <w:bCs w:val="0"/>
                <w:szCs w:val="18"/>
              </w:rPr>
              <w:t>E-mail</w:t>
            </w:r>
          </w:p>
        </w:tc>
        <w:tc>
          <w:tcPr>
            <w:tcW w:w="4118" w:type="dxa"/>
            <w:gridSpan w:val="2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ckThinSmallGap" w:color="auto" w:sz="18" w:space="0"/>
            <w:right w:val="thickThinSmallGap" w:color="auto" w:sz="1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参会人数</w:t>
            </w:r>
          </w:p>
        </w:tc>
        <w:tc>
          <w:tcPr>
            <w:tcW w:w="3260" w:type="dxa"/>
            <w:gridSpan w:val="2"/>
          </w:tcPr>
          <w:p>
            <w:pPr>
              <w:spacing w:line="360" w:lineRule="auto"/>
              <w:ind w:firstLine="525" w:firstLineChars="250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       </w:t>
            </w:r>
            <w:r>
              <w:rPr>
                <w:rFonts w:hint="eastAsia" w:ascii="黑体" w:hAnsi="黑体" w:eastAsia="黑体"/>
                <w:szCs w:val="21"/>
              </w:rPr>
              <w:t>人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参会费用</w:t>
            </w:r>
          </w:p>
        </w:tc>
        <w:tc>
          <w:tcPr>
            <w:tcW w:w="4118" w:type="dxa"/>
            <w:gridSpan w:val="2"/>
          </w:tcPr>
          <w:p>
            <w:pPr>
              <w:spacing w:line="360" w:lineRule="auto"/>
              <w:ind w:firstLine="420" w:firstLineChars="200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￥_______元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ckThinSmallGap" w:color="auto" w:sz="18" w:space="0"/>
            <w:right w:val="thickThinSmallGap" w:color="auto" w:sz="1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5" w:hRule="atLeas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请将款项</w:t>
            </w:r>
          </w:p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汇至指定帐号</w:t>
            </w:r>
          </w:p>
        </w:tc>
        <w:tc>
          <w:tcPr>
            <w:tcW w:w="8796" w:type="dxa"/>
            <w:gridSpan w:val="6"/>
            <w:vAlign w:val="center"/>
          </w:tcPr>
          <w:p>
            <w:pPr>
              <w:spacing w:line="288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 xml:space="preserve">户  名： </w:t>
            </w:r>
          </w:p>
          <w:p>
            <w:pPr>
              <w:spacing w:line="288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 xml:space="preserve">开户行： </w:t>
            </w:r>
          </w:p>
          <w:p>
            <w:pPr>
              <w:spacing w:line="288" w:lineRule="auto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账  号：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ckThinSmallGap" w:color="auto" w:sz="18" w:space="0"/>
            <w:right w:val="thickThinSmallGap" w:color="auto" w:sz="1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1" w:hRule="exact"/>
        </w:trPr>
        <w:tc>
          <w:tcPr>
            <w:tcW w:w="1384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黑体" w:hAnsi="黑体" w:eastAsia="黑体"/>
              </w:rPr>
            </w:pPr>
          </w:p>
          <w:p>
            <w:pPr>
              <w:jc w:val="center"/>
              <w:rPr>
                <w:rFonts w:ascii="黑体" w:hAnsi="黑体" w:eastAsia="黑体"/>
              </w:rPr>
            </w:pPr>
          </w:p>
          <w:p>
            <w:pPr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参加</w:t>
            </w:r>
          </w:p>
          <w:p>
            <w:pPr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学员</w:t>
            </w:r>
          </w:p>
          <w:p>
            <w:pPr>
              <w:jc w:val="center"/>
              <w:rPr>
                <w:rFonts w:ascii="黑体" w:hAnsi="黑体" w:eastAsia="黑体"/>
              </w:rPr>
            </w:pPr>
          </w:p>
          <w:p>
            <w:pPr>
              <w:jc w:val="center"/>
              <w:rPr>
                <w:rFonts w:ascii="黑体" w:hAnsi="黑体" w:eastAsia="黑体"/>
              </w:rPr>
            </w:pPr>
          </w:p>
          <w:p>
            <w:pPr>
              <w:jc w:val="center"/>
              <w:rPr>
                <w:rFonts w:ascii="黑体" w:hAnsi="黑体" w:eastAsia="黑体"/>
              </w:rPr>
            </w:pPr>
          </w:p>
        </w:tc>
        <w:tc>
          <w:tcPr>
            <w:tcW w:w="2023" w:type="dxa"/>
            <w:shd w:val="clear" w:color="auto" w:fill="E6E6E6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  <w:r>
              <w:rPr>
                <w:rStyle w:val="12"/>
                <w:rFonts w:hint="eastAsia" w:ascii="黑体" w:hAnsi="黑体" w:eastAsia="黑体"/>
                <w:b w:val="0"/>
                <w:bCs w:val="0"/>
                <w:szCs w:val="18"/>
              </w:rPr>
              <w:t>姓名</w:t>
            </w:r>
          </w:p>
        </w:tc>
        <w:tc>
          <w:tcPr>
            <w:tcW w:w="2256" w:type="dxa"/>
            <w:gridSpan w:val="2"/>
            <w:shd w:val="clear" w:color="auto" w:fill="E6E6E6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  <w:r>
              <w:rPr>
                <w:rStyle w:val="12"/>
                <w:rFonts w:hint="eastAsia" w:ascii="黑体" w:hAnsi="黑体" w:eastAsia="黑体"/>
                <w:b w:val="0"/>
                <w:bCs w:val="0"/>
                <w:szCs w:val="18"/>
              </w:rPr>
              <w:t>职务</w:t>
            </w:r>
          </w:p>
        </w:tc>
        <w:tc>
          <w:tcPr>
            <w:tcW w:w="2256" w:type="dxa"/>
            <w:gridSpan w:val="2"/>
            <w:shd w:val="clear" w:color="auto" w:fill="E6E6E6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  <w:r>
              <w:rPr>
                <w:rStyle w:val="12"/>
                <w:rFonts w:hint="eastAsia" w:ascii="黑体" w:hAnsi="黑体" w:eastAsia="黑体"/>
                <w:b w:val="0"/>
                <w:bCs w:val="0"/>
                <w:szCs w:val="18"/>
              </w:rPr>
              <w:t>手 机</w:t>
            </w:r>
          </w:p>
        </w:tc>
        <w:tc>
          <w:tcPr>
            <w:tcW w:w="2261" w:type="dxa"/>
            <w:shd w:val="clear" w:color="auto" w:fill="E6E6E6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  <w:r>
              <w:rPr>
                <w:rStyle w:val="12"/>
                <w:rFonts w:hint="eastAsia" w:ascii="黑体" w:hAnsi="黑体" w:eastAsia="黑体"/>
                <w:b w:val="0"/>
                <w:bCs w:val="0"/>
                <w:szCs w:val="18"/>
              </w:rPr>
              <w:t>E-mail</w:t>
            </w: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ckThinSmallGap" w:color="auto" w:sz="18" w:space="0"/>
            <w:right w:val="thickThinSmallGap" w:color="auto" w:sz="1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exact"/>
        </w:trPr>
        <w:tc>
          <w:tcPr>
            <w:tcW w:w="1384" w:type="dxa"/>
            <w:vMerge w:val="continue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023" w:type="dxa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261" w:type="dxa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ckThinSmallGap" w:color="auto" w:sz="18" w:space="0"/>
            <w:right w:val="thickThinSmallGap" w:color="auto" w:sz="1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6" w:hRule="exact"/>
        </w:trPr>
        <w:tc>
          <w:tcPr>
            <w:tcW w:w="1384" w:type="dxa"/>
            <w:vMerge w:val="continue"/>
            <w:vAlign w:val="center"/>
          </w:tcPr>
          <w:p>
            <w:pPr>
              <w:rPr>
                <w:rFonts w:ascii="黑体" w:hAnsi="黑体" w:eastAsia="黑体"/>
              </w:rPr>
            </w:pPr>
          </w:p>
        </w:tc>
        <w:tc>
          <w:tcPr>
            <w:tcW w:w="2023" w:type="dxa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256" w:type="dxa"/>
            <w:gridSpan w:val="2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261" w:type="dxa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</w:tr>
      <w:tr>
        <w:tblPrEx>
          <w:tblBorders>
            <w:top w:val="thinThickSmallGap" w:color="auto" w:sz="18" w:space="0"/>
            <w:left w:val="thinThickSmallGap" w:color="auto" w:sz="18" w:space="0"/>
            <w:bottom w:val="thickThinSmallGap" w:color="auto" w:sz="18" w:space="0"/>
            <w:right w:val="thickThinSmallGap" w:color="auto" w:sz="1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exact"/>
        </w:trPr>
        <w:tc>
          <w:tcPr>
            <w:tcW w:w="1384" w:type="dxa"/>
            <w:vMerge w:val="continue"/>
            <w:vAlign w:val="center"/>
          </w:tcPr>
          <w:p>
            <w:pPr>
              <w:rPr>
                <w:rFonts w:ascii="黑体" w:hAnsi="黑体" w:eastAsia="黑体"/>
              </w:rPr>
            </w:pPr>
          </w:p>
        </w:tc>
        <w:tc>
          <w:tcPr>
            <w:tcW w:w="2023" w:type="dxa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256" w:type="dxa"/>
            <w:gridSpan w:val="2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256" w:type="dxa"/>
            <w:gridSpan w:val="2"/>
            <w:vAlign w:val="center"/>
          </w:tcPr>
          <w:p>
            <w:pPr>
              <w:jc w:val="center"/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  <w:tc>
          <w:tcPr>
            <w:tcW w:w="2261" w:type="dxa"/>
            <w:vAlign w:val="center"/>
          </w:tcPr>
          <w:p>
            <w:pPr>
              <w:rPr>
                <w:rStyle w:val="12"/>
                <w:rFonts w:ascii="黑体" w:hAnsi="黑体" w:eastAsia="黑体"/>
                <w:b w:val="0"/>
                <w:bCs w:val="0"/>
                <w:szCs w:val="18"/>
              </w:rPr>
            </w:pPr>
          </w:p>
        </w:tc>
      </w:tr>
    </w:tbl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720" w:right="720" w:bottom="720" w:left="720" w:header="0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-1" w:leftChars="-337" w:right="-718" w:rightChars="-342" w:hanging="707" w:hangingChars="39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-528320</wp:posOffset>
              </wp:positionH>
              <wp:positionV relativeFrom="paragraph">
                <wp:posOffset>435610</wp:posOffset>
              </wp:positionV>
              <wp:extent cx="7683500" cy="497205"/>
              <wp:effectExtent l="0" t="0" r="12700" b="17145"/>
              <wp:wrapNone/>
              <wp:docPr id="3" name="矩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83500" cy="49720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rgbClr val="FF0000"/>
                        </a:solidFill>
                        <a:miter lim="2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3" o:spid="_x0000_s1026" o:spt="1" style="position:absolute;left:0pt;margin-left:-41.6pt;margin-top:34.3pt;height:39.15pt;width:605pt;z-index:251659264;mso-width-relative:page;mso-height-relative:page;" fillcolor="#FF0000" filled="t" stroked="t" coordsize="21600,21600" o:gfxdata="UEsDBAoAAAAAAIdO4kAAAAAAAAAAAAAAAAAEAAAAZHJzL1BLAwQUAAAACACHTuJAxIiT2dsAAAAL&#10;AQAADwAAAGRycy9kb3ducmV2LnhtbE2PwU7DMAyG70i8Q2QkblvabopKaToN0BBM4sDgADevMW1F&#10;41RNtpW3JzvBzZY//f7+cjXZXhxp9J1jDek8AUFcO9Nxo+H9bTPLQfiAbLB3TBp+yMOqurwosTDu&#10;xK903IVGxBD2BWpoQxgKKX3dkkU/dwNxvH250WKI69hIM+IphtteZkmipMWO44cWB7pvqf7eHayG&#10;qd2uPzBdPz4s6fPuyTy/bHgRtL6+SpNbEIGm8AfDWT+qQxWd9u7AxotewyxfZBHVoHIF4gykmYpl&#10;9nFaqhuQVSn/d6h+AVBLAwQUAAAACACHTuJAjrUjURICAAAjBAAADgAAAGRycy9lMm9Eb2MueG1s&#10;rVNdjtMwEH5H4g6W32nSv+1u1HS16qoIaYGVFg7gOk5jYXvM2G1aLoPEG4fgOIhrMHG63QJvK/Jg&#10;eTLjb2a++WZ+vbeG7RQGDa7kw0HOmXISKu02Jf/4YfXqkrMQhauEAadKflCBXy9evpi3vlAjaMBU&#10;ChmBuFC0vuRNjL7IsiAbZUUYgFeOnDWgFZFM3GQVipbQrclGeX6RtYCVR5AqBPp72zv5IuHXtZLx&#10;fV0HFZkpOdUW04npXHdntpiLYoPCN1oeyxDPqMIK7SjpCepWRMG2qP+BsloiBKjjQILNoK61VKkH&#10;6maY/9XNQyO8Sr0QOcGfaAr/D1a+290j01XJx5w5YWlEv75+//njGxuNO3JaHwqKefD32LUX/B3I&#10;T4E5WDbCbdQNIrSNEhWVNOzisz8edEagp2zdvoWKsMU2QuJpX6PtAIkBtk/jOJzGofaRSfo5u7gc&#10;T3OamiTf5Go2yqcphSgeX3sM8bUCy7pLyZHGndDF7i7ErhpRPIak6sHoaqWNSQZu1kuDbCdIGqtV&#10;Tt8RPZyHGcda6m00I/dzMayOJHKjbclJs0+JjDsS1nHUc72G6kB8IfRKpc2iSwP4hbOWVFry8Hkr&#10;UHFm3jji/Go4mXSyTsZkShRxhuee9blHOElQJY+c9ddl7Fdh61FvGso0TD06uKE51TpR2M2wr+pY&#10;LCkxMXvcmk7q53aKetrtx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iJPZ2wAAAAsBAAAPAAAA&#10;AAAAAAEAIAAAACIAAABkcnMvZG93bnJldi54bWxQSwECFAAUAAAACACHTuJAjrUjURICAAAjBAAA&#10;DgAAAAAAAAABACAAAAAqAQAAZHJzL2Uyb0RvYy54bWxQSwUGAAAAAAYABgBZAQAArgUAAAAA&#10;">
              <v:fill on="t" focussize="0,0"/>
              <v:stroke weight="1pt" color="#FF0000" miterlimit="2" joinstyle="miter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-3" w:leftChars="-338" w:right="-718" w:rightChars="-342" w:hanging="707" w:hangingChars="337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-445135</wp:posOffset>
              </wp:positionH>
              <wp:positionV relativeFrom="paragraph">
                <wp:posOffset>-302895</wp:posOffset>
              </wp:positionV>
              <wp:extent cx="7534275" cy="166370"/>
              <wp:effectExtent l="0" t="0" r="28575" b="24130"/>
              <wp:wrapNone/>
              <wp:docPr id="12" name="矩形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4275" cy="16637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rgbClr val="FF0000"/>
                        </a:solidFill>
                        <a:miter lim="200000"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43" o:spid="_x0000_s1026" o:spt="1" style="position:absolute;left:0pt;margin-left:-35.05pt;margin-top:-23.85pt;height:13.1pt;width:593.25pt;z-index:251658240;mso-width-relative:page;mso-height-relative:page;" fillcolor="#FF0000" filled="t" stroked="t" coordsize="21600,21600" o:gfxdata="UEsDBAoAAAAAAIdO4kAAAAAAAAAAAAAAAAAEAAAAZHJzL1BLAwQUAAAACACHTuJAd+2/ddsAAAAM&#10;AQAADwAAAGRycy9kb3ducmV2LnhtbE2PPU/DMBCGdyT+g3VIbK3tEhoU4lQFVESRGNoywObGRxwR&#10;n6PYbcO/x51gu49H7z1XLkbXsSMOofWkQE4FMKTam5YaBe+71eQOWIiajO48oYIfDLCoLi9KXRh/&#10;og0et7FhKYRCoRXYGPuC81BbdDpMfY+Udl9+cDqmdmi4GfQphbuOz4SYc6dbShes7vHRYv29PTgF&#10;o31dfmi5fH7K8PPhxazfVnQTlbq+kuIeWMQx/sFw1k/qUCWnvT+QCaxTMMmFTGgqsjwHdiaknGfA&#10;9mk0k7fAq5L/f6L6BVBLAwQUAAAACACHTuJANfwALRICAAAkBAAADgAAAGRycy9lMm9Eb2MueG1s&#10;rVNdjtMwEH5H4g6W32ma/kLUdLXqqghpgZUWDuA6TmLheMzYbVoug8Qbh+A4iGswdrvdAm8r8mB5&#10;MuPPM9/3eXG17wzbKfQabMnzwZAzZSVU2jYl//hh/eIlZz4IWwkDVpX8oDy/Wj5/tuhdoUbQgqkU&#10;MgKxvuhdydsQXJFlXraqE34ATllK1oCdCBRik1UoekLvTDYaDmdZD1g5BKm8p783xyRfJvy6VjK8&#10;r2uvAjMlp95CWjGtm7hmy4UoGhSu1fLUhnhCF53Qli49Q92IINgW9T9QnZYIHuowkNBlUNdaqjQD&#10;TZMP/5rmvhVOpVmIHO/ONPn/Byvf7e6Q6Yq0G3FmRUca/fr6/eePb2wyjuz0zhdUdO/uMM7n3S3I&#10;T55ZWLXCNuoaEfpWiYp6ymN99seBGHg6yjb9W6gIW2wDJKL2NXYRkChg+6TH4ayH2gcm6ed8Op6M&#10;5lPOJOXy2Ww8T4Jlong47dCH1wo6FjclR9I7oYvdrQ+xG1E8lKTuwehqrY1JATablUG2E+SN9XpI&#10;XxqAhrwsM5b1kZ05pZ+K0elALje6KzmZ9vEiY0+ERY6OXG+gOhBfCEer0tOiTQv4hbOebFpy/3kr&#10;UHFm3lji/FU+mURfp2AynY8owMvM5jIjrCSokgfOjttVOL6FrUPdtHRTnma0cE061TpRGDU8dnVq&#10;lqyYmD09m+j1yzhVPT7u5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37b912wAAAAwBAAAPAAAA&#10;AAAAAAEAIAAAACIAAABkcnMvZG93bnJldi54bWxQSwECFAAUAAAACACHTuJANfwALRICAAAkBAAA&#10;DgAAAAAAAAABACAAAAAqAQAAZHJzL2Uyb0RvYy54bWxQSwUGAAAAAAYABgBZAQAArgUAAAAA&#10;">
              <v:fill on="t" focussize="0,0"/>
              <v:stroke weight="1pt" color="#FF0000" miterlimit="2" joinstyle="miter"/>
              <v:imagedata o:title=""/>
              <o:lock v:ext="edit" aspectratio="f"/>
            </v:rect>
          </w:pict>
        </mc:Fallback>
      </mc:AlternateContent>
    </w:r>
    <w:r>
      <w:drawing>
        <wp:inline distT="0" distB="0" distL="0" distR="0">
          <wp:extent cx="7576185" cy="926465"/>
          <wp:effectExtent l="0" t="0" r="5715" b="6985"/>
          <wp:docPr id="1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6185" cy="926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5978"/>
    <w:multiLevelType w:val="multilevel"/>
    <w:tmpl w:val="052E5978"/>
    <w:lvl w:ilvl="0" w:tentative="0">
      <w:start w:val="1"/>
      <w:numFmt w:val="bullet"/>
      <w:lvlText w:val=""/>
      <w:lvlJc w:val="left"/>
      <w:pPr>
        <w:ind w:left="878" w:hanging="420"/>
      </w:pPr>
      <w:rPr>
        <w:rFonts w:hint="default" w:ascii="Wingdings" w:hAnsi="Wingdings"/>
        <w:color w:val="FEAF17"/>
      </w:rPr>
    </w:lvl>
    <w:lvl w:ilvl="1" w:tentative="0">
      <w:start w:val="1"/>
      <w:numFmt w:val="bullet"/>
      <w:lvlText w:val=""/>
      <w:lvlJc w:val="left"/>
      <w:pPr>
        <w:ind w:left="840" w:hanging="420"/>
      </w:pPr>
      <w:rPr>
        <w:rFonts w:hint="default" w:ascii="Wingdings" w:hAnsi="Wingdings"/>
        <w:color w:val="FF0000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7142A7C"/>
    <w:multiLevelType w:val="multilevel"/>
    <w:tmpl w:val="07142A7C"/>
    <w:lvl w:ilvl="0" w:tentative="0">
      <w:start w:val="1"/>
      <w:numFmt w:val="chineseCountingThousand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18A22203"/>
    <w:multiLevelType w:val="multilevel"/>
    <w:tmpl w:val="18A22203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A0023A1"/>
    <w:multiLevelType w:val="multilevel"/>
    <w:tmpl w:val="1A0023A1"/>
    <w:lvl w:ilvl="0" w:tentative="0">
      <w:start w:val="1"/>
      <w:numFmt w:val="chineseCountingThousand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1ECA5C80"/>
    <w:multiLevelType w:val="multilevel"/>
    <w:tmpl w:val="1ECA5C80"/>
    <w:lvl w:ilvl="0" w:tentative="0">
      <w:start w:val="1"/>
      <w:numFmt w:val="chineseCountingThousand"/>
      <w:lvlText w:val="%1、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2B2977D4"/>
    <w:multiLevelType w:val="multilevel"/>
    <w:tmpl w:val="2B2977D4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E714027"/>
    <w:multiLevelType w:val="multilevel"/>
    <w:tmpl w:val="3E714027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5C53ED8"/>
    <w:multiLevelType w:val="multilevel"/>
    <w:tmpl w:val="55C53ED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A006F4D"/>
    <w:multiLevelType w:val="multilevel"/>
    <w:tmpl w:val="5A006F4D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AD01411"/>
    <w:multiLevelType w:val="multilevel"/>
    <w:tmpl w:val="5AD0141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EB5740F"/>
    <w:multiLevelType w:val="multilevel"/>
    <w:tmpl w:val="6EB5740F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40837E3"/>
    <w:multiLevelType w:val="multilevel"/>
    <w:tmpl w:val="740837E3"/>
    <w:lvl w:ilvl="0" w:tentative="0">
      <w:start w:val="1"/>
      <w:numFmt w:val="none"/>
      <w:pStyle w:val="2"/>
      <w:suff w:val="nothing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1第%2讲"/>
      <w:lvlJc w:val="left"/>
      <w:pPr>
        <w:ind w:left="0" w:firstLine="0"/>
      </w:pPr>
      <w:rPr>
        <w:rFonts w:hint="eastAsia"/>
        <w:lang w:val="en-US"/>
      </w:rPr>
    </w:lvl>
    <w:lvl w:ilvl="2" w:tentative="0">
      <w:start w:val="1"/>
      <w:numFmt w:val="decimal"/>
      <w:pStyle w:val="4"/>
      <w:suff w:val="nothing"/>
      <w:lvlText w:val="%1%2.%3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4"/>
  </w:num>
  <w:num w:numId="9">
    <w:abstractNumId w:val="10"/>
  </w:num>
  <w:num w:numId="10">
    <w:abstractNumId w:val="8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06C"/>
    <w:rsid w:val="000042CA"/>
    <w:rsid w:val="0001288F"/>
    <w:rsid w:val="0002428E"/>
    <w:rsid w:val="00032E96"/>
    <w:rsid w:val="00045EEE"/>
    <w:rsid w:val="00050E34"/>
    <w:rsid w:val="00052BF3"/>
    <w:rsid w:val="00063EE0"/>
    <w:rsid w:val="00074451"/>
    <w:rsid w:val="000B0523"/>
    <w:rsid w:val="000B503E"/>
    <w:rsid w:val="000B51C8"/>
    <w:rsid w:val="000D32C7"/>
    <w:rsid w:val="000D5F25"/>
    <w:rsid w:val="001013E7"/>
    <w:rsid w:val="001105BB"/>
    <w:rsid w:val="0013367C"/>
    <w:rsid w:val="00134725"/>
    <w:rsid w:val="00162257"/>
    <w:rsid w:val="0018539D"/>
    <w:rsid w:val="00185ECC"/>
    <w:rsid w:val="00187601"/>
    <w:rsid w:val="00190671"/>
    <w:rsid w:val="001964B2"/>
    <w:rsid w:val="001A2B17"/>
    <w:rsid w:val="001D77E6"/>
    <w:rsid w:val="001E490B"/>
    <w:rsid w:val="00212579"/>
    <w:rsid w:val="00256172"/>
    <w:rsid w:val="00274B11"/>
    <w:rsid w:val="0029606F"/>
    <w:rsid w:val="002B69D3"/>
    <w:rsid w:val="002C626E"/>
    <w:rsid w:val="002D0F9B"/>
    <w:rsid w:val="002D3AC9"/>
    <w:rsid w:val="002F6628"/>
    <w:rsid w:val="003063A5"/>
    <w:rsid w:val="003305D9"/>
    <w:rsid w:val="00343FE4"/>
    <w:rsid w:val="00350452"/>
    <w:rsid w:val="00362B19"/>
    <w:rsid w:val="003679A2"/>
    <w:rsid w:val="00371BDB"/>
    <w:rsid w:val="00377644"/>
    <w:rsid w:val="00386590"/>
    <w:rsid w:val="003C0251"/>
    <w:rsid w:val="003C6F41"/>
    <w:rsid w:val="003D42CD"/>
    <w:rsid w:val="003F48BD"/>
    <w:rsid w:val="00415B3B"/>
    <w:rsid w:val="00416675"/>
    <w:rsid w:val="00417648"/>
    <w:rsid w:val="004267CD"/>
    <w:rsid w:val="00445830"/>
    <w:rsid w:val="004472BF"/>
    <w:rsid w:val="0045660C"/>
    <w:rsid w:val="004717A0"/>
    <w:rsid w:val="00481E3F"/>
    <w:rsid w:val="004827E2"/>
    <w:rsid w:val="004B7CB2"/>
    <w:rsid w:val="004D30FE"/>
    <w:rsid w:val="004F0B53"/>
    <w:rsid w:val="00535D93"/>
    <w:rsid w:val="0054343A"/>
    <w:rsid w:val="00564E3F"/>
    <w:rsid w:val="00573463"/>
    <w:rsid w:val="00574368"/>
    <w:rsid w:val="00584C54"/>
    <w:rsid w:val="00586CB8"/>
    <w:rsid w:val="005B54FC"/>
    <w:rsid w:val="005E2D42"/>
    <w:rsid w:val="00607A4F"/>
    <w:rsid w:val="00607B63"/>
    <w:rsid w:val="00616082"/>
    <w:rsid w:val="00620B52"/>
    <w:rsid w:val="00637DDF"/>
    <w:rsid w:val="00670D15"/>
    <w:rsid w:val="006737D2"/>
    <w:rsid w:val="006747F4"/>
    <w:rsid w:val="00693689"/>
    <w:rsid w:val="006C3CCA"/>
    <w:rsid w:val="006C6A8B"/>
    <w:rsid w:val="006D3549"/>
    <w:rsid w:val="006E22D3"/>
    <w:rsid w:val="006E7812"/>
    <w:rsid w:val="00700418"/>
    <w:rsid w:val="00705D88"/>
    <w:rsid w:val="00707B5E"/>
    <w:rsid w:val="007148FD"/>
    <w:rsid w:val="0072406B"/>
    <w:rsid w:val="007242A6"/>
    <w:rsid w:val="007244A6"/>
    <w:rsid w:val="00744EC5"/>
    <w:rsid w:val="00745EE6"/>
    <w:rsid w:val="00746341"/>
    <w:rsid w:val="0075322F"/>
    <w:rsid w:val="00753A42"/>
    <w:rsid w:val="007743CC"/>
    <w:rsid w:val="007808D4"/>
    <w:rsid w:val="007D628B"/>
    <w:rsid w:val="007D7358"/>
    <w:rsid w:val="007E10F2"/>
    <w:rsid w:val="007F0580"/>
    <w:rsid w:val="008113E4"/>
    <w:rsid w:val="008159DE"/>
    <w:rsid w:val="00824321"/>
    <w:rsid w:val="008313B2"/>
    <w:rsid w:val="00833E26"/>
    <w:rsid w:val="008420F5"/>
    <w:rsid w:val="008503E4"/>
    <w:rsid w:val="0086201E"/>
    <w:rsid w:val="00870437"/>
    <w:rsid w:val="00870D07"/>
    <w:rsid w:val="008A7412"/>
    <w:rsid w:val="008C5894"/>
    <w:rsid w:val="008C6D9C"/>
    <w:rsid w:val="008D2D0A"/>
    <w:rsid w:val="00901F1A"/>
    <w:rsid w:val="009270BC"/>
    <w:rsid w:val="0092762F"/>
    <w:rsid w:val="00954022"/>
    <w:rsid w:val="00956092"/>
    <w:rsid w:val="0096006C"/>
    <w:rsid w:val="00960686"/>
    <w:rsid w:val="00965D0B"/>
    <w:rsid w:val="009808F5"/>
    <w:rsid w:val="00986271"/>
    <w:rsid w:val="00992513"/>
    <w:rsid w:val="009970F0"/>
    <w:rsid w:val="009A075C"/>
    <w:rsid w:val="009A2CFE"/>
    <w:rsid w:val="009A2E11"/>
    <w:rsid w:val="009A5034"/>
    <w:rsid w:val="009B155F"/>
    <w:rsid w:val="009C787F"/>
    <w:rsid w:val="009E3BE2"/>
    <w:rsid w:val="00A13F2E"/>
    <w:rsid w:val="00A328FB"/>
    <w:rsid w:val="00A419FA"/>
    <w:rsid w:val="00A84140"/>
    <w:rsid w:val="00A87640"/>
    <w:rsid w:val="00A878EB"/>
    <w:rsid w:val="00A95261"/>
    <w:rsid w:val="00AA469C"/>
    <w:rsid w:val="00AA6D48"/>
    <w:rsid w:val="00AE1D24"/>
    <w:rsid w:val="00AE3D39"/>
    <w:rsid w:val="00B26528"/>
    <w:rsid w:val="00B56CBF"/>
    <w:rsid w:val="00B64113"/>
    <w:rsid w:val="00B83568"/>
    <w:rsid w:val="00B9423C"/>
    <w:rsid w:val="00BD1E2E"/>
    <w:rsid w:val="00BE1122"/>
    <w:rsid w:val="00BE1B6C"/>
    <w:rsid w:val="00BE712C"/>
    <w:rsid w:val="00BF2394"/>
    <w:rsid w:val="00C51C85"/>
    <w:rsid w:val="00C629E5"/>
    <w:rsid w:val="00CA74FF"/>
    <w:rsid w:val="00CD2D7B"/>
    <w:rsid w:val="00CD4E01"/>
    <w:rsid w:val="00CF6F59"/>
    <w:rsid w:val="00D05DF0"/>
    <w:rsid w:val="00D10141"/>
    <w:rsid w:val="00D22183"/>
    <w:rsid w:val="00D235C4"/>
    <w:rsid w:val="00D25513"/>
    <w:rsid w:val="00D2585C"/>
    <w:rsid w:val="00D27E8F"/>
    <w:rsid w:val="00D3718B"/>
    <w:rsid w:val="00D37F0E"/>
    <w:rsid w:val="00D64A8A"/>
    <w:rsid w:val="00D704DD"/>
    <w:rsid w:val="00D7114D"/>
    <w:rsid w:val="00D95153"/>
    <w:rsid w:val="00DB7B7B"/>
    <w:rsid w:val="00DD241D"/>
    <w:rsid w:val="00DD7EE8"/>
    <w:rsid w:val="00DE0B18"/>
    <w:rsid w:val="00E468B8"/>
    <w:rsid w:val="00E72B44"/>
    <w:rsid w:val="00E83390"/>
    <w:rsid w:val="00EA29E7"/>
    <w:rsid w:val="00EA67D2"/>
    <w:rsid w:val="00EB4FD3"/>
    <w:rsid w:val="00ED4331"/>
    <w:rsid w:val="00EE18BA"/>
    <w:rsid w:val="00EE3477"/>
    <w:rsid w:val="00EE59A3"/>
    <w:rsid w:val="00F211AB"/>
    <w:rsid w:val="00F30826"/>
    <w:rsid w:val="00F30EB5"/>
    <w:rsid w:val="00F418FC"/>
    <w:rsid w:val="00F44243"/>
    <w:rsid w:val="00F53BAE"/>
    <w:rsid w:val="00F614CA"/>
    <w:rsid w:val="00F63EA9"/>
    <w:rsid w:val="00F74166"/>
    <w:rsid w:val="00FA7286"/>
    <w:rsid w:val="00FC49AE"/>
    <w:rsid w:val="00FD4525"/>
    <w:rsid w:val="00FE0F7B"/>
    <w:rsid w:val="0FE3278E"/>
    <w:rsid w:val="1FC854A4"/>
    <w:rsid w:val="2EE73107"/>
    <w:rsid w:val="6F38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next w:val="1"/>
    <w:link w:val="24"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Lines="50" w:afterLines="50"/>
      <w:outlineLvl w:val="0"/>
    </w:pPr>
    <w:rPr>
      <w:rFonts w:eastAsia="微软雅黑" w:asciiTheme="minorHAnsi" w:hAnsiTheme="minorHAnsi" w:cstheme="minorBidi"/>
      <w:b/>
      <w:bCs/>
      <w:color w:val="0070C0"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25"/>
    <w:unhideWhenUsed/>
    <w:qFormat/>
    <w:uiPriority w:val="9"/>
    <w:pPr>
      <w:keepNext/>
      <w:keepLines/>
      <w:numPr>
        <w:ilvl w:val="1"/>
        <w:numId w:val="1"/>
      </w:numPr>
      <w:adjustRightInd w:val="0"/>
      <w:spacing w:line="312" w:lineRule="auto"/>
      <w:outlineLvl w:val="1"/>
    </w:pPr>
    <w:rPr>
      <w:rFonts w:eastAsia="微软雅黑" w:asciiTheme="majorHAnsi" w:hAnsiTheme="majorHAnsi" w:cstheme="majorBidi"/>
      <w:b/>
      <w:bCs/>
      <w:color w:val="0070C0"/>
      <w:kern w:val="2"/>
      <w:sz w:val="32"/>
      <w:szCs w:val="32"/>
      <w:lang w:val="en-US" w:eastAsia="zh-CN" w:bidi="ar-SA"/>
    </w:rPr>
  </w:style>
  <w:style w:type="paragraph" w:styleId="4">
    <w:name w:val="heading 3"/>
    <w:next w:val="1"/>
    <w:link w:val="26"/>
    <w:unhideWhenUsed/>
    <w:qFormat/>
    <w:uiPriority w:val="9"/>
    <w:pPr>
      <w:keepNext/>
      <w:keepLines/>
      <w:numPr>
        <w:ilvl w:val="2"/>
        <w:numId w:val="1"/>
      </w:numPr>
      <w:adjustRightInd w:val="0"/>
      <w:snapToGrid w:val="0"/>
      <w:spacing w:beforeLines="50" w:afterLines="50"/>
      <w:outlineLvl w:val="2"/>
    </w:pPr>
    <w:rPr>
      <w:rFonts w:eastAsia="微软雅黑" w:asciiTheme="minorHAnsi" w:hAnsiTheme="minorHAnsi" w:cstheme="minorBidi"/>
      <w:b/>
      <w:bCs/>
      <w:kern w:val="2"/>
      <w:sz w:val="21"/>
      <w:szCs w:val="32"/>
      <w:lang w:val="en-US" w:eastAsia="zh-CN" w:bidi="ar-SA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</w:rPr>
  </w:style>
  <w:style w:type="paragraph" w:styleId="7">
    <w:name w:val="Balloon Text"/>
    <w:basedOn w:val="1"/>
    <w:link w:val="19"/>
    <w:unhideWhenUsed/>
    <w:qFormat/>
    <w:uiPriority w:val="0"/>
    <w:rPr>
      <w:sz w:val="18"/>
      <w:szCs w:val="18"/>
    </w:rPr>
  </w:style>
  <w:style w:type="paragraph" w:styleId="8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2">
    <w:name w:val="Strong"/>
    <w:qFormat/>
    <w:uiPriority w:val="0"/>
    <w:rPr>
      <w:b/>
      <w:bCs/>
    </w:rPr>
  </w:style>
  <w:style w:type="table" w:styleId="14">
    <w:name w:val="Table Grid"/>
    <w:basedOn w:val="1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15">
    <w:name w:val="Light List Accent 3"/>
    <w:basedOn w:val="13"/>
    <w:qFormat/>
    <w:uiPriority w:val="61"/>
    <w:rPr>
      <w:rFonts w:asciiTheme="minorHAnsi" w:hAnsiTheme="minorHAnsi" w:eastAsiaTheme="minorEastAsia" w:cstheme="minorBidi"/>
      <w:sz w:val="22"/>
      <w:szCs w:val="22"/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Layout w:type="fixed"/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>
        <w:tblLayout w:type="fixed"/>
      </w:tblPr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>
        <w:tblLayout w:type="fixed"/>
      </w:tblPr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>
        <w:tblLayout w:type="fixed"/>
      </w:tblPr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paragraph" w:customStyle="1" w:styleId="16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7">
    <w:name w:val="页眉 Char"/>
    <w:basedOn w:val="11"/>
    <w:link w:val="9"/>
    <w:uiPriority w:val="99"/>
    <w:rPr>
      <w:sz w:val="18"/>
      <w:szCs w:val="18"/>
    </w:rPr>
  </w:style>
  <w:style w:type="character" w:customStyle="1" w:styleId="18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9">
    <w:name w:val="批注框文本 Char"/>
    <w:basedOn w:val="11"/>
    <w:link w:val="7"/>
    <w:semiHidden/>
    <w:uiPriority w:val="0"/>
    <w:rPr>
      <w:kern w:val="2"/>
      <w:sz w:val="18"/>
      <w:szCs w:val="18"/>
    </w:rPr>
  </w:style>
  <w:style w:type="paragraph" w:customStyle="1" w:styleId="20">
    <w:name w:val="Char Char Char Char Char Char"/>
    <w:basedOn w:val="1"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21">
    <w:name w:val="列出段落2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22">
    <w:name w:val="style681"/>
    <w:basedOn w:val="11"/>
    <w:qFormat/>
    <w:uiPriority w:val="0"/>
    <w:rPr>
      <w:color w:val="000033"/>
      <w:sz w:val="20"/>
      <w:szCs w:val="20"/>
    </w:rPr>
  </w:style>
  <w:style w:type="character" w:customStyle="1" w:styleId="23">
    <w:name w:val="course_content1"/>
    <w:basedOn w:val="11"/>
    <w:uiPriority w:val="0"/>
    <w:rPr>
      <w:rFonts w:hint="default" w:ascii="Arial" w:hAnsi="Arial" w:cs="Arial"/>
      <w:sz w:val="21"/>
      <w:szCs w:val="21"/>
    </w:rPr>
  </w:style>
  <w:style w:type="character" w:customStyle="1" w:styleId="24">
    <w:name w:val="标题 1 Char"/>
    <w:basedOn w:val="11"/>
    <w:link w:val="2"/>
    <w:qFormat/>
    <w:uiPriority w:val="9"/>
    <w:rPr>
      <w:rFonts w:eastAsia="微软雅黑" w:asciiTheme="minorHAnsi" w:hAnsiTheme="minorHAnsi" w:cstheme="minorBidi"/>
      <w:b/>
      <w:bCs/>
      <w:color w:val="0070C0"/>
      <w:kern w:val="44"/>
      <w:sz w:val="32"/>
      <w:szCs w:val="44"/>
    </w:rPr>
  </w:style>
  <w:style w:type="character" w:customStyle="1" w:styleId="25">
    <w:name w:val="标题 2 Char"/>
    <w:basedOn w:val="11"/>
    <w:link w:val="3"/>
    <w:uiPriority w:val="9"/>
    <w:rPr>
      <w:rFonts w:eastAsia="微软雅黑" w:asciiTheme="majorHAnsi" w:hAnsiTheme="majorHAnsi" w:cstheme="majorBidi"/>
      <w:b/>
      <w:bCs/>
      <w:color w:val="0070C0"/>
      <w:kern w:val="2"/>
      <w:sz w:val="32"/>
      <w:szCs w:val="32"/>
    </w:rPr>
  </w:style>
  <w:style w:type="character" w:customStyle="1" w:styleId="26">
    <w:name w:val="标题 3 Char"/>
    <w:basedOn w:val="11"/>
    <w:link w:val="4"/>
    <w:qFormat/>
    <w:uiPriority w:val="9"/>
    <w:rPr>
      <w:rFonts w:eastAsia="微软雅黑" w:asciiTheme="minorHAnsi" w:hAnsiTheme="minorHAnsi" w:cstheme="minorBidi"/>
      <w:b/>
      <w:bCs/>
      <w:kern w:val="2"/>
      <w:sz w:val="21"/>
      <w:szCs w:val="32"/>
    </w:rPr>
  </w:style>
  <w:style w:type="character" w:customStyle="1" w:styleId="27">
    <w:name w:val="标题 4 Char"/>
    <w:basedOn w:val="11"/>
    <w:link w:val="5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28">
    <w:name w:val="列出段落3"/>
    <w:basedOn w:val="1"/>
    <w:unhideWhenUsed/>
    <w:qFormat/>
    <w:uiPriority w:val="34"/>
    <w:pPr>
      <w:ind w:firstLine="420" w:firstLineChars="200"/>
    </w:pPr>
  </w:style>
  <w:style w:type="paragraph" w:customStyle="1" w:styleId="29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60697B-CB49-46E8-937F-5292E8AFD7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414</Words>
  <Characters>2365</Characters>
  <Lines>19</Lines>
  <Paragraphs>5</Paragraphs>
  <TotalTime>0</TotalTime>
  <ScaleCrop>false</ScaleCrop>
  <LinksUpToDate>false</LinksUpToDate>
  <CharactersWithSpaces>2774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2017-07-18T06:42:00Z</dcterms:created>
  <dc:creator>nina</dc:creator>
  <cp:lastModifiedBy>Administrator</cp:lastModifiedBy>
  <cp:lastPrinted>2015-07-07T09:25:00Z</cp:lastPrinted>
  <dcterms:modified xsi:type="dcterms:W3CDTF">2017-08-04T03:19:06Z</dcterms:modified>
  <dc:title>《压力与情绪管理》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