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44"/>
          <w:szCs w:val="52"/>
        </w:rPr>
      </w:pPr>
      <w:r>
        <w:rPr>
          <w:rFonts w:hint="eastAsia" w:ascii="微软雅黑" w:hAnsi="微软雅黑" w:eastAsia="微软雅黑" w:cs="微软雅黑"/>
          <w:b/>
          <w:bCs/>
          <w:spacing w:val="20"/>
          <w:sz w:val="44"/>
          <w:szCs w:val="52"/>
        </w:rPr>
        <w:t>《全面质量管理实战训练（TQM）</w:t>
      </w:r>
      <w:r>
        <w:rPr>
          <w:rFonts w:hint="eastAsia" w:ascii="微软雅黑" w:hAnsi="微软雅黑" w:eastAsia="微软雅黑" w:cs="微软雅黑"/>
          <w:b/>
          <w:bCs/>
          <w:sz w:val="44"/>
          <w:szCs w:val="52"/>
        </w:rPr>
        <w:t>》</w:t>
      </w:r>
    </w:p>
    <w:p>
      <w:pPr>
        <w:jc w:val="center"/>
        <w:rPr>
          <w:rFonts w:ascii="Arial" w:hAnsi="Arial" w:cs="Arial"/>
          <w:kern w:val="0"/>
        </w:rPr>
      </w:pPr>
      <w:r>
        <w:rPr>
          <w:rFonts w:hint="eastAsia" w:ascii="微软雅黑" w:hAnsi="微软雅黑" w:eastAsia="微软雅黑"/>
          <w:b/>
          <w:sz w:val="28"/>
        </w:rPr>
        <w:t>主讲：生产管理职业资深培训教练   刘立户</w:t>
      </w:r>
    </w:p>
    <w:tbl>
      <w:tblPr>
        <w:tblStyle w:val="13"/>
        <w:tblW w:w="10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3598"/>
        <w:gridCol w:w="3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35" w:type="dxa"/>
            <w:gridSpan w:val="2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32"/>
              </w:rPr>
              <w:t>课程收益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质量管理在生产管理中的地位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掌握提升全员质量意识的具体方法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熟练应用质量制度化管理技术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全面推进和应用质量缺陷分析方法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掌握QC七大工具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在企业中推进QCC系统的步骤与方法等</w:t>
            </w:r>
          </w:p>
          <w:p>
            <w:pPr>
              <w:ind w:left="315" w:hanging="315" w:hangingChars="150"/>
              <w:rPr>
                <w:rFonts w:ascii="宋体" w:hAnsi="宋体"/>
              </w:rPr>
            </w:pPr>
          </w:p>
        </w:tc>
        <w:tc>
          <w:tcPr>
            <w:tcW w:w="3325" w:type="dxa"/>
            <w:vMerge w:val="restart"/>
            <w:tcBorders>
              <w:left w:val="nil"/>
              <w:bottom w:val="nil"/>
            </w:tcBorders>
            <w:shd w:val="clear" w:color="auto" w:fill="FF0000"/>
          </w:tcPr>
          <w:p>
            <w:pPr>
              <w:rPr>
                <w:rFonts w:ascii="微软雅黑" w:hAnsi="微软雅黑" w:eastAsia="微软雅黑"/>
                <w:b/>
                <w:color w:val="FFFFFF"/>
                <w:sz w:val="32"/>
              </w:rPr>
            </w:pPr>
          </w:p>
          <w:p>
            <w:pPr>
              <w:ind w:left="287" w:leftChars="39" w:hanging="205" w:hangingChars="64"/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32"/>
              </w:rPr>
              <w:t>时间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2017年9月 22日9：30至17:00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2017年9月 23日9:00至16：30</w:t>
            </w:r>
          </w:p>
          <w:p>
            <w:pPr>
              <w:ind w:left="287" w:leftChars="39" w:hanging="205" w:hangingChars="64"/>
              <w:rPr>
                <w:rFonts w:ascii="微软雅黑" w:hAnsi="微软雅黑" w:eastAsia="微软雅黑"/>
                <w:b/>
                <w:color w:val="FFFFFF"/>
                <w:sz w:val="32"/>
              </w:rPr>
            </w:pPr>
          </w:p>
          <w:p>
            <w:pPr>
              <w:ind w:left="287" w:leftChars="39" w:hanging="205" w:hangingChars="64"/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32"/>
              </w:rPr>
              <w:t>地点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ascii="幼圆" w:hAnsi="微软雅黑" w:eastAsia="幼圆"/>
                <w:b/>
                <w:color w:val="FFFFFF"/>
                <w:szCs w:val="21"/>
              </w:rPr>
              <w:t>杭州时代光华教育发展有限公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司二楼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>大培训教室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阿凡达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>（杭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ascii="幼圆" w:hAnsi="微软雅黑" w:eastAsia="幼圆"/>
                <w:b/>
                <w:color w:val="FFFFFF"/>
                <w:szCs w:val="21"/>
              </w:rPr>
              <w:t>州市西湖区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文一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>西路522号西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ascii="幼圆" w:hAnsi="微软雅黑" w:eastAsia="幼圆"/>
                <w:b/>
                <w:color w:val="FFFFFF"/>
                <w:szCs w:val="21"/>
              </w:rPr>
              <w:t>溪科创园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8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>号楼，蒋村公交中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ascii="幼圆" w:hAnsi="微软雅黑" w:eastAsia="幼圆"/>
                <w:b/>
                <w:color w:val="FFFFFF"/>
                <w:szCs w:val="21"/>
              </w:rPr>
              <w:t>心站对面）</w:t>
            </w:r>
          </w:p>
          <w:p>
            <w:pPr>
              <w:rPr>
                <w:rFonts w:ascii="微软雅黑" w:hAnsi="微软雅黑" w:eastAsia="微软雅黑"/>
                <w:b/>
                <w:color w:val="FFFFFF"/>
                <w:sz w:val="32"/>
              </w:rPr>
            </w:pPr>
          </w:p>
          <w:p>
            <w:pPr>
              <w:ind w:left="287" w:leftChars="39" w:hanging="205" w:hangingChars="64"/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32"/>
              </w:rPr>
              <w:t>课程对象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厂长、车间主任、班组长、管理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人员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</w:p>
          <w:p>
            <w:pPr>
              <w:ind w:left="287" w:leftChars="39" w:hanging="205" w:hangingChars="64"/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32"/>
              </w:rPr>
              <w:t>企业大小</w:t>
            </w:r>
          </w:p>
          <w:p>
            <w:pPr>
              <w:ind w:left="217" w:leftChars="39" w:hanging="135" w:hangingChars="64"/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不限</w:t>
            </w:r>
          </w:p>
          <w:p>
            <w:pPr>
              <w:ind w:left="287" w:leftChars="39" w:hanging="205" w:hangingChars="64"/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32"/>
              </w:rPr>
              <w:t>行业类型</w:t>
            </w:r>
          </w:p>
          <w:p>
            <w:pPr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 xml:space="preserve"> 生产制造型企业</w:t>
            </w:r>
          </w:p>
          <w:p>
            <w:pPr>
              <w:rPr>
                <w:rFonts w:ascii="幼圆" w:hAnsi="微软雅黑" w:eastAsia="幼圆"/>
                <w:b/>
                <w:color w:val="FFFFFF"/>
                <w:szCs w:val="21"/>
              </w:rPr>
            </w:pPr>
          </w:p>
          <w:p>
            <w:pPr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32"/>
              </w:rPr>
              <w:t>参会费用</w:t>
            </w:r>
          </w:p>
          <w:p>
            <w:pPr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会员套票：</w:t>
            </w:r>
          </w:p>
          <w:p>
            <w:pPr>
              <w:rPr>
                <w:rFonts w:ascii="幼圆" w:hAnsi="微软雅黑" w:eastAsia="幼圆"/>
                <w:b/>
                <w:color w:val="FFFFFF"/>
                <w:szCs w:val="21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5张  3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  <w:lang w:val="en-US" w:eastAsia="zh-CN"/>
              </w:rPr>
              <w:t>8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00元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>/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人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 xml:space="preserve">   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限50人</w:t>
            </w:r>
          </w:p>
          <w:p>
            <w:pPr>
              <w:rPr>
                <w:rFonts w:ascii="微软雅黑" w:hAnsi="微软雅黑" w:eastAsia="微软雅黑"/>
                <w:b/>
                <w:color w:val="FFFFFF"/>
                <w:sz w:val="32"/>
              </w:rPr>
            </w:pP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团队购票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>5</w:t>
            </w:r>
            <w:r>
              <w:rPr>
                <w:rFonts w:hint="eastAsia" w:ascii="幼圆" w:hAnsi="微软雅黑" w:eastAsia="幼圆"/>
                <w:b/>
                <w:color w:val="FFFFFF"/>
                <w:szCs w:val="21"/>
              </w:rPr>
              <w:t>人以上更优惠！</w:t>
            </w:r>
            <w:r>
              <w:rPr>
                <w:rFonts w:ascii="幼圆" w:hAnsi="微软雅黑" w:eastAsia="幼圆"/>
                <w:b/>
                <w:color w:val="FFFFFF"/>
                <w:szCs w:val="21"/>
              </w:rPr>
              <w:t xml:space="preserve"> </w:t>
            </w:r>
          </w:p>
          <w:p>
            <w:pPr>
              <w:rPr>
                <w:rFonts w:ascii="幼圆" w:hAnsi="微软雅黑" w:eastAsia="幼圆"/>
                <w:b/>
                <w:color w:val="FFFFFF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437" w:type="dxa"/>
            <w:shd w:val="clear" w:color="auto" w:fill="auto"/>
            <w:vAlign w:val="bottom"/>
          </w:tcPr>
          <w:p>
            <w:pPr>
              <w:jc w:val="left"/>
              <w:rPr>
                <w:rFonts w:ascii="微软雅黑" w:hAnsi="微软雅黑" w:eastAsia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32"/>
              </w:rPr>
              <w:t>课程大纲</w:t>
            </w:r>
          </w:p>
        </w:tc>
        <w:tc>
          <w:tcPr>
            <w:tcW w:w="3598" w:type="dxa"/>
            <w:shd w:val="clear" w:color="auto" w:fill="auto"/>
          </w:tcPr>
          <w:p/>
        </w:tc>
        <w:tc>
          <w:tcPr>
            <w:tcW w:w="3325" w:type="dxa"/>
            <w:vMerge w:val="continue"/>
            <w:tcBorders>
              <w:left w:val="nil"/>
            </w:tcBorders>
            <w:shd w:val="clear" w:color="auto" w:fill="FF0000"/>
          </w:tcPr>
          <w:p>
            <w:pPr>
              <w:ind w:left="315" w:leftChars="150"/>
              <w:rPr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</w:trPr>
        <w:tc>
          <w:tcPr>
            <w:tcW w:w="703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第一章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3M的18种状态与质量管理</w:t>
            </w:r>
          </w:p>
          <w:p>
            <w:pPr>
              <w:numPr>
                <w:ilvl w:val="0"/>
                <w:numId w:val="3"/>
              </w:numPr>
              <w:ind w:left="420" w:leftChars="200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3M的18种状态</w:t>
            </w:r>
          </w:p>
          <w:p>
            <w:pPr>
              <w:numPr>
                <w:ilvl w:val="0"/>
                <w:numId w:val="3"/>
              </w:numPr>
              <w:ind w:left="420" w:leftChars="200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质量管理观念更新与应用</w:t>
            </w:r>
          </w:p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第二章  质量缺陷分析方法</w:t>
            </w:r>
          </w:p>
          <w:p>
            <w:pPr>
              <w:numPr>
                <w:ilvl w:val="0"/>
                <w:numId w:val="4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质量缺陷记录单与应用</w:t>
            </w:r>
          </w:p>
          <w:p>
            <w:pPr>
              <w:numPr>
                <w:ilvl w:val="0"/>
                <w:numId w:val="4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四个工具的应用与闭环</w:t>
            </w:r>
          </w:p>
          <w:p>
            <w:pPr>
              <w:numPr>
                <w:ilvl w:val="0"/>
                <w:numId w:val="4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质量管理的数据库建设</w:t>
            </w:r>
          </w:p>
          <w:p>
            <w:pPr>
              <w:numPr>
                <w:ilvl w:val="0"/>
                <w:numId w:val="4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质量管理与岗位SOP系统</w:t>
            </w:r>
          </w:p>
          <w:p>
            <w:pPr>
              <w:rPr>
                <w:rFonts w:ascii="宋体" w:hAnsi="宋体"/>
                <w:b/>
                <w:bCs/>
                <w:color w:val="FF660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第三章  质量管理技术与方法3362系统</w:t>
            </w:r>
          </w:p>
          <w:p>
            <w:pPr>
              <w:numPr>
                <w:ilvl w:val="0"/>
                <w:numId w:val="5"/>
              </w:num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质量意识管理</w:t>
            </w:r>
          </w:p>
          <w:p>
            <w:pPr>
              <w:numPr>
                <w:ilvl w:val="1"/>
                <w:numId w:val="5"/>
              </w:numPr>
              <w:ind w:left="1327"/>
              <w:rPr>
                <w:szCs w:val="21"/>
              </w:rPr>
            </w:pPr>
            <w:r>
              <w:rPr>
                <w:rFonts w:hint="eastAsia"/>
                <w:szCs w:val="21"/>
              </w:rPr>
              <w:t>质量班前会</w:t>
            </w:r>
          </w:p>
          <w:p>
            <w:pPr>
              <w:numPr>
                <w:ilvl w:val="1"/>
                <w:numId w:val="5"/>
              </w:numPr>
              <w:ind w:left="1327"/>
              <w:rPr>
                <w:szCs w:val="21"/>
              </w:rPr>
            </w:pPr>
            <w:r>
              <w:rPr>
                <w:rFonts w:hint="eastAsia"/>
                <w:szCs w:val="21"/>
              </w:rPr>
              <w:t>质量曝光台</w:t>
            </w:r>
          </w:p>
          <w:p>
            <w:pPr>
              <w:numPr>
                <w:ilvl w:val="1"/>
                <w:numId w:val="5"/>
              </w:numPr>
              <w:ind w:left="1327"/>
              <w:rPr>
                <w:szCs w:val="21"/>
              </w:rPr>
            </w:pPr>
            <w:r>
              <w:rPr>
                <w:rFonts w:hint="eastAsia"/>
                <w:szCs w:val="21"/>
              </w:rPr>
              <w:t>质量分析会与应用</w:t>
            </w:r>
          </w:p>
          <w:p>
            <w:pPr>
              <w:numPr>
                <w:ilvl w:val="1"/>
                <w:numId w:val="5"/>
              </w:numPr>
              <w:ind w:left="1327"/>
              <w:rPr>
                <w:szCs w:val="21"/>
              </w:rPr>
            </w:pPr>
            <w:r>
              <w:rPr>
                <w:rFonts w:hint="eastAsia"/>
                <w:szCs w:val="21"/>
              </w:rPr>
              <w:t>三级质量管控系统</w:t>
            </w:r>
          </w:p>
          <w:p>
            <w:pPr>
              <w:numPr>
                <w:ilvl w:val="0"/>
                <w:numId w:val="5"/>
              </w:num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质量文件管理</w:t>
            </w:r>
          </w:p>
          <w:p>
            <w:pPr>
              <w:numPr>
                <w:ilvl w:val="1"/>
                <w:numId w:val="5"/>
              </w:numPr>
              <w:ind w:left="1327"/>
              <w:rPr>
                <w:szCs w:val="21"/>
              </w:rPr>
            </w:pPr>
            <w:r>
              <w:rPr>
                <w:rFonts w:hint="eastAsia"/>
                <w:szCs w:val="21"/>
              </w:rPr>
              <w:t>质量文件的质量管理</w:t>
            </w:r>
          </w:p>
          <w:p>
            <w:pPr>
              <w:numPr>
                <w:ilvl w:val="1"/>
                <w:numId w:val="5"/>
              </w:numPr>
              <w:ind w:left="1327"/>
              <w:rPr>
                <w:szCs w:val="21"/>
              </w:rPr>
            </w:pPr>
            <w:r>
              <w:rPr>
                <w:rFonts w:hint="eastAsia"/>
                <w:szCs w:val="21"/>
              </w:rPr>
              <w:t>数量管理</w:t>
            </w:r>
          </w:p>
          <w:p>
            <w:pPr>
              <w:numPr>
                <w:ilvl w:val="1"/>
                <w:numId w:val="5"/>
              </w:numPr>
              <w:ind w:left="1327"/>
              <w:rPr>
                <w:szCs w:val="21"/>
              </w:rPr>
            </w:pPr>
            <w:r>
              <w:rPr>
                <w:rFonts w:hint="eastAsia"/>
                <w:szCs w:val="21"/>
              </w:rPr>
              <w:t>《员工质量手册》</w:t>
            </w:r>
          </w:p>
          <w:p>
            <w:pPr>
              <w:ind w:left="420" w:left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 </w:t>
            </w:r>
            <w:r>
              <w:rPr>
                <w:rFonts w:hint="eastAsia"/>
                <w:szCs w:val="21"/>
              </w:rPr>
              <w:t>应用可视化手段管理质量</w:t>
            </w:r>
          </w:p>
          <w:p>
            <w:p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4.  质量缺陷分析与应用</w:t>
            </w:r>
          </w:p>
          <w:p>
            <w:pPr>
              <w:ind w:left="907"/>
              <w:rPr>
                <w:szCs w:val="21"/>
              </w:rPr>
            </w:pPr>
            <w:r>
              <w:rPr>
                <w:rFonts w:hint="eastAsia"/>
                <w:szCs w:val="21"/>
              </w:rPr>
              <w:t>a)  质量成本与PONC</w:t>
            </w:r>
          </w:p>
          <w:p>
            <w:pPr>
              <w:ind w:left="907"/>
              <w:rPr>
                <w:szCs w:val="21"/>
              </w:rPr>
            </w:pPr>
            <w:r>
              <w:rPr>
                <w:rFonts w:hint="eastAsia"/>
                <w:szCs w:val="21"/>
              </w:rPr>
              <w:t>b)  质量缺陷三级分类与对策</w:t>
            </w:r>
          </w:p>
          <w:p>
            <w:pPr>
              <w:ind w:left="907"/>
              <w:rPr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第四章  QC工具与应用</w:t>
            </w:r>
          </w:p>
          <w:p>
            <w:pPr>
              <w:numPr>
                <w:ilvl w:val="0"/>
                <w:numId w:val="6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鱼刺图及其应用</w:t>
            </w:r>
          </w:p>
          <w:p>
            <w:pPr>
              <w:numPr>
                <w:ilvl w:val="0"/>
                <w:numId w:val="6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排列图</w:t>
            </w:r>
          </w:p>
          <w:p>
            <w:pPr>
              <w:numPr>
                <w:ilvl w:val="0"/>
                <w:numId w:val="6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控制图和正态分析</w:t>
            </w:r>
          </w:p>
          <w:p>
            <w:pPr>
              <w:numPr>
                <w:ilvl w:val="0"/>
                <w:numId w:val="6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对策表与6W3H1C</w:t>
            </w:r>
          </w:p>
          <w:p>
            <w:pPr>
              <w:numPr>
                <w:ilvl w:val="0"/>
                <w:numId w:val="6"/>
              </w:numPr>
              <w:ind w:left="420" w:left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PDCA循环与应用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第五章  QCC系统建设</w:t>
            </w:r>
          </w:p>
          <w:p>
            <w:pPr>
              <w:pStyle w:val="28"/>
              <w:numPr>
                <w:ilvl w:val="0"/>
                <w:numId w:val="7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QCC系统组织机构建设</w:t>
            </w:r>
          </w:p>
          <w:p>
            <w:pPr>
              <w:pStyle w:val="28"/>
              <w:numPr>
                <w:ilvl w:val="0"/>
                <w:numId w:val="7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QCC系统章程与应用</w:t>
            </w:r>
          </w:p>
          <w:p>
            <w:pPr>
              <w:pStyle w:val="28"/>
              <w:numPr>
                <w:ilvl w:val="0"/>
                <w:numId w:val="7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QCC推进方式与技巧</w:t>
            </w:r>
          </w:p>
          <w:p>
            <w:pPr>
              <w:pStyle w:val="28"/>
              <w:numPr>
                <w:ilvl w:val="0"/>
                <w:numId w:val="7"/>
              </w:numPr>
              <w:ind w:left="420" w:left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QC报告编制与汇报会</w:t>
            </w:r>
          </w:p>
          <w:p>
            <w:pPr>
              <w:pStyle w:val="28"/>
              <w:numPr>
                <w:ilvl w:val="0"/>
                <w:numId w:val="7"/>
              </w:numPr>
              <w:ind w:left="420" w:leftChars="200"/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QCC系统与持续改善</w:t>
            </w:r>
          </w:p>
        </w:tc>
        <w:tc>
          <w:tcPr>
            <w:tcW w:w="3325" w:type="dxa"/>
            <w:vMerge w:val="continue"/>
            <w:tcBorders>
              <w:left w:val="nil"/>
            </w:tcBorders>
            <w:shd w:val="clear" w:color="auto" w:fill="FF0000"/>
          </w:tcPr>
          <w:p>
            <w:pPr>
              <w:ind w:left="315" w:leftChars="150"/>
              <w:rPr>
                <w:color w:val="FFFFFF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14"/>
        <w:tblpPr w:leftFromText="180" w:rightFromText="180" w:vertAnchor="page" w:horzAnchor="margin" w:tblpY="2581"/>
        <w:tblW w:w="10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0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0598" w:type="dxa"/>
            <w:gridSpan w:val="2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eastAsiaTheme="minorEastAsia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</w:rPr>
            </w:pPr>
            <w:r>
              <w:pict>
                <v:rect id="文本框 22" o:spid="_x0000_s1051" o:spt="1" style="position:absolute;left:0pt;margin-left:174.75pt;margin-top:30.9pt;height:130.5pt;width:279.6pt;z-index:25166745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jc w:val="left"/>
                          <w:rPr>
                            <w:rFonts w:ascii="微软雅黑" w:hAnsi="微软雅黑" w:eastAsia="微软雅黑"/>
                            <w:b/>
                            <w:sz w:val="40"/>
                            <w:szCs w:val="36"/>
                            <w:lang w:val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40"/>
                            <w:szCs w:val="36"/>
                            <w:lang w:val="zh-CN"/>
                          </w:rPr>
                          <w:t>刘立户</w:t>
                        </w:r>
                      </w:p>
                      <w:p>
                        <w:pPr>
                          <w:jc w:val="left"/>
                          <w:rPr>
                            <w:rFonts w:ascii="微软雅黑" w:hAnsi="微软雅黑" w:eastAsia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36"/>
                            <w:szCs w:val="28"/>
                          </w:rPr>
                          <w:t xml:space="preserve">生产管理职业资深培训教练 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drawing>
                <wp:inline distT="0" distB="0" distL="0" distR="0">
                  <wp:extent cx="1675130" cy="2016125"/>
                  <wp:effectExtent l="3810" t="3810" r="16510" b="18415"/>
                  <wp:docPr id="14" name="图片 14" descr="D:\2017年公开课\2017年公开课讲师资料\4月\刘立户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2017年公开课\2017年公开课讲师资料\4月\刘立户\图片1.png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201612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eastAsia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50" w:type="dxa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</w:pPr>
          </w:p>
        </w:tc>
        <w:tc>
          <w:tcPr>
            <w:tcW w:w="10348" w:type="dxa"/>
          </w:tcPr>
          <w:p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微软雅黑" w:hAnsi="微软雅黑" w:eastAsia="微软雅黑"/>
                <w:b/>
                <w:sz w:val="32"/>
              </w:rPr>
              <w:t>资历背景</w:t>
            </w:r>
          </w:p>
          <w:p>
            <w:pPr>
              <w:numPr>
                <w:ilvl w:val="1"/>
                <w:numId w:val="8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浙江大学经济学院客座教授（主讲生产运营管理与全面质量管理）</w:t>
            </w:r>
          </w:p>
          <w:p>
            <w:pPr>
              <w:numPr>
                <w:ilvl w:val="1"/>
                <w:numId w:val="8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成都电子科大科园培训机构生产运营教授</w:t>
            </w:r>
          </w:p>
          <w:p>
            <w:pPr>
              <w:numPr>
                <w:ilvl w:val="1"/>
                <w:numId w:val="8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四川大学MBA总裁班生产运营教授</w:t>
            </w:r>
          </w:p>
          <w:p>
            <w:pPr>
              <w:numPr>
                <w:ilvl w:val="1"/>
                <w:numId w:val="8"/>
              </w:num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北京时代光华教育发展公司高级培训师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250" w:type="dxa"/>
          </w:tcPr>
          <w:p>
            <w:pPr>
              <w:widowControl/>
              <w:jc w:val="left"/>
            </w:pPr>
          </w:p>
        </w:tc>
        <w:tc>
          <w:tcPr>
            <w:tcW w:w="10348" w:type="dxa"/>
          </w:tcPr>
          <w:p>
            <w:pPr>
              <w:rPr>
                <w:rFonts w:ascii="微软雅黑" w:hAnsi="微软雅黑" w:eastAsia="微软雅黑"/>
                <w:b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sz w:val="32"/>
              </w:rPr>
              <w:t>授课风格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刘立户老师课程实用性很强，讲解生动，深入浅出，对学员具极强的吸引力和感悟启发力</w:t>
            </w:r>
          </w:p>
          <w:p>
            <w:pPr>
              <w:rPr>
                <w:rFonts w:ascii="宋体" w:hAnsi="宋体"/>
                <w:szCs w:val="21"/>
                <w:lang w:eastAsia="zh-TW"/>
              </w:rPr>
            </w:pPr>
          </w:p>
          <w:p>
            <w:pPr>
              <w:ind w:left="420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50" w:type="dxa"/>
          </w:tcPr>
          <w:p>
            <w:pPr>
              <w:widowControl/>
              <w:jc w:val="left"/>
            </w:pPr>
          </w:p>
        </w:tc>
        <w:tc>
          <w:tcPr>
            <w:tcW w:w="10348" w:type="dxa"/>
          </w:tcPr>
          <w:p>
            <w:pPr>
              <w:rPr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sz w:val="32"/>
              </w:rPr>
              <w:t>授课经验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枝花钢铁集团、长城特种钢材有限公司、杭州中策橡胶有限公司、西安中萃可乐（可口可乐）有限公司、万丰科技开发股份有限公司、上海医药集团公司、奇瑞汽车有限公司、正大青春宝药业有限公司、宁波嘉隆工业有限公司、浙江仙居通用橡塑股份有限公司、云南机场集团有限公司、西安紫薇地产开发有限公司、上药集团常州制药厂有限公司、彩虹股份有限公司（上市公司）、山东凤翔集团有限公司、吉林森工股份有限公司、四川乐山电业局、浙江兴瑞电子有限公司、西安高压开关公司、四川开关集团有限公司、华润雪花啤酒有限公司、河北太行机械有限公司、国家电网公司、云天化股份有限公司（上市公司）、大庆石油集团公司、云锡集团（我国最大的锡金属采矿和冶炼企业）、金堆城钼业公司（我国最大的钼金属采矿和冶炼企业）……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widowControl/>
        <w:jc w:val="left"/>
      </w:pPr>
      <w:r>
        <w:drawing>
          <wp:inline distT="0" distB="0" distL="0" distR="0">
            <wp:extent cx="2125980" cy="831215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page" w:horzAnchor="margin" w:tblpY="3180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943" w:type="dxa"/>
            <w:vMerge w:val="restart"/>
            <w:shd w:val="clear" w:color="auto" w:fill="FF0000"/>
            <w:vAlign w:val="center"/>
          </w:tcPr>
          <w:p>
            <w:pPr>
              <w:spacing w:line="360" w:lineRule="auto"/>
              <w:ind w:left="283" w:leftChars="135" w:right="317" w:rightChars="151" w:firstLine="2"/>
              <w:jc w:val="left"/>
              <w:rPr>
                <w:rFonts w:ascii="黑体" w:hAnsi="黑体" w:eastAsia="黑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FFFFFF"/>
                <w:sz w:val="24"/>
                <w:szCs w:val="24"/>
              </w:rPr>
              <w:t>亲爱的学员，为了您能更加方便的参加刘立户老师的《</w:t>
            </w:r>
            <w:r>
              <w:rPr>
                <w:rFonts w:hint="eastAsia" w:ascii="黑体" w:eastAsia="黑体"/>
                <w:b/>
                <w:color w:val="FFFFFF" w:themeColor="background1"/>
                <w:sz w:val="24"/>
                <w:szCs w:val="24"/>
              </w:rPr>
              <w:t>全面质量管理实战训练（TQM）</w:t>
            </w:r>
            <w:r>
              <w:rPr>
                <w:rFonts w:hint="eastAsia" w:ascii="黑体" w:hAnsi="黑体" w:eastAsia="黑体"/>
                <w:b/>
                <w:color w:val="FFFFFF"/>
                <w:sz w:val="24"/>
                <w:szCs w:val="24"/>
              </w:rPr>
              <w:t>》课程，请注意以下提示：</w:t>
            </w:r>
          </w:p>
          <w:p>
            <w:pPr>
              <w:spacing w:line="360" w:lineRule="auto"/>
              <w:ind w:left="283" w:leftChars="135" w:right="317" w:rightChars="151" w:firstLine="2"/>
              <w:jc w:val="left"/>
              <w:rPr>
                <w:rFonts w:ascii="黑体" w:hAnsi="黑体" w:eastAsia="黑体"/>
                <w:b/>
                <w:color w:val="FFFFFF"/>
                <w:sz w:val="24"/>
                <w:szCs w:val="24"/>
              </w:rPr>
            </w:pPr>
          </w:p>
        </w:tc>
        <w:tc>
          <w:tcPr>
            <w:tcW w:w="7938" w:type="dxa"/>
          </w:tcPr>
          <w:p>
            <w:pPr>
              <w:ind w:firstLine="689" w:firstLineChars="245"/>
              <w:rPr>
                <w:rFonts w:ascii="黑体" w:hAnsi="黑体" w:eastAsia="黑体"/>
                <w:color w:val="000000"/>
                <w:sz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 xml:space="preserve">公交路线                                                           </w:t>
            </w:r>
          </w:p>
          <w:p>
            <w:pPr>
              <w:ind w:left="733" w:leftChars="34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蒋村公交中心站： K24 、K25、K43、K53、K54、K186 、K194、K203、K215、K261、K273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</w:p>
          <w:p>
            <w:pPr>
              <w:ind w:firstLine="700" w:firstLineChars="249"/>
              <w:rPr>
                <w:rFonts w:ascii="黑体" w:hAnsi="黑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停车信息</w:t>
            </w:r>
          </w:p>
          <w:p>
            <w:pPr>
              <w:ind w:left="630" w:leftChars="300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提供车位需自费，持停车优惠券5元/小时、10元/3小时、20元/天（建议大家绿色出行）</w:t>
            </w: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ind w:firstLine="689" w:firstLineChars="245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用餐信息</w:t>
            </w:r>
          </w:p>
          <w:p>
            <w:pPr>
              <w:ind w:firstLine="660" w:firstLineChars="300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提供中餐</w:t>
            </w:r>
          </w:p>
          <w:p>
            <w:pPr>
              <w:ind w:firstLine="420" w:firstLineChars="20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943" w:type="dxa"/>
            <w:vMerge w:val="continue"/>
            <w:shd w:val="clear" w:color="auto" w:fill="FF0000"/>
          </w:tcPr>
          <w:p/>
        </w:tc>
        <w:tc>
          <w:tcPr>
            <w:tcW w:w="7938" w:type="dxa"/>
          </w:tcPr>
          <w:p>
            <w:pPr>
              <w:rPr>
                <w:rFonts w:ascii="黑体" w:hAnsi="黑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 xml:space="preserve">     课程预告</w:t>
            </w:r>
          </w:p>
          <w:p>
            <w:pPr>
              <w:ind w:firstLine="660" w:firstLineChars="300"/>
              <w:rPr>
                <w:rFonts w:ascii="黑体" w:hAnsi="黑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2017年10月13、14日(周五、周六）</w:t>
            </w:r>
          </w:p>
          <w:p>
            <w:pPr>
              <w:ind w:left="571" w:leftChars="272" w:firstLine="78" w:firstLineChars="43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b/>
                <w:i/>
                <w:color w:val="FF0000"/>
                <w:sz w:val="18"/>
              </w:rPr>
              <w:pict>
                <v:shape id="_x0000_i1025" o:spt="136" type="#_x0000_t136" style="height:9.75pt;width:19.5pt;" coordsize="21600,21600">
                  <v:path/>
                  <v:fill focussize="0,0"/>
                  <v:stroke/>
                  <v:imagedata o:title=""/>
                  <o:lock v:ext="edit" text="f"/>
                  <v:textpath on="t" fitshape="t" fitpath="t" trim="t" xscale="f" string="主题" style="font-family:宋体;font-size:10pt;font-style:italic;v-text-align:center;"/>
                  <v:shadow on="t" opacity="52428f"/>
                  <w10:wrap type="none"/>
                  <w10:anchorlock/>
                </v:shape>
              </w:pict>
            </w:r>
            <w:r>
              <w:rPr>
                <w:rFonts w:hint="eastAsia"/>
                <w:b/>
                <w:i/>
                <w:sz w:val="1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《跨部门沟通与协作》</w:t>
            </w:r>
            <w:r>
              <w:rPr>
                <w:rFonts w:hint="eastAsia"/>
                <w:b/>
                <w:i/>
                <w:sz w:val="18"/>
              </w:rPr>
              <w:t xml:space="preserve">      </w:t>
            </w:r>
            <w:r>
              <w:rPr>
                <w:rFonts w:ascii="ˎ̥" w:hAnsi="ˎ̥"/>
                <w:b/>
                <w:i/>
                <w:color w:val="FF0000"/>
                <w:sz w:val="18"/>
              </w:rPr>
              <w:pict>
                <v:shape id="_x0000_i1026" o:spt="136" type="#_x0000_t136" style="height:9.75pt;width:19.5pt;" coordsize="21600,21600">
                  <v:path/>
                  <v:fill focussize="0,0"/>
                  <v:stroke/>
                  <v:imagedata o:title=""/>
                  <o:lock v:ext="edit" text="f"/>
                  <v:textpath on="t" fitshape="t" fitpath="t" trim="t" xscale="f" string="主讲" style="font-family:宋体;font-size:10pt;font-style:italic;v-text-align:center;"/>
                  <v:shadow on="t" opacity="52428f"/>
                  <w10:wrap type="none"/>
                  <w10:anchorlock/>
                </v:shape>
              </w:pict>
            </w:r>
            <w:r>
              <w:rPr>
                <w:rFonts w:hint="eastAsia" w:ascii="ˎ̥" w:hAnsi="ˎ̥"/>
                <w:b/>
                <w:i/>
                <w:sz w:val="1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王俊华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vMerge w:val="continue"/>
            <w:shd w:val="clear" w:color="auto" w:fill="FF0000"/>
          </w:tcPr>
          <w:p/>
        </w:tc>
        <w:tc>
          <w:tcPr>
            <w:tcW w:w="7938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14"/>
        <w:tblpPr w:leftFromText="180" w:rightFromText="180" w:vertAnchor="text" w:horzAnchor="margin" w:tblpY="1653"/>
        <w:tblW w:w="10361" w:type="dxa"/>
        <w:tblInd w:w="0" w:type="dxa"/>
        <w:tblBorders>
          <w:top w:val="single" w:color="FF0000" w:sz="48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1"/>
      </w:tblGrid>
      <w:tr>
        <w:tblPrEx>
          <w:tblBorders>
            <w:top w:val="single" w:color="FF0000" w:sz="48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10361" w:type="dxa"/>
          </w:tcPr>
          <w:p>
            <w:pPr>
              <w:widowControl/>
              <w:ind w:left="-2"/>
              <w:jc w:val="center"/>
            </w:pPr>
            <w:r>
              <w:pict>
                <v:shape id="AutoShape 12" o:spid="_x0000_s1036" o:spt="62" type="#_x0000_t62" style="position:absolute;left:0pt;margin-left:234.75pt;margin-top:49.7pt;height:24pt;width:123pt;z-index:251666432;mso-width-relative:page;mso-height-relative:page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" adj="875,34695">
                  <v:path/>
                  <v:fill type="gradient" on="t" color2="#B7DEE8" focus="100%" focussize="0f,0f"/>
                  <v:stroke weight="1pt" color="#92CDDC" miterlimit="2"/>
                  <v:imagedata o:title=""/>
                  <o:lock v:ext="edit"/>
                  <v:shadow on="t" color="#215968" opacity="32768f" offset="1pt,2pt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西溪科创园8号楼</w:t>
                        </w:r>
                      </w:p>
                    </w:txbxContent>
                  </v:textbox>
                </v:shape>
              </w:pict>
            </w:r>
            <w:r>
              <w:drawing>
                <wp:inline distT="0" distB="0" distL="0" distR="0">
                  <wp:extent cx="6510020" cy="2635250"/>
                  <wp:effectExtent l="0" t="0" r="5080" b="12700"/>
                  <wp:docPr id="18" name="图片 18" descr="D:\2017年公开课\2017年传真件\图片\公司.png公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2017年公开课\2017年传真件\图片\公司.png公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020" cy="263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left"/>
      </w:pPr>
      <w:r>
        <w:drawing>
          <wp:inline distT="0" distB="0" distL="0" distR="0">
            <wp:extent cx="1995170" cy="831215"/>
            <wp:effectExtent l="0" t="0" r="0" b="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0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1163320</wp:posOffset>
            </wp:positionV>
            <wp:extent cx="6565900" cy="3738880"/>
            <wp:effectExtent l="0" t="0" r="6350" b="13970"/>
            <wp:wrapSquare wrapText="right"/>
            <wp:docPr id="11" name="图片 28" descr="D:\2017年公开课\2017年传真件\图片\产品墙.png产品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 descr="D:\2017年公开课\2017年传真件\图片\产品墙.png产品墙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054225" cy="831215"/>
            <wp:effectExtent l="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1935480" cy="831215"/>
            <wp:effectExtent l="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45910" cy="27698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7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</w:p>
    <w:p>
      <w:pPr>
        <w:jc w:val="center"/>
        <w:rPr>
          <w:rFonts w:ascii="宋体" w:hAnsi="宋体" w:cs="宋体"/>
          <w:kern w:val="0"/>
          <w:sz w:val="20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《全面质量管理实战训练（TQM）》报名回执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微软雅黑" w:hAnsi="微软雅黑" w:eastAsia="微软雅黑" w:cs="微软雅黑"/>
          <w:sz w:val="22"/>
        </w:rPr>
        <w:t>填好下表后</w:t>
      </w:r>
      <w:r>
        <w:rPr>
          <w:rFonts w:hint="eastAsia" w:ascii="微软雅黑" w:hAnsi="微软雅黑" w:eastAsia="微软雅黑" w:cs="微软雅黑"/>
          <w:sz w:val="22"/>
          <w:lang w:eastAsia="zh-CN"/>
        </w:rPr>
        <w:t>发送到2969817824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@qq.com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2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 xml:space="preserve">          </w:t>
      </w:r>
      <w:r>
        <w:rPr>
          <w:sz w:val="22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sz w:val="22"/>
        </w:rPr>
        <w:t>联系方式：</w:t>
      </w:r>
      <w:r>
        <w:rPr>
          <w:rFonts w:hint="eastAsia" w:ascii="黑体" w:hAnsi="黑体" w:eastAsia="黑体"/>
          <w:szCs w:val="21"/>
          <w:lang w:val="en-US" w:eastAsia="zh-CN"/>
        </w:rPr>
        <w:t>13719291959 梁彩云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</w:t>
      </w:r>
    </w:p>
    <w:tbl>
      <w:tblPr>
        <w:tblStyle w:val="13"/>
        <w:tblpPr w:leftFromText="180" w:rightFromText="180" w:vertAnchor="text" w:horzAnchor="margin" w:tblpX="108" w:tblpY="89"/>
        <w:tblW w:w="10180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3"/>
        <w:gridCol w:w="1237"/>
        <w:gridCol w:w="1019"/>
        <w:gridCol w:w="399"/>
        <w:gridCol w:w="1857"/>
        <w:gridCol w:w="2261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5536" w:type="dxa"/>
            <w:gridSpan w:val="4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</w:rPr>
            </w:pPr>
            <w:r>
              <w:rPr>
                <w:rFonts w:hint="eastAsia" w:ascii="黑体" w:hAnsi="黑体" w:eastAsia="黑体"/>
              </w:rPr>
              <w:t>企业类型： □外资 □台资 □港资 □民营 □其它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 系 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  <w:r>
              <w:rPr>
                <w:rStyle w:val="12"/>
                <w:rFonts w:hint="eastAsia" w:ascii="黑体" w:hAnsi="黑体" w:eastAsia="黑体"/>
                <w:b w:val="0"/>
                <w:bCs w:val="0"/>
                <w:szCs w:val="18"/>
              </w:rPr>
              <w:t>公司地址</w:t>
            </w:r>
          </w:p>
        </w:tc>
        <w:tc>
          <w:tcPr>
            <w:tcW w:w="4118" w:type="dxa"/>
            <w:gridSpan w:val="2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  <w:r>
              <w:rPr>
                <w:rStyle w:val="12"/>
                <w:rFonts w:hint="eastAsia" w:ascii="黑体" w:hAnsi="黑体" w:eastAsia="黑体"/>
                <w:b w:val="0"/>
                <w:bCs w:val="0"/>
                <w:szCs w:val="18"/>
              </w:rPr>
              <w:t>E-mail</w:t>
            </w:r>
          </w:p>
        </w:tc>
        <w:tc>
          <w:tcPr>
            <w:tcW w:w="4118" w:type="dxa"/>
            <w:gridSpan w:val="2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参会人数</w:t>
            </w:r>
          </w:p>
        </w:tc>
        <w:tc>
          <w:tcPr>
            <w:tcW w:w="3260" w:type="dxa"/>
            <w:gridSpan w:val="2"/>
          </w:tcPr>
          <w:p>
            <w:pPr>
              <w:spacing w:line="360" w:lineRule="auto"/>
              <w:ind w:firstLine="525" w:firstLineChars="2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参会费用</w:t>
            </w:r>
          </w:p>
        </w:tc>
        <w:tc>
          <w:tcPr>
            <w:tcW w:w="411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￥_______元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请将款项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汇至指定帐号</w:t>
            </w:r>
          </w:p>
        </w:tc>
        <w:tc>
          <w:tcPr>
            <w:tcW w:w="8796" w:type="dxa"/>
            <w:gridSpan w:val="6"/>
            <w:vAlign w:val="center"/>
          </w:tcPr>
          <w:p>
            <w:pPr>
              <w:spacing w:line="288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户  名： </w:t>
            </w:r>
          </w:p>
          <w:p>
            <w:pPr>
              <w:spacing w:line="288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开户行： </w:t>
            </w:r>
          </w:p>
          <w:p>
            <w:pPr>
              <w:spacing w:line="288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账  号：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学员</w:t>
            </w: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23" w:type="dxa"/>
            <w:shd w:val="clear" w:color="auto" w:fill="E6E6E6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  <w:r>
              <w:rPr>
                <w:rStyle w:val="12"/>
                <w:rFonts w:hint="eastAsia" w:ascii="黑体" w:hAnsi="黑体" w:eastAsia="黑体"/>
                <w:b w:val="0"/>
                <w:bCs w:val="0"/>
                <w:szCs w:val="18"/>
              </w:rPr>
              <w:t>姓名</w:t>
            </w:r>
          </w:p>
        </w:tc>
        <w:tc>
          <w:tcPr>
            <w:tcW w:w="2256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  <w:r>
              <w:rPr>
                <w:rStyle w:val="12"/>
                <w:rFonts w:hint="eastAsia" w:ascii="黑体" w:hAnsi="黑体" w:eastAsia="黑体"/>
                <w:b w:val="0"/>
                <w:bCs w:val="0"/>
                <w:szCs w:val="18"/>
              </w:rPr>
              <w:t>职务</w:t>
            </w:r>
          </w:p>
        </w:tc>
        <w:tc>
          <w:tcPr>
            <w:tcW w:w="2256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  <w:r>
              <w:rPr>
                <w:rStyle w:val="12"/>
                <w:rFonts w:hint="eastAsia" w:ascii="黑体" w:hAnsi="黑体" w:eastAsia="黑体"/>
                <w:b w:val="0"/>
                <w:bCs w:val="0"/>
                <w:szCs w:val="18"/>
              </w:rPr>
              <w:t>手 机</w:t>
            </w:r>
          </w:p>
        </w:tc>
        <w:tc>
          <w:tcPr>
            <w:tcW w:w="2261" w:type="dxa"/>
            <w:shd w:val="clear" w:color="auto" w:fill="E6E6E6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  <w:r>
              <w:rPr>
                <w:rStyle w:val="12"/>
                <w:rFonts w:hint="eastAsia" w:ascii="黑体" w:hAnsi="黑体" w:eastAsia="黑体"/>
                <w:b w:val="0"/>
                <w:bCs w:val="0"/>
                <w:szCs w:val="18"/>
              </w:rPr>
              <w:t>E-mail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61" w:type="dxa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  <w:tc>
          <w:tcPr>
            <w:tcW w:w="2261" w:type="dxa"/>
            <w:vAlign w:val="center"/>
          </w:tcPr>
          <w:p>
            <w:pPr>
              <w:rPr>
                <w:rStyle w:val="12"/>
                <w:rFonts w:ascii="黑体" w:hAnsi="黑体" w:eastAsia="黑体"/>
                <w:b w:val="0"/>
                <w:bCs w:val="0"/>
                <w:szCs w:val="18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36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1" w:leftChars="-337" w:right="-718" w:rightChars="-342" w:hanging="707" w:hangingChars="393"/>
    </w:pPr>
    <w:r>
      <w:pict>
        <v:rect id="矩形 23" o:spid="_x0000_s2049" o:spt="1" style="position:absolute;left:0pt;margin-left:-41.6pt;margin-top:34.3pt;height:39.15pt;width:605pt;z-index:251659264;mso-width-relative:page;mso-height-relative:page;" fillcolor="#FF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">
          <v:path/>
          <v:fill on="t" focussize="0,0"/>
          <v:stroke weight="1pt" color="#FF0000" miterlimit="2"/>
          <v:imagedata o:title=""/>
          <o:lock v:ext="edit"/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w:pict>
        <v:rect id="矩形 43" o:spid="_x0000_s2050" o:spt="1" style="position:absolute;left:0pt;margin-left:-35.05pt;margin-top:-23.85pt;height:13.1pt;width:593.25pt;z-index:251658240;mso-width-relative:page;mso-height-relative:page;" fillcolor="#FF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">
          <v:path/>
          <v:fill on="t" focussize="0,0"/>
          <v:stroke weight="1pt" color="#FF0000" miterlimit="2"/>
          <v:imagedata o:title=""/>
          <o:lock v:ext="edit"/>
        </v:rect>
      </w:pict>
    </w:r>
    <w:r>
      <w:drawing>
        <wp:inline distT="0" distB="0" distL="0" distR="0">
          <wp:extent cx="7576185" cy="926465"/>
          <wp:effectExtent l="0" t="0" r="5715" b="6985"/>
          <wp:docPr id="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978"/>
    <w:multiLevelType w:val="multilevel"/>
    <w:tmpl w:val="052E5978"/>
    <w:lvl w:ilvl="0" w:tentative="0">
      <w:start w:val="1"/>
      <w:numFmt w:val="bullet"/>
      <w:lvlText w:val=""/>
      <w:lvlJc w:val="left"/>
      <w:pPr>
        <w:ind w:left="878" w:hanging="420"/>
      </w:pPr>
      <w:rPr>
        <w:rFonts w:hint="default" w:ascii="Wingdings" w:hAnsi="Wingdings"/>
        <w:color w:val="FEAF17"/>
      </w:rPr>
    </w:lvl>
    <w:lvl w:ilvl="1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  <w:color w:val="FF0000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6D9A3C"/>
    <w:multiLevelType w:val="singleLevel"/>
    <w:tmpl w:val="596D9A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6D9D89"/>
    <w:multiLevelType w:val="singleLevel"/>
    <w:tmpl w:val="596D9D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96D9DFE"/>
    <w:multiLevelType w:val="singleLevel"/>
    <w:tmpl w:val="596D9D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96D9F62"/>
    <w:multiLevelType w:val="singleLevel"/>
    <w:tmpl w:val="596D9F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96D9F99"/>
    <w:multiLevelType w:val="singleLevel"/>
    <w:tmpl w:val="596D9F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0250BC3"/>
    <w:multiLevelType w:val="multilevel"/>
    <w:tmpl w:val="70250BC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6006C"/>
    <w:rsid w:val="000042CA"/>
    <w:rsid w:val="0001288F"/>
    <w:rsid w:val="0002428E"/>
    <w:rsid w:val="00032E96"/>
    <w:rsid w:val="00045EEE"/>
    <w:rsid w:val="00050E34"/>
    <w:rsid w:val="00052BF3"/>
    <w:rsid w:val="00063EE0"/>
    <w:rsid w:val="00074451"/>
    <w:rsid w:val="00085017"/>
    <w:rsid w:val="000B0523"/>
    <w:rsid w:val="000B503E"/>
    <w:rsid w:val="000B51C8"/>
    <w:rsid w:val="000D32C7"/>
    <w:rsid w:val="000D5F25"/>
    <w:rsid w:val="001013E7"/>
    <w:rsid w:val="001105BB"/>
    <w:rsid w:val="0013367C"/>
    <w:rsid w:val="00134725"/>
    <w:rsid w:val="00162257"/>
    <w:rsid w:val="00187601"/>
    <w:rsid w:val="00190671"/>
    <w:rsid w:val="001964B2"/>
    <w:rsid w:val="001E490B"/>
    <w:rsid w:val="002025E0"/>
    <w:rsid w:val="002745E0"/>
    <w:rsid w:val="00274B11"/>
    <w:rsid w:val="0029606F"/>
    <w:rsid w:val="002B69D3"/>
    <w:rsid w:val="002C2460"/>
    <w:rsid w:val="002D0F9B"/>
    <w:rsid w:val="002D3AC9"/>
    <w:rsid w:val="002E4E5F"/>
    <w:rsid w:val="002F6628"/>
    <w:rsid w:val="003063A5"/>
    <w:rsid w:val="003305D9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F48BD"/>
    <w:rsid w:val="00415B3B"/>
    <w:rsid w:val="00416675"/>
    <w:rsid w:val="00417648"/>
    <w:rsid w:val="004267CD"/>
    <w:rsid w:val="00445830"/>
    <w:rsid w:val="004472BF"/>
    <w:rsid w:val="004717A0"/>
    <w:rsid w:val="004759E3"/>
    <w:rsid w:val="004827E2"/>
    <w:rsid w:val="004B7CB2"/>
    <w:rsid w:val="004D30FE"/>
    <w:rsid w:val="004F0B53"/>
    <w:rsid w:val="00535D93"/>
    <w:rsid w:val="0054343A"/>
    <w:rsid w:val="00562AF8"/>
    <w:rsid w:val="00564E3F"/>
    <w:rsid w:val="00574368"/>
    <w:rsid w:val="00584C54"/>
    <w:rsid w:val="00586CB8"/>
    <w:rsid w:val="005B54FC"/>
    <w:rsid w:val="005E2D42"/>
    <w:rsid w:val="00607B63"/>
    <w:rsid w:val="00616082"/>
    <w:rsid w:val="00620B52"/>
    <w:rsid w:val="00637DDF"/>
    <w:rsid w:val="00670D15"/>
    <w:rsid w:val="006737D2"/>
    <w:rsid w:val="006747F4"/>
    <w:rsid w:val="006906E4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5EE6"/>
    <w:rsid w:val="00746341"/>
    <w:rsid w:val="0075322F"/>
    <w:rsid w:val="00753A42"/>
    <w:rsid w:val="007743CC"/>
    <w:rsid w:val="007808D4"/>
    <w:rsid w:val="007D628B"/>
    <w:rsid w:val="007D7358"/>
    <w:rsid w:val="007E10F2"/>
    <w:rsid w:val="007F0580"/>
    <w:rsid w:val="00801AEB"/>
    <w:rsid w:val="008113E4"/>
    <w:rsid w:val="008159DE"/>
    <w:rsid w:val="00824321"/>
    <w:rsid w:val="008313B2"/>
    <w:rsid w:val="00835D78"/>
    <w:rsid w:val="008420F5"/>
    <w:rsid w:val="008503E4"/>
    <w:rsid w:val="0086201E"/>
    <w:rsid w:val="00870437"/>
    <w:rsid w:val="00870D07"/>
    <w:rsid w:val="008A7412"/>
    <w:rsid w:val="008C5894"/>
    <w:rsid w:val="008C6D9C"/>
    <w:rsid w:val="008D2D0A"/>
    <w:rsid w:val="00901F1A"/>
    <w:rsid w:val="009270BC"/>
    <w:rsid w:val="0092762F"/>
    <w:rsid w:val="00954022"/>
    <w:rsid w:val="00956092"/>
    <w:rsid w:val="0096006C"/>
    <w:rsid w:val="00960686"/>
    <w:rsid w:val="00965D0B"/>
    <w:rsid w:val="009808F5"/>
    <w:rsid w:val="00986271"/>
    <w:rsid w:val="00992513"/>
    <w:rsid w:val="009970F0"/>
    <w:rsid w:val="009A075C"/>
    <w:rsid w:val="009A2CFE"/>
    <w:rsid w:val="009A2E11"/>
    <w:rsid w:val="009A5034"/>
    <w:rsid w:val="009B155F"/>
    <w:rsid w:val="009C787F"/>
    <w:rsid w:val="009E3BE2"/>
    <w:rsid w:val="00A328FB"/>
    <w:rsid w:val="00A419FA"/>
    <w:rsid w:val="00A87640"/>
    <w:rsid w:val="00A878EB"/>
    <w:rsid w:val="00A95261"/>
    <w:rsid w:val="00AA469C"/>
    <w:rsid w:val="00AA6D48"/>
    <w:rsid w:val="00AB7962"/>
    <w:rsid w:val="00AE1D24"/>
    <w:rsid w:val="00AE3D39"/>
    <w:rsid w:val="00B26528"/>
    <w:rsid w:val="00B37DBB"/>
    <w:rsid w:val="00B56CBF"/>
    <w:rsid w:val="00B64113"/>
    <w:rsid w:val="00B83568"/>
    <w:rsid w:val="00B9423C"/>
    <w:rsid w:val="00BD1E2E"/>
    <w:rsid w:val="00BE1122"/>
    <w:rsid w:val="00BE1B6C"/>
    <w:rsid w:val="00BE712C"/>
    <w:rsid w:val="00C51C85"/>
    <w:rsid w:val="00C629E5"/>
    <w:rsid w:val="00CA0079"/>
    <w:rsid w:val="00CD2D7B"/>
    <w:rsid w:val="00CD4E01"/>
    <w:rsid w:val="00CF6F59"/>
    <w:rsid w:val="00D05DF0"/>
    <w:rsid w:val="00D10141"/>
    <w:rsid w:val="00D22183"/>
    <w:rsid w:val="00D235C4"/>
    <w:rsid w:val="00D25513"/>
    <w:rsid w:val="00D2585C"/>
    <w:rsid w:val="00D3718B"/>
    <w:rsid w:val="00D37F0E"/>
    <w:rsid w:val="00D52AD0"/>
    <w:rsid w:val="00D64A8A"/>
    <w:rsid w:val="00D704DD"/>
    <w:rsid w:val="00D7114D"/>
    <w:rsid w:val="00D95153"/>
    <w:rsid w:val="00DC38FE"/>
    <w:rsid w:val="00DD0F9E"/>
    <w:rsid w:val="00DD241D"/>
    <w:rsid w:val="00DD7EE8"/>
    <w:rsid w:val="00DE0B18"/>
    <w:rsid w:val="00E468B8"/>
    <w:rsid w:val="00E72B44"/>
    <w:rsid w:val="00E83390"/>
    <w:rsid w:val="00EA29E7"/>
    <w:rsid w:val="00EA67D2"/>
    <w:rsid w:val="00EB4FD3"/>
    <w:rsid w:val="00ED4331"/>
    <w:rsid w:val="00EE18BA"/>
    <w:rsid w:val="00EE3477"/>
    <w:rsid w:val="00EE59A3"/>
    <w:rsid w:val="00F04C0C"/>
    <w:rsid w:val="00F211AB"/>
    <w:rsid w:val="00F30826"/>
    <w:rsid w:val="00F30EB5"/>
    <w:rsid w:val="00F418FC"/>
    <w:rsid w:val="00F44243"/>
    <w:rsid w:val="00F53BAE"/>
    <w:rsid w:val="00F614CA"/>
    <w:rsid w:val="00F63EA9"/>
    <w:rsid w:val="00F74166"/>
    <w:rsid w:val="00FA7286"/>
    <w:rsid w:val="00FC49AE"/>
    <w:rsid w:val="00FE0F7B"/>
    <w:rsid w:val="00FE1D14"/>
    <w:rsid w:val="069A391C"/>
    <w:rsid w:val="0830432A"/>
    <w:rsid w:val="0D3318B6"/>
    <w:rsid w:val="141F4FBF"/>
    <w:rsid w:val="1FC854A4"/>
    <w:rsid w:val="238B398D"/>
    <w:rsid w:val="25410F91"/>
    <w:rsid w:val="2EE73107"/>
    <w:rsid w:val="30E67419"/>
    <w:rsid w:val="39133E5F"/>
    <w:rsid w:val="47F82BD7"/>
    <w:rsid w:val="58B53D25"/>
    <w:rsid w:val="66816D84"/>
    <w:rsid w:val="703E5E5C"/>
    <w:rsid w:val="76D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5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7"/>
    <w:semiHidden/>
    <w:qFormat/>
    <w:uiPriority w:val="0"/>
    <w:rPr>
      <w:kern w:val="2"/>
      <w:sz w:val="18"/>
      <w:szCs w:val="18"/>
    </w:rPr>
  </w:style>
  <w:style w:type="paragraph" w:customStyle="1" w:styleId="20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style681"/>
    <w:basedOn w:val="11"/>
    <w:qFormat/>
    <w:uiPriority w:val="0"/>
    <w:rPr>
      <w:color w:val="000033"/>
      <w:sz w:val="20"/>
      <w:szCs w:val="20"/>
    </w:rPr>
  </w:style>
  <w:style w:type="character" w:customStyle="1" w:styleId="23">
    <w:name w:val="course_content1"/>
    <w:basedOn w:val="1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4">
    <w:name w:val="标题 1 Char"/>
    <w:basedOn w:val="11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5">
    <w:name w:val="标题 2 Char"/>
    <w:basedOn w:val="11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6">
    <w:name w:val="标题 3 Char"/>
    <w:basedOn w:val="11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7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8">
    <w:name w:val="列出段落3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51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51610-4437-4CE9-8C79-A521EA5E9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306</Words>
  <Characters>1745</Characters>
  <Lines>14</Lines>
  <Paragraphs>4</Paragraphs>
  <ScaleCrop>false</ScaleCrop>
  <LinksUpToDate>false</LinksUpToDate>
  <CharactersWithSpaces>2047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2015-08-03T10:11:00Z</dcterms:created>
  <dc:creator>nina</dc:creator>
  <cp:lastModifiedBy>Administrator</cp:lastModifiedBy>
  <cp:lastPrinted>2015-07-07T09:25:00Z</cp:lastPrinted>
  <dcterms:modified xsi:type="dcterms:W3CDTF">2017-08-04T03:23:58Z</dcterms:modified>
  <dc:title>《压力与情绪管理》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