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7" w:rsidRDefault="007772C7" w:rsidP="007772C7">
      <w:pPr>
        <w:adjustRightInd w:val="0"/>
        <w:snapToGrid w:val="0"/>
        <w:spacing w:after="163"/>
        <w:jc w:val="center"/>
        <w:rPr>
          <w:rFonts w:cs="Arial"/>
          <w:b/>
          <w:color w:val="0070C0"/>
          <w:sz w:val="30"/>
          <w:szCs w:val="30"/>
        </w:rPr>
      </w:pPr>
      <w:r>
        <w:rPr>
          <w:rFonts w:cs="Arial" w:hint="eastAsia"/>
          <w:b/>
          <w:color w:val="0070C0"/>
          <w:sz w:val="30"/>
          <w:szCs w:val="30"/>
        </w:rPr>
        <w:t>从技术走向管理</w:t>
      </w:r>
    </w:p>
    <w:p w:rsidR="007772C7" w:rsidRDefault="007772C7" w:rsidP="007772C7">
      <w:pPr>
        <w:adjustRightInd w:val="0"/>
        <w:snapToGrid w:val="0"/>
        <w:spacing w:after="163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从技术高手到管理能手</w:t>
      </w:r>
    </w:p>
    <w:p w:rsidR="007772C7" w:rsidRDefault="00C845C4" w:rsidP="007772C7">
      <w:pPr>
        <w:adjustRightInd w:val="0"/>
        <w:snapToGrid w:val="0"/>
        <w:spacing w:after="163"/>
        <w:jc w:val="center"/>
        <w:rPr>
          <w:color w:val="auto"/>
          <w:sz w:val="19"/>
        </w:rPr>
      </w:pPr>
      <w:r>
        <w:rPr>
          <w:rFonts w:hint="eastAsia"/>
          <w:b/>
          <w:color w:val="FF0000"/>
          <w:szCs w:val="24"/>
        </w:rPr>
        <w:t>12</w:t>
      </w:r>
      <w:r w:rsidR="007772C7">
        <w:rPr>
          <w:rFonts w:hint="eastAsia"/>
          <w:b/>
          <w:color w:val="FF0000"/>
          <w:szCs w:val="24"/>
        </w:rPr>
        <w:t>月</w:t>
      </w:r>
      <w:r>
        <w:rPr>
          <w:rFonts w:hint="eastAsia"/>
          <w:b/>
          <w:color w:val="FF0000"/>
          <w:szCs w:val="24"/>
        </w:rPr>
        <w:t>7-8</w:t>
      </w:r>
      <w:r w:rsidR="007772C7">
        <w:rPr>
          <w:rFonts w:hint="eastAsia"/>
          <w:b/>
          <w:color w:val="FF0000"/>
          <w:szCs w:val="24"/>
        </w:rPr>
        <w:t xml:space="preserve">日 </w:t>
      </w:r>
      <w:r>
        <w:rPr>
          <w:rFonts w:hint="eastAsia"/>
          <w:b/>
          <w:color w:val="FF0000"/>
          <w:szCs w:val="24"/>
        </w:rPr>
        <w:t>上海</w:t>
      </w:r>
      <w:bookmarkStart w:id="0" w:name="_GoBack"/>
      <w:bookmarkEnd w:id="0"/>
      <w:r w:rsidR="007772C7">
        <w:rPr>
          <w:rFonts w:hint="eastAsia"/>
          <w:b/>
          <w:color w:val="FF0000"/>
          <w:szCs w:val="24"/>
        </w:rPr>
        <w:t xml:space="preserve"> 4580元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772C7" w:rsidTr="007772C7">
        <w:tc>
          <w:tcPr>
            <w:tcW w:w="5353" w:type="dxa"/>
            <w:hideMark/>
          </w:tcPr>
          <w:p w:rsidR="007772C7" w:rsidRDefault="007772C7" w:rsidP="007772C7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  <w:hideMark/>
          </w:tcPr>
          <w:p w:rsidR="007772C7" w:rsidRDefault="007772C7" w:rsidP="007772C7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7772C7" w:rsidTr="007772C7">
        <w:tc>
          <w:tcPr>
            <w:tcW w:w="5353" w:type="dxa"/>
            <w:hideMark/>
          </w:tcPr>
          <w:p w:rsidR="007772C7" w:rsidRDefault="007772C7" w:rsidP="007772C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进入管理岗位的技术专才和专业骨干</w:t>
            </w:r>
          </w:p>
          <w:p w:rsidR="007772C7" w:rsidRDefault="007772C7" w:rsidP="007772C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储备人才：各类工程师、专员</w:t>
            </w:r>
          </w:p>
        </w:tc>
        <w:tc>
          <w:tcPr>
            <w:tcW w:w="4820" w:type="dxa"/>
            <w:hideMark/>
          </w:tcPr>
          <w:p w:rsidR="007772C7" w:rsidRDefault="007772C7" w:rsidP="007772C7">
            <w:pPr>
              <w:numPr>
                <w:ilvl w:val="0"/>
                <w:numId w:val="8"/>
              </w:numPr>
              <w:adjustRightInd w:val="0"/>
              <w:snapToGrid w:val="0"/>
              <w:spacing w:afterLines="0" w:after="163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2天（14小时）</w:t>
            </w:r>
          </w:p>
        </w:tc>
      </w:tr>
      <w:tr w:rsidR="007772C7" w:rsidTr="007772C7">
        <w:tc>
          <w:tcPr>
            <w:tcW w:w="5353" w:type="dxa"/>
            <w:hideMark/>
          </w:tcPr>
          <w:p w:rsidR="007772C7" w:rsidRDefault="007772C7" w:rsidP="007772C7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  <w:hideMark/>
          </w:tcPr>
          <w:p w:rsidR="007772C7" w:rsidRDefault="007772C7" w:rsidP="007772C7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7772C7" w:rsidTr="007772C7">
        <w:tc>
          <w:tcPr>
            <w:tcW w:w="5353" w:type="dxa"/>
            <w:hideMark/>
          </w:tcPr>
          <w:p w:rsidR="007772C7" w:rsidRDefault="007772C7" w:rsidP="007772C7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了解领导者的角色认知和转换</w:t>
            </w:r>
          </w:p>
          <w:p w:rsidR="007772C7" w:rsidRDefault="007772C7" w:rsidP="007772C7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掌握领导者必备的领导素质和心态</w:t>
            </w:r>
          </w:p>
          <w:p w:rsidR="007772C7" w:rsidRDefault="007772C7" w:rsidP="007772C7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学会领导者承上启下的企业沟通技能</w:t>
            </w:r>
          </w:p>
          <w:p w:rsidR="007772C7" w:rsidRDefault="007772C7" w:rsidP="007772C7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系统完整的人际需求分析和全套的团队委派和激励技能</w:t>
            </w:r>
          </w:p>
        </w:tc>
        <w:tc>
          <w:tcPr>
            <w:tcW w:w="4820" w:type="dxa"/>
          </w:tcPr>
          <w:p w:rsidR="007772C7" w:rsidRDefault="007772C7" w:rsidP="007772C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有过带领成员达成目标的工作经历</w:t>
            </w:r>
          </w:p>
          <w:p w:rsidR="007772C7" w:rsidRDefault="007772C7" w:rsidP="007772C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之前对管理工作有基本认知：知晓管理是通过促成他人目标的达成而达成共同目标的工作</w:t>
            </w:r>
          </w:p>
          <w:p w:rsidR="007772C7" w:rsidRDefault="007772C7" w:rsidP="007772C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对促进他人发展有热情</w:t>
            </w:r>
          </w:p>
          <w:p w:rsidR="007772C7" w:rsidRDefault="007772C7" w:rsidP="007772C7">
            <w:pPr>
              <w:pStyle w:val="a3"/>
              <w:adjustRightInd w:val="0"/>
              <w:snapToGrid w:val="0"/>
              <w:spacing w:after="163" w:line="240" w:lineRule="auto"/>
              <w:ind w:left="420" w:firstLineChars="0" w:firstLine="0"/>
              <w:rPr>
                <w:color w:val="auto"/>
                <w:sz w:val="21"/>
              </w:rPr>
            </w:pPr>
          </w:p>
        </w:tc>
      </w:tr>
      <w:tr w:rsidR="007772C7" w:rsidTr="007772C7">
        <w:tc>
          <w:tcPr>
            <w:tcW w:w="10173" w:type="dxa"/>
            <w:gridSpan w:val="2"/>
            <w:hideMark/>
          </w:tcPr>
          <w:p w:rsidR="007772C7" w:rsidRDefault="007772C7" w:rsidP="007772C7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7772C7" w:rsidTr="007772C7">
        <w:tc>
          <w:tcPr>
            <w:tcW w:w="10173" w:type="dxa"/>
            <w:gridSpan w:val="2"/>
            <w:hideMark/>
          </w:tcPr>
          <w:p w:rsidR="007772C7" w:rsidRDefault="007772C7" w:rsidP="007772C7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本课程注重案例分析，在多个设计案例以及来自学员真实案例的讨论中，学习如何转换管理角色，及走向管理岗位后应具备的素质与心态，结合实践学习沟通、委派、激励等团队管理的技能。</w:t>
            </w:r>
          </w:p>
        </w:tc>
      </w:tr>
    </w:tbl>
    <w:p w:rsidR="007772C7" w:rsidRDefault="007772C7" w:rsidP="007772C7">
      <w:pPr>
        <w:adjustRightInd w:val="0"/>
        <w:snapToGrid w:val="0"/>
        <w:spacing w:after="163"/>
        <w:rPr>
          <w:color w:val="auto"/>
          <w:sz w:val="19"/>
        </w:rPr>
      </w:pPr>
    </w:p>
    <w:p w:rsidR="007772C7" w:rsidRDefault="007772C7" w:rsidP="007772C7">
      <w:pPr>
        <w:adjustRightInd w:val="0"/>
        <w:snapToGrid w:val="0"/>
        <w:spacing w:after="163"/>
        <w:jc w:val="left"/>
        <w:outlineLvl w:val="0"/>
        <w:rPr>
          <w:b/>
          <w:color w:val="0070C0"/>
          <w:kern w:val="0"/>
          <w:szCs w:val="24"/>
        </w:rPr>
      </w:pPr>
      <w:r>
        <w:rPr>
          <w:rFonts w:hint="eastAsia"/>
          <w:b/>
          <w:color w:val="0070C0"/>
          <w:kern w:val="0"/>
          <w:szCs w:val="24"/>
        </w:rPr>
        <w:t>课程大纲</w:t>
      </w:r>
    </w:p>
    <w:p w:rsidR="007772C7" w:rsidRDefault="007772C7" w:rsidP="007772C7">
      <w:pPr>
        <w:adjustRightInd w:val="0"/>
        <w:snapToGrid w:val="0"/>
        <w:spacing w:after="163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第一模块：管理者的角色认知与转换</w:t>
      </w:r>
      <w:r>
        <w:rPr>
          <w:rFonts w:hint="eastAsia"/>
          <w:b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1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管理者必备的素质和核心工作技能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adjustRightInd w:val="0"/>
        <w:snapToGrid w:val="0"/>
        <w:spacing w:after="163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第二模块：管理者必备的素质与心态</w:t>
      </w:r>
      <w:r>
        <w:rPr>
          <w:rFonts w:hint="eastAsia"/>
          <w:b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职业发展与人才培养体系架构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价值观的核心作用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承上启下职责的具体应用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什么</w:t>
      </w:r>
      <w:proofErr w:type="gramStart"/>
      <w:r>
        <w:rPr>
          <w:rFonts w:hint="eastAsia"/>
          <w:color w:val="auto"/>
          <w:kern w:val="0"/>
          <w:sz w:val="21"/>
        </w:rPr>
        <w:t>叫积极</w:t>
      </w:r>
      <w:proofErr w:type="gramEnd"/>
      <w:r>
        <w:rPr>
          <w:rFonts w:hint="eastAsia"/>
          <w:color w:val="auto"/>
          <w:kern w:val="0"/>
          <w:sz w:val="21"/>
        </w:rPr>
        <w:t>思维与心态？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如何看待压力形成的机制，如何善用压力来提升能力？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adjustRightInd w:val="0"/>
        <w:snapToGrid w:val="0"/>
        <w:spacing w:after="163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第三模块：承上启下的沟通</w:t>
      </w:r>
      <w:r>
        <w:rPr>
          <w:rFonts w:hint="eastAsia"/>
          <w:b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3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lastRenderedPageBreak/>
        <w:t>从盖洛普发展路径图看管理者的沟通技能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3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沟通的冰山理论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3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针对不同个性的DISC沟通技能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adjustRightInd w:val="0"/>
        <w:snapToGrid w:val="0"/>
        <w:spacing w:after="163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第四模块：卓越的团队管理技巧</w:t>
      </w:r>
      <w:r>
        <w:rPr>
          <w:rFonts w:hint="eastAsia"/>
          <w:b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4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管理者不光要管好团队，更要带出卓越的团队，竞争型领导力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4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目标的制定原则和修正方法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4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领导素质的评选-如何做到这些？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adjustRightInd w:val="0"/>
        <w:snapToGrid w:val="0"/>
        <w:spacing w:after="163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第五模块：系统而完整的委派与激励技能</w:t>
      </w:r>
      <w:r>
        <w:rPr>
          <w:rFonts w:hint="eastAsia"/>
          <w:b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5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掌握合理的委派技能才能进身管理职位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5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带出高效</w:t>
      </w:r>
      <w:proofErr w:type="gramStart"/>
      <w:r>
        <w:rPr>
          <w:rFonts w:hint="eastAsia"/>
          <w:color w:val="auto"/>
          <w:kern w:val="0"/>
          <w:sz w:val="21"/>
        </w:rPr>
        <w:t>绩</w:t>
      </w:r>
      <w:proofErr w:type="gramEnd"/>
      <w:r>
        <w:rPr>
          <w:rFonts w:hint="eastAsia"/>
          <w:color w:val="auto"/>
          <w:kern w:val="0"/>
          <w:sz w:val="21"/>
        </w:rPr>
        <w:t>团队的全套激励技能</w:t>
      </w:r>
      <w:r>
        <w:rPr>
          <w:rFonts w:hint="eastAsia"/>
          <w:color w:val="auto"/>
          <w:kern w:val="0"/>
          <w:sz w:val="21"/>
        </w:rPr>
        <w:tab/>
      </w:r>
    </w:p>
    <w:p w:rsidR="007772C7" w:rsidRDefault="007772C7" w:rsidP="007772C7">
      <w:pPr>
        <w:adjustRightInd w:val="0"/>
        <w:snapToGrid w:val="0"/>
        <w:spacing w:after="163" w:line="240" w:lineRule="auto"/>
        <w:rPr>
          <w:color w:val="auto"/>
          <w:kern w:val="0"/>
          <w:sz w:val="21"/>
        </w:rPr>
      </w:pPr>
    </w:p>
    <w:p w:rsidR="007772C7" w:rsidRDefault="007772C7" w:rsidP="007772C7"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 w:rsidR="007772C7" w:rsidRDefault="007772C7" w:rsidP="007772C7">
      <w:pPr>
        <w:adjustRightInd w:val="0"/>
        <w:snapToGrid w:val="0"/>
        <w:spacing w:after="163"/>
        <w:jc w:val="left"/>
        <w:outlineLvl w:val="0"/>
        <w:rPr>
          <w:b/>
          <w:color w:val="0070C0"/>
          <w:kern w:val="0"/>
          <w:szCs w:val="24"/>
        </w:rPr>
      </w:pPr>
      <w:r>
        <w:rPr>
          <w:rFonts w:hint="eastAsia"/>
          <w:b/>
          <w:color w:val="0070C0"/>
          <w:kern w:val="0"/>
          <w:szCs w:val="24"/>
        </w:rPr>
        <w:t>相关课程</w:t>
      </w:r>
    </w:p>
    <w:p w:rsidR="007772C7" w:rsidRDefault="007772C7" w:rsidP="007772C7">
      <w:pPr>
        <w:pStyle w:val="a3"/>
        <w:numPr>
          <w:ilvl w:val="0"/>
          <w:numId w:val="9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作为新晋或储备管理者，你可能还会对《新任主管管理技巧》《90后员工管理》《打造高效执行力》感兴趣</w:t>
      </w:r>
    </w:p>
    <w:p w:rsidR="007772C7" w:rsidRDefault="007772C7" w:rsidP="007772C7">
      <w:pPr>
        <w:pStyle w:val="a3"/>
        <w:numPr>
          <w:ilvl w:val="0"/>
          <w:numId w:val="9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想要在管理技能提升上更进一步，你可能需要学习《问题分析与决策制定技巧》《激发员工的潜能——成果导向的教练式辅导》</w:t>
      </w:r>
    </w:p>
    <w:p w:rsidR="007772C7" w:rsidRDefault="007772C7" w:rsidP="007772C7">
      <w:pPr>
        <w:widowControl/>
        <w:adjustRightInd w:val="0"/>
        <w:snapToGrid w:val="0"/>
        <w:spacing w:after="163"/>
        <w:jc w:val="left"/>
        <w:rPr>
          <w:color w:val="auto"/>
          <w:sz w:val="19"/>
        </w:rPr>
      </w:pPr>
      <w:r>
        <w:rPr>
          <w:rFonts w:hint="eastAsia"/>
          <w:color w:val="auto"/>
          <w:kern w:val="0"/>
          <w:sz w:val="19"/>
        </w:rPr>
        <w:br w:type="page"/>
      </w:r>
    </w:p>
    <w:p w:rsidR="007772C7" w:rsidRDefault="007772C7" w:rsidP="007772C7">
      <w:pPr>
        <w:adjustRightInd w:val="0"/>
        <w:snapToGrid w:val="0"/>
        <w:spacing w:after="163"/>
        <w:jc w:val="left"/>
        <w:outlineLvl w:val="0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讲师简介</w:t>
      </w:r>
    </w:p>
    <w:p w:rsidR="007772C7" w:rsidRDefault="007772C7" w:rsidP="007772C7">
      <w:pPr>
        <w:adjustRightInd w:val="0"/>
        <w:snapToGrid w:val="0"/>
        <w:spacing w:after="163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王 先生</w:t>
      </w:r>
    </w:p>
    <w:p w:rsidR="007772C7" w:rsidRDefault="007772C7" w:rsidP="007772C7">
      <w:pPr>
        <w:numPr>
          <w:ilvl w:val="0"/>
          <w:numId w:val="16"/>
        </w:numPr>
        <w:adjustRightInd w:val="0"/>
        <w:snapToGrid w:val="0"/>
        <w:spacing w:afterLines="0" w:after="163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背景经历</w:t>
      </w:r>
    </w:p>
    <w:p w:rsidR="007772C7" w:rsidRDefault="007772C7" w:rsidP="007772C7">
      <w:pPr>
        <w:pStyle w:val="a3"/>
        <w:numPr>
          <w:ilvl w:val="0"/>
          <w:numId w:val="1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肯耐珂萨资深讲师，顾问</w:t>
      </w:r>
      <w:r>
        <w:rPr>
          <w:rFonts w:hint="eastAsia"/>
          <w:color w:val="auto"/>
          <w:sz w:val="21"/>
        </w:rPr>
        <w:tab/>
      </w:r>
    </w:p>
    <w:p w:rsidR="007772C7" w:rsidRDefault="007772C7" w:rsidP="007772C7">
      <w:pPr>
        <w:pStyle w:val="a3"/>
        <w:numPr>
          <w:ilvl w:val="0"/>
          <w:numId w:val="17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21"/>
        </w:rPr>
        <w:t>中国77级电机电子工程学士，英国Leicester 大学MBA。英国剑桥大学认证培训师。美国Achieve Global 认证培训师"王先生在十多年的跨国商务运作，如市场，销售，服务等管理实践中，积累了丰富的经验，对欧亚以及新中等地的商务风格和文化有深入的了解和体会。这使得他在培训课程中，能够利用亲身经历的实际例子，深入浅出地向学员解释文化及语言的差异。此外，王先生也是新加坡数家管理学院的兼职高级讲师，如：美国Achieve Global公司，法国德莫斯公司，新加坡中华总商会，新加坡亚澳管理学院，新加坡明康商学院等。</w:t>
      </w:r>
      <w:r>
        <w:rPr>
          <w:rFonts w:hint="eastAsia"/>
          <w:color w:val="auto"/>
          <w:sz w:val="19"/>
        </w:rPr>
        <w:tab/>
      </w:r>
    </w:p>
    <w:p w:rsidR="007772C7" w:rsidRDefault="007772C7" w:rsidP="007772C7">
      <w:pPr>
        <w:numPr>
          <w:ilvl w:val="0"/>
          <w:numId w:val="16"/>
        </w:numPr>
        <w:adjustRightInd w:val="0"/>
        <w:snapToGrid w:val="0"/>
        <w:spacing w:afterLines="0" w:after="163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擅长领域</w:t>
      </w:r>
    </w:p>
    <w:p w:rsidR="007772C7" w:rsidRDefault="007772C7" w:rsidP="007772C7">
      <w:pPr>
        <w:numPr>
          <w:ilvl w:val="0"/>
          <w:numId w:val="18"/>
        </w:numPr>
        <w:adjustRightInd w:val="0"/>
        <w:snapToGrid w:val="0"/>
        <w:spacing w:afterLines="0" w:after="163" w:line="240" w:lineRule="auto"/>
        <w:rPr>
          <w:color w:val="auto"/>
          <w:sz w:val="21"/>
        </w:rPr>
      </w:pPr>
      <w:r>
        <w:rPr>
          <w:rFonts w:hint="eastAsia"/>
          <w:color w:val="auto"/>
          <w:sz w:val="21"/>
        </w:rPr>
        <w:t>《从技术走向管理》</w:t>
      </w:r>
      <w:r>
        <w:rPr>
          <w:rFonts w:hint="eastAsia"/>
          <w:color w:val="auto"/>
          <w:sz w:val="21"/>
        </w:rPr>
        <w:tab/>
      </w:r>
    </w:p>
    <w:p w:rsidR="007772C7" w:rsidRDefault="007772C7" w:rsidP="007772C7">
      <w:pPr>
        <w:numPr>
          <w:ilvl w:val="0"/>
          <w:numId w:val="16"/>
        </w:numPr>
        <w:adjustRightInd w:val="0"/>
        <w:snapToGrid w:val="0"/>
        <w:spacing w:afterLines="0" w:after="163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服务客户</w:t>
      </w:r>
    </w:p>
    <w:p w:rsidR="007772C7" w:rsidRDefault="007772C7" w:rsidP="007772C7">
      <w:pPr>
        <w:adjustRightInd w:val="0"/>
        <w:snapToGrid w:val="0"/>
        <w:spacing w:after="163" w:line="240" w:lineRule="auto"/>
        <w:ind w:leftChars="176" w:left="422"/>
        <w:rPr>
          <w:color w:val="auto"/>
          <w:sz w:val="21"/>
        </w:rPr>
      </w:pPr>
      <w:proofErr w:type="gramStart"/>
      <w:r>
        <w:rPr>
          <w:rFonts w:hint="eastAsia"/>
          <w:color w:val="auto"/>
          <w:sz w:val="21"/>
        </w:rPr>
        <w:t>一</w:t>
      </w:r>
      <w:proofErr w:type="gramEnd"/>
      <w:r>
        <w:rPr>
          <w:rFonts w:hint="eastAsia"/>
          <w:color w:val="auto"/>
          <w:sz w:val="21"/>
        </w:rPr>
        <w:t>汽轿车，</w:t>
      </w:r>
      <w:proofErr w:type="gramStart"/>
      <w:r>
        <w:rPr>
          <w:rFonts w:hint="eastAsia"/>
          <w:color w:val="auto"/>
          <w:sz w:val="21"/>
        </w:rPr>
        <w:t>一</w:t>
      </w:r>
      <w:proofErr w:type="gramEnd"/>
      <w:r>
        <w:rPr>
          <w:rFonts w:hint="eastAsia"/>
          <w:color w:val="auto"/>
          <w:sz w:val="21"/>
        </w:rPr>
        <w:t>汽大众，三星，中国电力投资集团公司，中国华电工程有限公司，中国国际航空公司，新加坡国际企业发展局，新加坡经济发展局，新加坡媒体管理局，德勤会计师事务所，德意志银行，渣打银行，美国银行，律师事务所，新加坡胜科环保企业，新加坡科技企业，路透社,大众汽车(北京)，奔驰汽车，阿克苏诺贝尔(东莞)，百事可乐 (广州)，安德里兹(佛山)，欧尚，豪迈，娄氏电子，山东钢铁公司，中新公用集团（苏州），菲尼萨（上海），德乐（上海），岛津企业，采埃</w:t>
      </w:r>
      <w:proofErr w:type="gramStart"/>
      <w:r>
        <w:rPr>
          <w:rFonts w:hint="eastAsia"/>
          <w:color w:val="auto"/>
          <w:sz w:val="21"/>
        </w:rPr>
        <w:t>孚</w:t>
      </w:r>
      <w:proofErr w:type="gramEnd"/>
      <w:r>
        <w:rPr>
          <w:rFonts w:hint="eastAsia"/>
          <w:color w:val="auto"/>
          <w:sz w:val="21"/>
        </w:rPr>
        <w:t>长春公司，晋煤</w:t>
      </w:r>
      <w:proofErr w:type="gramStart"/>
      <w:r>
        <w:rPr>
          <w:rFonts w:hint="eastAsia"/>
          <w:color w:val="auto"/>
          <w:sz w:val="21"/>
        </w:rPr>
        <w:t>天溪煤制</w:t>
      </w:r>
      <w:proofErr w:type="gramEnd"/>
      <w:r>
        <w:rPr>
          <w:rFonts w:hint="eastAsia"/>
          <w:color w:val="auto"/>
          <w:sz w:val="21"/>
        </w:rPr>
        <w:t>油公司，</w:t>
      </w:r>
      <w:proofErr w:type="spellStart"/>
      <w:r>
        <w:rPr>
          <w:rFonts w:hint="eastAsia"/>
          <w:color w:val="auto"/>
          <w:sz w:val="21"/>
        </w:rPr>
        <w:t>Fastco</w:t>
      </w:r>
      <w:proofErr w:type="spellEnd"/>
      <w:r>
        <w:rPr>
          <w:rFonts w:hint="eastAsia"/>
          <w:color w:val="auto"/>
          <w:sz w:val="21"/>
        </w:rPr>
        <w:t xml:space="preserve"> 上海公司，</w:t>
      </w:r>
      <w:proofErr w:type="gramStart"/>
      <w:r>
        <w:rPr>
          <w:rFonts w:hint="eastAsia"/>
          <w:color w:val="auto"/>
          <w:sz w:val="21"/>
        </w:rPr>
        <w:t>中芯国际</w:t>
      </w:r>
      <w:proofErr w:type="gramEnd"/>
      <w:r>
        <w:rPr>
          <w:rFonts w:hint="eastAsia"/>
          <w:color w:val="auto"/>
          <w:sz w:val="21"/>
        </w:rPr>
        <w:t>（上海）有限公司，上海亚东国际货运，太仓国际（苏州），联合汽车电子有限公司（重庆），中国人寿上海市分公司，上海锐毕利机电科技有限公司，普洛斯投资管理（中国）有限公司，南昌大学EMBA总裁班，和黄药业。</w:t>
      </w:r>
    </w:p>
    <w:p w:rsidR="007772C7" w:rsidRDefault="007772C7" w:rsidP="007772C7">
      <w:pPr>
        <w:numPr>
          <w:ilvl w:val="0"/>
          <w:numId w:val="16"/>
        </w:numPr>
        <w:adjustRightInd w:val="0"/>
        <w:snapToGrid w:val="0"/>
        <w:spacing w:afterLines="0" w:after="163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学员反馈</w:t>
      </w:r>
    </w:p>
    <w:p w:rsidR="007772C7" w:rsidRDefault="007772C7" w:rsidP="007772C7">
      <w:pPr>
        <w:pStyle w:val="a3"/>
        <w:numPr>
          <w:ilvl w:val="0"/>
          <w:numId w:val="19"/>
        </w:numPr>
        <w:spacing w:afterLines="0" w:after="163" w:line="240" w:lineRule="auto"/>
        <w:ind w:firstLineChars="0"/>
        <w:rPr>
          <w:i/>
          <w:color w:val="7F7F7F"/>
          <w:sz w:val="19"/>
        </w:rPr>
      </w:pPr>
      <w:r>
        <w:rPr>
          <w:rFonts w:hint="eastAsia"/>
          <w:i/>
          <w:color w:val="7F7F7F"/>
          <w:sz w:val="19"/>
        </w:rPr>
        <w:t>老师用自己最好的经验和我们分享如何做好角色的转变，也善于通过案例向我们深入浅出地讲授知识，易于接受。</w:t>
      </w:r>
    </w:p>
    <w:p w:rsidR="007772C7" w:rsidRDefault="007772C7" w:rsidP="007772C7">
      <w:pPr>
        <w:adjustRightInd w:val="0"/>
        <w:snapToGrid w:val="0"/>
        <w:spacing w:after="163" w:line="240" w:lineRule="auto"/>
        <w:jc w:val="right"/>
        <w:rPr>
          <w:color w:val="auto"/>
          <w:sz w:val="19"/>
        </w:rPr>
      </w:pPr>
      <w:r>
        <w:rPr>
          <w:rFonts w:hint="eastAsia"/>
        </w:rPr>
        <w:t xml:space="preserve">   </w:t>
      </w:r>
      <w:r>
        <w:rPr>
          <w:rFonts w:hint="eastAsia"/>
          <w:color w:val="auto"/>
          <w:sz w:val="19"/>
        </w:rPr>
        <w:t xml:space="preserve"> ——李先生（</w:t>
      </w:r>
      <w:proofErr w:type="gramStart"/>
      <w:r>
        <w:rPr>
          <w:rFonts w:hint="eastAsia"/>
          <w:color w:val="auto"/>
          <w:sz w:val="19"/>
        </w:rPr>
        <w:t>某国内知名汽塑</w:t>
      </w:r>
      <w:proofErr w:type="gramEnd"/>
      <w:r>
        <w:rPr>
          <w:rFonts w:hint="eastAsia"/>
          <w:color w:val="auto"/>
          <w:sz w:val="19"/>
        </w:rPr>
        <w:t>公司）</w:t>
      </w:r>
    </w:p>
    <w:p w:rsidR="007772C7" w:rsidRDefault="007772C7" w:rsidP="007772C7">
      <w:pPr>
        <w:pStyle w:val="a3"/>
        <w:numPr>
          <w:ilvl w:val="0"/>
          <w:numId w:val="19"/>
        </w:numPr>
        <w:spacing w:afterLines="0" w:after="163" w:line="240" w:lineRule="auto"/>
        <w:ind w:firstLineChars="0"/>
        <w:rPr>
          <w:i/>
          <w:color w:val="7F7F7F"/>
          <w:sz w:val="19"/>
        </w:rPr>
      </w:pPr>
      <w:r>
        <w:rPr>
          <w:rFonts w:hint="eastAsia"/>
          <w:i/>
          <w:color w:val="7F7F7F"/>
          <w:sz w:val="19"/>
        </w:rPr>
        <w:t>对于管理者所需具备的能力，提升的点，老师讲解得很清楚，这方面对我工作的帮助很大。</w:t>
      </w:r>
    </w:p>
    <w:p w:rsidR="007772C7" w:rsidRDefault="007772C7" w:rsidP="007772C7">
      <w:pPr>
        <w:adjustRightInd w:val="0"/>
        <w:snapToGrid w:val="0"/>
        <w:spacing w:after="163" w:line="240" w:lineRule="auto"/>
        <w:jc w:val="right"/>
        <w:rPr>
          <w:color w:val="auto"/>
          <w:sz w:val="19"/>
        </w:rPr>
      </w:pPr>
      <w:r>
        <w:rPr>
          <w:rFonts w:hint="eastAsia"/>
          <w:color w:val="auto"/>
          <w:sz w:val="19"/>
        </w:rPr>
        <w:t xml:space="preserve">    ——谷先生（某大型外资工业及物流基础设施公司）</w:t>
      </w:r>
    </w:p>
    <w:p w:rsidR="007772C7" w:rsidRDefault="007772C7" w:rsidP="007772C7">
      <w:pPr>
        <w:pStyle w:val="a3"/>
        <w:numPr>
          <w:ilvl w:val="0"/>
          <w:numId w:val="19"/>
        </w:numPr>
        <w:spacing w:afterLines="0" w:after="163" w:line="240" w:lineRule="auto"/>
        <w:ind w:firstLineChars="0"/>
        <w:rPr>
          <w:i/>
          <w:color w:val="7F7F7F"/>
          <w:sz w:val="19"/>
        </w:rPr>
      </w:pPr>
      <w:r>
        <w:rPr>
          <w:rFonts w:hint="eastAsia"/>
          <w:i/>
          <w:color w:val="7F7F7F"/>
          <w:sz w:val="19"/>
        </w:rPr>
        <w:t>王老师善于和学员交流，然后根据学员的实际情况来分析，帮助我们解决工作上的难题， 很难得。</w:t>
      </w:r>
    </w:p>
    <w:p w:rsidR="007772C7" w:rsidRDefault="007772C7" w:rsidP="007772C7">
      <w:pPr>
        <w:adjustRightInd w:val="0"/>
        <w:snapToGrid w:val="0"/>
        <w:spacing w:after="163" w:line="240" w:lineRule="auto"/>
        <w:jc w:val="right"/>
        <w:rPr>
          <w:color w:val="auto"/>
          <w:sz w:val="19"/>
        </w:rPr>
      </w:pPr>
      <w:r>
        <w:rPr>
          <w:rFonts w:hint="eastAsia"/>
        </w:rPr>
        <w:t xml:space="preserve">   </w:t>
      </w:r>
      <w:r>
        <w:rPr>
          <w:rFonts w:hint="eastAsia"/>
          <w:color w:val="auto"/>
          <w:sz w:val="19"/>
        </w:rPr>
        <w:t xml:space="preserve"> ——黎先生（</w:t>
      </w:r>
      <w:proofErr w:type="gramStart"/>
      <w:r>
        <w:rPr>
          <w:rFonts w:hint="eastAsia"/>
          <w:color w:val="auto"/>
          <w:sz w:val="19"/>
        </w:rPr>
        <w:t>某国内</w:t>
      </w:r>
      <w:proofErr w:type="gramEnd"/>
      <w:r>
        <w:rPr>
          <w:rFonts w:hint="eastAsia"/>
          <w:color w:val="auto"/>
          <w:sz w:val="19"/>
        </w:rPr>
        <w:t>知名贸易公司）</w:t>
      </w:r>
    </w:p>
    <w:p w:rsidR="007772C7" w:rsidRDefault="007772C7" w:rsidP="007772C7">
      <w:pPr>
        <w:adjustRightInd w:val="0"/>
        <w:snapToGrid w:val="0"/>
        <w:spacing w:after="163"/>
        <w:jc w:val="right"/>
        <w:rPr>
          <w:color w:val="auto"/>
          <w:sz w:val="19"/>
        </w:rPr>
      </w:pPr>
    </w:p>
    <w:p w:rsidR="007772C7" w:rsidRDefault="007772C7" w:rsidP="007772C7">
      <w:pPr>
        <w:spacing w:after="163"/>
      </w:pPr>
    </w:p>
    <w:p w:rsidR="009C5F4C" w:rsidRPr="007772C7" w:rsidRDefault="009C5F4C" w:rsidP="007772C7">
      <w:pPr>
        <w:spacing w:after="163"/>
      </w:pPr>
    </w:p>
    <w:sectPr w:rsidR="009C5F4C" w:rsidRPr="007772C7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D3" w:rsidRDefault="007676D3" w:rsidP="00D51B07">
      <w:pPr>
        <w:spacing w:after="120" w:line="240" w:lineRule="auto"/>
      </w:pPr>
      <w:r>
        <w:separator/>
      </w:r>
    </w:p>
  </w:endnote>
  <w:endnote w:type="continuationSeparator" w:id="0">
    <w:p w:rsidR="007676D3" w:rsidRDefault="007676D3" w:rsidP="00D51B07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D" w:rsidRDefault="007676D3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D" w:rsidRDefault="007676D3" w:rsidP="00057730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D" w:rsidRDefault="007676D3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D3" w:rsidRDefault="007676D3" w:rsidP="00D51B07">
      <w:pPr>
        <w:spacing w:after="120" w:line="240" w:lineRule="auto"/>
      </w:pPr>
      <w:r>
        <w:separator/>
      </w:r>
    </w:p>
  </w:footnote>
  <w:footnote w:type="continuationSeparator" w:id="0">
    <w:p w:rsidR="007676D3" w:rsidRDefault="007676D3" w:rsidP="00D51B07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D" w:rsidRDefault="007676D3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D" w:rsidRPr="00A07B18" w:rsidRDefault="006E2319" w:rsidP="00A07B18">
    <w:pPr>
      <w:pStyle w:val="a4"/>
      <w:pBdr>
        <w:bottom w:val="none" w:sz="0" w:space="0" w:color="auto"/>
      </w:pBdr>
      <w:spacing w:after="120"/>
      <w:ind w:right="360"/>
      <w:jc w:val="both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7544F" wp14:editId="1CDA20E9">
              <wp:simplePos x="0" y="0"/>
              <wp:positionH relativeFrom="column">
                <wp:posOffset>4736465</wp:posOffset>
              </wp:positionH>
              <wp:positionV relativeFrom="paragraph">
                <wp:posOffset>-264160</wp:posOffset>
              </wp:positionV>
              <wp:extent cx="0" cy="4762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95pt,-20.8pt" to="37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" strokecolor="black [24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D" w:rsidRDefault="007676D3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54B79"/>
    <w:multiLevelType w:val="hybridMultilevel"/>
    <w:tmpl w:val="696A9A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B32A96"/>
    <w:multiLevelType w:val="hybridMultilevel"/>
    <w:tmpl w:val="FE90A8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E1532E"/>
    <w:multiLevelType w:val="hybridMultilevel"/>
    <w:tmpl w:val="B1E645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DD0417"/>
    <w:multiLevelType w:val="hybridMultilevel"/>
    <w:tmpl w:val="0D667C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8C76A6"/>
    <w:multiLevelType w:val="hybridMultilevel"/>
    <w:tmpl w:val="2F10DB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93129C"/>
    <w:multiLevelType w:val="hybridMultilevel"/>
    <w:tmpl w:val="3078B2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A9203E9"/>
    <w:multiLevelType w:val="hybridMultilevel"/>
    <w:tmpl w:val="7F124B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BA1202A"/>
    <w:multiLevelType w:val="hybridMultilevel"/>
    <w:tmpl w:val="475C1796"/>
    <w:lvl w:ilvl="0" w:tplc="C4FA5718">
      <w:start w:val="1"/>
      <w:numFmt w:val="bullet"/>
      <w:lvlText w:val="­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EC23D6B"/>
    <w:multiLevelType w:val="hybridMultilevel"/>
    <w:tmpl w:val="F788E2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401F0B"/>
    <w:multiLevelType w:val="hybridMultilevel"/>
    <w:tmpl w:val="A91621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C167633"/>
    <w:multiLevelType w:val="hybridMultilevel"/>
    <w:tmpl w:val="B142DA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2613F0"/>
    <w:multiLevelType w:val="hybridMultilevel"/>
    <w:tmpl w:val="287CA5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1AE09C3"/>
    <w:multiLevelType w:val="hybridMultilevel"/>
    <w:tmpl w:val="65F26D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3F20313"/>
    <w:multiLevelType w:val="hybridMultilevel"/>
    <w:tmpl w:val="4822B4E6"/>
    <w:lvl w:ilvl="0" w:tplc="C4FA5718">
      <w:start w:val="1"/>
      <w:numFmt w:val="bullet"/>
      <w:lvlText w:val="­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6794C07"/>
    <w:multiLevelType w:val="hybridMultilevel"/>
    <w:tmpl w:val="F22E86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5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07"/>
    <w:rsid w:val="00320C6A"/>
    <w:rsid w:val="0044532A"/>
    <w:rsid w:val="005A1069"/>
    <w:rsid w:val="006E2319"/>
    <w:rsid w:val="007676D3"/>
    <w:rsid w:val="007772C7"/>
    <w:rsid w:val="0079642A"/>
    <w:rsid w:val="009C5F4C"/>
    <w:rsid w:val="00AF769B"/>
    <w:rsid w:val="00C845C4"/>
    <w:rsid w:val="00CF4713"/>
    <w:rsid w:val="00D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07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0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B07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B07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D51B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07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0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B07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B07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D51B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4</cp:revision>
  <dcterms:created xsi:type="dcterms:W3CDTF">2017-07-12T03:18:00Z</dcterms:created>
  <dcterms:modified xsi:type="dcterms:W3CDTF">2017-10-17T03:10:00Z</dcterms:modified>
</cp:coreProperties>
</file>