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hint="eastAsia"/>
          <w:b/>
          <w:bCs/>
          <w:color w:val="000000" w:themeColor="text1"/>
          <w:szCs w:val="36"/>
        </w:rPr>
      </w:pPr>
    </w:p>
    <w:p w:rsidR="00DF69A3" w:rsidRPr="00BE1D3D" w:rsidRDefault="00F318BE" w:rsidP="00512D1F">
      <w:pPr>
        <w:spacing w:line="360" w:lineRule="auto"/>
        <w:ind w:firstLineChars="50" w:firstLine="160"/>
        <w:jc w:val="center"/>
        <w:rPr>
          <w:rFonts w:ascii="微软雅黑" w:eastAsia="微软雅黑" w:hAnsi="微软雅黑"/>
          <w:b/>
          <w:bCs/>
          <w:color w:val="FF0000"/>
          <w:sz w:val="22"/>
          <w:szCs w:val="22"/>
        </w:rPr>
      </w:pPr>
      <w:r w:rsidRPr="00F318BE">
        <w:rPr>
          <w:rFonts w:ascii="微软雅黑" w:eastAsia="微软雅黑" w:hAnsi="微软雅黑" w:hint="eastAsia"/>
          <w:b/>
          <w:bCs/>
          <w:color w:val="FF0000"/>
          <w:sz w:val="32"/>
          <w:szCs w:val="32"/>
        </w:rPr>
        <w:t>国际贸易实务操作技巧与风险防控</w:t>
      </w:r>
      <w:r w:rsidRPr="00123E03">
        <w:rPr>
          <w:rFonts w:ascii="微软雅黑" w:eastAsia="微软雅黑" w:hAnsi="微软雅黑" w:hint="eastAsia"/>
          <w:b/>
          <w:bCs/>
          <w:color w:val="FF0000"/>
          <w:sz w:val="22"/>
          <w:szCs w:val="22"/>
        </w:rPr>
        <w:t xml:space="preserve"> </w:t>
      </w:r>
      <w:bookmarkStart w:id="0" w:name="_GoBack"/>
      <w:bookmarkEnd w:id="0"/>
    </w:p>
    <w:p w:rsidR="008040ED" w:rsidRPr="00ED46EC" w:rsidRDefault="008040ED" w:rsidP="0084745B">
      <w:pPr>
        <w:adjustRightInd w:val="0"/>
        <w:snapToGrid w:val="0"/>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84745B">
      <w:pPr>
        <w:adjustRightInd w:val="0"/>
        <w:snapToGrid w:val="0"/>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D35029">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8040ED" w:rsidRPr="00A02480" w:rsidRDefault="008040ED" w:rsidP="0084745B">
      <w:pPr>
        <w:adjustRightInd w:val="0"/>
        <w:snapToGrid w:val="0"/>
        <w:rPr>
          <w:rFonts w:ascii="微软雅黑" w:eastAsia="微软雅黑" w:hAnsi="微软雅黑"/>
          <w:color w:val="000000"/>
          <w:szCs w:val="21"/>
        </w:rPr>
      </w:pPr>
      <w:r>
        <w:rPr>
          <w:rFonts w:ascii="微软雅黑" w:eastAsia="微软雅黑" w:hAnsi="微软雅黑" w:hint="eastAsia"/>
          <w:b/>
          <w:szCs w:val="21"/>
        </w:rPr>
        <w:t>【开课时间】</w:t>
      </w:r>
      <w:r w:rsidR="00A3224A">
        <w:rPr>
          <w:rFonts w:ascii="微软雅黑" w:eastAsia="微软雅黑" w:hAnsi="微软雅黑"/>
          <w:szCs w:val="21"/>
        </w:rPr>
        <w:t>3</w:t>
      </w:r>
      <w:r w:rsidR="00F318BE" w:rsidRPr="00620E45">
        <w:rPr>
          <w:rFonts w:ascii="微软雅黑" w:eastAsia="微软雅黑" w:hAnsi="微软雅黑" w:hint="eastAsia"/>
          <w:szCs w:val="21"/>
        </w:rPr>
        <w:t>月</w:t>
      </w:r>
      <w:r w:rsidR="00A3224A">
        <w:rPr>
          <w:rFonts w:ascii="微软雅黑" w:eastAsia="微软雅黑" w:hAnsi="微软雅黑"/>
          <w:szCs w:val="21"/>
        </w:rPr>
        <w:t>22-23</w:t>
      </w:r>
      <w:r w:rsidR="00F318BE" w:rsidRPr="00620E45">
        <w:rPr>
          <w:rFonts w:ascii="微软雅黑" w:eastAsia="微软雅黑" w:hAnsi="微软雅黑" w:hint="eastAsia"/>
          <w:szCs w:val="21"/>
        </w:rPr>
        <w:t>日 上海</w:t>
      </w:r>
      <w:r w:rsidR="00F318BE">
        <w:rPr>
          <w:rFonts w:ascii="微软雅黑" w:eastAsia="微软雅黑" w:hAnsi="微软雅黑"/>
          <w:szCs w:val="21"/>
        </w:rPr>
        <w:t xml:space="preserve">   </w:t>
      </w:r>
      <w:r w:rsidR="00D835E9">
        <w:rPr>
          <w:rFonts w:ascii="微软雅黑" w:eastAsia="微软雅黑" w:hAnsi="微软雅黑"/>
          <w:szCs w:val="21"/>
        </w:rPr>
        <w:t>8</w:t>
      </w:r>
      <w:r w:rsidR="00F318BE" w:rsidRPr="00620E45">
        <w:rPr>
          <w:rFonts w:ascii="微软雅黑" w:eastAsia="微软雅黑" w:hAnsi="微软雅黑" w:hint="eastAsia"/>
          <w:szCs w:val="21"/>
        </w:rPr>
        <w:t>月</w:t>
      </w:r>
      <w:r w:rsidR="00D835E9">
        <w:rPr>
          <w:rFonts w:ascii="微软雅黑" w:eastAsia="微软雅黑" w:hAnsi="微软雅黑"/>
          <w:szCs w:val="21"/>
        </w:rPr>
        <w:t>30-31</w:t>
      </w:r>
      <w:r w:rsidR="00F318BE" w:rsidRPr="00620E45">
        <w:rPr>
          <w:rFonts w:ascii="微软雅黑" w:eastAsia="微软雅黑" w:hAnsi="微软雅黑" w:hint="eastAsia"/>
          <w:szCs w:val="21"/>
        </w:rPr>
        <w:t>日 上海</w:t>
      </w:r>
      <w:r w:rsidR="00F318BE">
        <w:rPr>
          <w:rFonts w:ascii="微软雅黑" w:eastAsia="微软雅黑" w:hAnsi="微软雅黑"/>
          <w:szCs w:val="21"/>
        </w:rPr>
        <w:t xml:space="preserve">   </w:t>
      </w:r>
      <w:r w:rsidR="00D835E9">
        <w:rPr>
          <w:rFonts w:ascii="微软雅黑" w:eastAsia="微软雅黑" w:hAnsi="微软雅黑"/>
          <w:szCs w:val="21"/>
        </w:rPr>
        <w:t>12</w:t>
      </w:r>
      <w:r w:rsidR="00F318BE" w:rsidRPr="00620E45">
        <w:rPr>
          <w:rFonts w:ascii="微软雅黑" w:eastAsia="微软雅黑" w:hAnsi="微软雅黑" w:hint="eastAsia"/>
          <w:szCs w:val="21"/>
        </w:rPr>
        <w:t>月</w:t>
      </w:r>
      <w:r w:rsidR="00D835E9">
        <w:rPr>
          <w:rFonts w:ascii="微软雅黑" w:eastAsia="微软雅黑" w:hAnsi="微软雅黑"/>
          <w:szCs w:val="21"/>
        </w:rPr>
        <w:t>20-21</w:t>
      </w:r>
      <w:r w:rsidR="00F318BE" w:rsidRPr="00620E45">
        <w:rPr>
          <w:rFonts w:ascii="微软雅黑" w:eastAsia="微软雅黑" w:hAnsi="微软雅黑" w:hint="eastAsia"/>
          <w:szCs w:val="21"/>
        </w:rPr>
        <w:t>日 上海</w:t>
      </w:r>
    </w:p>
    <w:p w:rsidR="008040ED" w:rsidRPr="0041372B" w:rsidRDefault="008040ED" w:rsidP="0084745B">
      <w:pPr>
        <w:adjustRightInd w:val="0"/>
        <w:snapToGrid w:val="0"/>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F318BE" w:rsidRPr="00620E45">
        <w:rPr>
          <w:rFonts w:ascii="微软雅黑" w:eastAsia="微软雅黑" w:hAnsi="微软雅黑" w:hint="eastAsia"/>
        </w:rPr>
        <w:t>进出口企业总经理、物流、贸易、进出口、报关、国际采购人员,及相关业务人员。</w:t>
      </w:r>
    </w:p>
    <w:p w:rsidR="008040ED" w:rsidRPr="00F72B2B" w:rsidRDefault="008040ED" w:rsidP="0084745B">
      <w:pPr>
        <w:adjustRightInd w:val="0"/>
        <w:snapToGrid w:val="0"/>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w:t>
      </w:r>
      <w:r w:rsidR="00DA3F0C">
        <w:rPr>
          <w:rFonts w:ascii="微软雅黑" w:eastAsia="微软雅黑" w:hAnsi="微软雅黑"/>
          <w:szCs w:val="21"/>
        </w:rPr>
        <w:t>B</w:t>
      </w:r>
      <w:r w:rsidR="00F318BE" w:rsidRPr="00F318BE">
        <w:rPr>
          <w:rFonts w:ascii="微软雅黑" w:eastAsia="微软雅黑" w:hAnsi="微软雅黑"/>
          <w:b/>
          <w:szCs w:val="21"/>
        </w:rPr>
        <w:t>4200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Default="00935D90" w:rsidP="00123E03">
      <w:pPr>
        <w:adjustRightInd w:val="0"/>
        <w:snapToGrid w:val="0"/>
        <w:spacing w:line="276" w:lineRule="auto"/>
        <w:ind w:firstLineChars="100" w:firstLine="210"/>
        <w:rPr>
          <w:rFonts w:ascii="微软雅黑" w:eastAsia="微软雅黑" w:hAnsi="微软雅黑"/>
          <w:color w:val="FF0000"/>
          <w:sz w:val="20"/>
          <w:szCs w:val="20"/>
        </w:rPr>
      </w:pPr>
      <w:r w:rsidRPr="00BE1D3D">
        <w:rPr>
          <w:rFonts w:hint="eastAsia"/>
          <w:noProof/>
          <w:color w:val="FF0000"/>
        </w:rPr>
        <mc:AlternateContent>
          <mc:Choice Requires="wps">
            <w:drawing>
              <wp:anchor distT="0" distB="0" distL="114300" distR="114300" simplePos="0" relativeHeight="251657216"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CE781C3"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F318BE" w:rsidRPr="00BE1D3D" w:rsidRDefault="00F318BE" w:rsidP="00F318BE">
      <w:pPr>
        <w:adjustRightInd w:val="0"/>
        <w:snapToGrid w:val="0"/>
        <w:ind w:firstLineChars="100" w:firstLine="280"/>
        <w:rPr>
          <w:color w:val="FF0000"/>
          <w:sz w:val="28"/>
        </w:rPr>
      </w:pPr>
    </w:p>
    <w:p w:rsidR="007F75F1" w:rsidRPr="00935D90" w:rsidRDefault="007F75F1" w:rsidP="00F318BE">
      <w:pPr>
        <w:adjustRightInd w:val="0"/>
        <w:snapToGrid w:val="0"/>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F318BE">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课程背景：</w:t>
      </w:r>
    </w:p>
    <w:p w:rsidR="00F318BE" w:rsidRDefault="00BC0BFA" w:rsidP="00F318BE">
      <w:pPr>
        <w:widowControl/>
        <w:adjustRightInd w:val="0"/>
        <w:snapToGrid w:val="0"/>
        <w:ind w:left="1" w:hanging="1"/>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941CBC">
        <w:rPr>
          <w:rFonts w:ascii="宋体" w:hAnsi="宋体" w:cs="宋体"/>
          <w:kern w:val="0"/>
          <w:sz w:val="20"/>
          <w:szCs w:val="20"/>
        </w:rPr>
        <w:t xml:space="preserve">  </w:t>
      </w:r>
      <w:r w:rsidR="00B03DEF" w:rsidRPr="00B03DEF">
        <w:rPr>
          <w:rFonts w:ascii="微软雅黑" w:eastAsia="微软雅黑" w:hAnsi="微软雅黑"/>
          <w:color w:val="000000" w:themeColor="text1"/>
          <w:szCs w:val="21"/>
        </w:rPr>
        <w:t xml:space="preserve"> </w:t>
      </w:r>
      <w:r w:rsidR="00F318BE" w:rsidRPr="00620E45">
        <w:rPr>
          <w:rFonts w:ascii="微软雅黑" w:eastAsia="微软雅黑" w:hAnsi="微软雅黑" w:hint="eastAsia"/>
          <w:color w:val="000000" w:themeColor="text1"/>
          <w:szCs w:val="21"/>
        </w:rPr>
        <w:t>中国企业从国外采购的金额每年都在递增，众多跨国企业落户中国设立工厂或建立国际采购中心/IPO寻购，采购人员的日常工作中越来越多地涉及到国际贸易，物流及进出口实务等相关业务。国际贸易知识，进出口操作，物流通关及外汇结算等知识已经成为当今采购/贸易人员必备的基本技能。另外，国际贸易是高收益与高难度、高风险并存的，如何操作国际贸易、拓展国际业务、防范风险？如何选择交易币种？如何进行套期保值？仅凭以往似懂非懂的经验进行操作，已经不能满足时代的需要。仅凭以往的经验进行操作，还可以继续吗？？参加此次培训能让你的企业少交些学费！</w:t>
      </w:r>
    </w:p>
    <w:p w:rsidR="00F318BE" w:rsidRDefault="00F318BE" w:rsidP="00F318BE">
      <w:pPr>
        <w:widowControl/>
        <w:adjustRightInd w:val="0"/>
        <w:snapToGrid w:val="0"/>
        <w:ind w:firstLineChars="200" w:firstLine="420"/>
        <w:rPr>
          <w:rFonts w:ascii="微软雅黑" w:eastAsia="微软雅黑" w:hAnsi="微软雅黑"/>
          <w:color w:val="000000" w:themeColor="text1"/>
          <w:szCs w:val="21"/>
        </w:rPr>
      </w:pPr>
      <w:r w:rsidRPr="00620E45">
        <w:rPr>
          <w:rFonts w:ascii="微软雅黑" w:eastAsia="微软雅黑" w:hAnsi="微软雅黑" w:hint="eastAsia"/>
          <w:color w:val="000000" w:themeColor="text1"/>
          <w:szCs w:val="21"/>
        </w:rPr>
        <w:t>本课程精选了国际贸易的核心知识，并结合最新的国际贸易条款详实讲解分析国际贸易中的各环节风险及规避方法，通过讲师多年实际工作中总结的实际案例，同时辅以模拟演练旨在帮助学员培养务实的操作和管理能力，敏锐的风险分析和预防能力，及驾驭全局的战略性思维模式，使学员全面掌握解决贸易实务问题的办法，提高国贸人员在复杂的国内外经济、社会环境下进行进口/出口战略、参与国际竞争的知识和能力。</w:t>
      </w:r>
    </w:p>
    <w:p w:rsidR="00F318BE" w:rsidRDefault="00F318BE" w:rsidP="00F318BE">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t>课程收益：</w:t>
      </w:r>
    </w:p>
    <w:p w:rsidR="00F318BE" w:rsidRDefault="00F318BE" w:rsidP="00F318BE">
      <w:pPr>
        <w:adjustRightInd w:val="0"/>
        <w:snapToGrid w:val="0"/>
        <w:rPr>
          <w:rFonts w:ascii="微软雅黑" w:eastAsia="微软雅黑" w:hAnsi="微软雅黑"/>
          <w:szCs w:val="21"/>
        </w:rPr>
        <w:sectPr w:rsidR="00F318BE" w:rsidSect="00E202F5">
          <w:type w:val="continuous"/>
          <w:pgSz w:w="11906" w:h="16838" w:code="9"/>
          <w:pgMar w:top="1134" w:right="1286" w:bottom="851" w:left="1134" w:header="851" w:footer="229" w:gutter="0"/>
          <w:pgNumType w:fmt="numberInDash"/>
          <w:cols w:sep="1" w:space="425"/>
          <w:docGrid w:type="linesAndChars" w:linePitch="312"/>
        </w:sectPr>
      </w:pP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lastRenderedPageBreak/>
        <w:t>1)   学习并掌握国际贸易4组13个术语</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2)   买卖双方应当如何选择应用国际贸易术语</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3)   如何根据产品不同选择国际贸易术语</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4)   进出口报关的流程</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5)   如何提升企业的报关时效</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6)   HS归类的一般准则</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7)   修理品，退运品的处理</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8)   国际贸易业务中交易货币的选择注意</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lastRenderedPageBreak/>
        <w:t>9)   国际外汇结算的操作</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10)  信用证操作要点</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11)  国际物流成本控制方法</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12)  国际货物运输方式的选择</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13)  保险的重要性</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14)  国际合同中的法律适用</w:t>
      </w:r>
    </w:p>
    <w:p w:rsidR="00F318BE" w:rsidRPr="006077D0" w:rsidRDefault="00F318BE" w:rsidP="00F318BE">
      <w:pPr>
        <w:adjustRightInd w:val="0"/>
        <w:snapToGrid w:val="0"/>
        <w:rPr>
          <w:rFonts w:ascii="微软雅黑" w:eastAsia="微软雅黑" w:hAnsi="微软雅黑"/>
          <w:szCs w:val="21"/>
        </w:rPr>
      </w:pPr>
      <w:r w:rsidRPr="006077D0">
        <w:rPr>
          <w:rFonts w:ascii="微软雅黑" w:eastAsia="微软雅黑" w:hAnsi="微软雅黑" w:hint="eastAsia"/>
          <w:szCs w:val="21"/>
        </w:rPr>
        <w:t>15)  避免违约的几种方法</w:t>
      </w:r>
    </w:p>
    <w:p w:rsidR="00F318BE" w:rsidRDefault="00F318BE" w:rsidP="00F318BE">
      <w:pPr>
        <w:adjustRightInd w:val="0"/>
        <w:snapToGrid w:val="0"/>
        <w:rPr>
          <w:rFonts w:ascii="微软雅黑" w:eastAsia="微软雅黑" w:hAnsi="微软雅黑"/>
          <w:szCs w:val="21"/>
        </w:rPr>
        <w:sectPr w:rsidR="00F318BE" w:rsidSect="0084745B">
          <w:type w:val="continuous"/>
          <w:pgSz w:w="11906" w:h="16838" w:code="9"/>
          <w:pgMar w:top="1134" w:right="1286" w:bottom="851" w:left="1134" w:header="851" w:footer="229" w:gutter="0"/>
          <w:pgNumType w:fmt="numberInDash"/>
          <w:cols w:num="2" w:sep="1" w:space="425"/>
          <w:docGrid w:type="linesAndChars" w:linePitch="312"/>
        </w:sectPr>
      </w:pPr>
      <w:r w:rsidRPr="006077D0">
        <w:rPr>
          <w:rFonts w:ascii="微软雅黑" w:eastAsia="微软雅黑" w:hAnsi="微软雅黑" w:hint="eastAsia"/>
          <w:szCs w:val="21"/>
        </w:rPr>
        <w:t>16)     纠纷预防的主要措施</w:t>
      </w:r>
    </w:p>
    <w:p w:rsidR="00F318BE" w:rsidRPr="00F318BE" w:rsidRDefault="00F318BE" w:rsidP="00F318BE">
      <w:pPr>
        <w:widowControl/>
        <w:adjustRightInd w:val="0"/>
        <w:snapToGrid w:val="0"/>
        <w:rPr>
          <w:rFonts w:ascii="微软雅黑" w:eastAsia="微软雅黑" w:hAnsi="微软雅黑"/>
          <w:color w:val="000000" w:themeColor="text1"/>
          <w:szCs w:val="21"/>
        </w:rPr>
        <w:sectPr w:rsidR="00F318BE" w:rsidRPr="00F318BE" w:rsidSect="0084745B">
          <w:type w:val="continuous"/>
          <w:pgSz w:w="11906" w:h="16838" w:code="9"/>
          <w:pgMar w:top="1134" w:right="1286" w:bottom="851" w:left="1134" w:header="851" w:footer="229" w:gutter="0"/>
          <w:pgNumType w:fmt="numberInDash"/>
          <w:cols w:num="2" w:sep="1" w:space="425"/>
          <w:docGrid w:type="linesAndChars" w:linePitch="312"/>
        </w:sectPr>
      </w:pPr>
    </w:p>
    <w:p w:rsidR="00ED46EC" w:rsidRPr="00F318BE" w:rsidRDefault="00ED46EC" w:rsidP="0084745B">
      <w:pPr>
        <w:widowControl/>
        <w:adjustRightInd w:val="0"/>
        <w:snapToGrid w:val="0"/>
        <w:rPr>
          <w:rFonts w:ascii="微软雅黑" w:eastAsia="微软雅黑" w:hAnsi="微软雅黑"/>
          <w:b/>
          <w:color w:val="00B0F0"/>
          <w:sz w:val="24"/>
        </w:rPr>
        <w:sectPr w:rsidR="00ED46EC" w:rsidRPr="00F318BE" w:rsidSect="00E202F5">
          <w:type w:val="continuous"/>
          <w:pgSz w:w="11906" w:h="16838" w:code="9"/>
          <w:pgMar w:top="1134" w:right="1286" w:bottom="851" w:left="1134" w:header="851" w:footer="229" w:gutter="0"/>
          <w:pgNumType w:fmt="numberInDash"/>
          <w:cols w:sep="1" w:space="425"/>
          <w:docGrid w:type="linesAndChars" w:linePitch="312"/>
        </w:sectPr>
      </w:pPr>
    </w:p>
    <w:p w:rsidR="00F318BE" w:rsidRPr="00F318BE" w:rsidRDefault="00BF58C3" w:rsidP="00F318BE">
      <w:pPr>
        <w:adjustRightInd w:val="0"/>
        <w:snapToGrid w:val="0"/>
        <w:rPr>
          <w:rFonts w:ascii="微软雅黑" w:eastAsia="微软雅黑" w:hAnsi="微软雅黑"/>
          <w:b/>
          <w:color w:val="FF0000"/>
          <w:sz w:val="24"/>
        </w:rPr>
        <w:sectPr w:rsidR="00F318BE" w:rsidRPr="00F318BE" w:rsidSect="00E202F5">
          <w:type w:val="continuous"/>
          <w:pgSz w:w="11906" w:h="16838" w:code="9"/>
          <w:pgMar w:top="1134" w:right="1286" w:bottom="851" w:left="1134" w:header="851" w:footer="229" w:gutter="0"/>
          <w:pgNumType w:fmt="numberInDash"/>
          <w:cols w:sep="1" w:space="425"/>
          <w:docGrid w:type="linesAndChars" w:linePitch="312"/>
        </w:sectPr>
      </w:pPr>
      <w:r w:rsidRPr="00BE1D3D">
        <w:rPr>
          <w:rFonts w:ascii="微软雅黑" w:eastAsia="微软雅黑" w:hAnsi="微软雅黑" w:hint="eastAsia"/>
          <w:b/>
          <w:color w:val="FF0000"/>
          <w:sz w:val="24"/>
        </w:rPr>
        <w:lastRenderedPageBreak/>
        <w:t>课程大纲：</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lastRenderedPageBreak/>
        <w:t>专题（一）国际贸易报价及贸易术语的使用（授课时间：09:00-12:00）</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1．国际贸易惯例在国际贸易中的作用</w:t>
      </w:r>
    </w:p>
    <w:p w:rsidR="00F318BE" w:rsidRPr="00D75AE0" w:rsidRDefault="00F318BE" w:rsidP="00F318BE">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国际货物贸易中的合同的形式有哪些？</w:t>
      </w:r>
    </w:p>
    <w:p w:rsidR="00F318BE" w:rsidRPr="00D75AE0" w:rsidRDefault="00F318BE" w:rsidP="00F318BE">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国际贸易业务一定要签订书面合同吗？</w:t>
      </w:r>
    </w:p>
    <w:p w:rsidR="00F318BE" w:rsidRPr="00D75AE0" w:rsidRDefault="00F318BE" w:rsidP="00F318BE">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书面合同的形式有哪些？</w:t>
      </w:r>
    </w:p>
    <w:p w:rsidR="00F318BE" w:rsidRPr="00D75AE0" w:rsidRDefault="00F318BE" w:rsidP="00F318BE">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lastRenderedPageBreak/>
        <w:t>PI可以代替合同吗？PO可以代替合同吗？</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2．国际货物买卖合同适用的规则</w:t>
      </w:r>
    </w:p>
    <w:p w:rsidR="00F318BE" w:rsidRPr="00D75AE0" w:rsidRDefault="00F318BE" w:rsidP="00F318BE">
      <w:pPr>
        <w:pStyle w:val="aa"/>
        <w:widowControl/>
        <w:numPr>
          <w:ilvl w:val="0"/>
          <w:numId w:val="29"/>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相关的法律及其适用</w:t>
      </w:r>
    </w:p>
    <w:p w:rsidR="00F318BE" w:rsidRPr="00D75AE0" w:rsidRDefault="00F318BE" w:rsidP="00F318BE">
      <w:pPr>
        <w:pStyle w:val="aa"/>
        <w:widowControl/>
        <w:numPr>
          <w:ilvl w:val="0"/>
          <w:numId w:val="29"/>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相关的国际惯例及其适用</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3．国际贸易惯例之一——国际贸易术语相关的相关国际惯例</w:t>
      </w:r>
    </w:p>
    <w:p w:rsidR="00F318BE" w:rsidRPr="00D75AE0" w:rsidRDefault="00F318BE" w:rsidP="00F318BE">
      <w:pPr>
        <w:pStyle w:val="aa"/>
        <w:widowControl/>
        <w:numPr>
          <w:ilvl w:val="0"/>
          <w:numId w:val="30"/>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lastRenderedPageBreak/>
        <w:t>华沙——牛津规则》（Warsaw-Oxford Rules，简称W. O. Rules 1932 ）</w:t>
      </w:r>
    </w:p>
    <w:p w:rsidR="00F318BE" w:rsidRPr="00D75AE0" w:rsidRDefault="00F318BE" w:rsidP="00F318BE">
      <w:pPr>
        <w:pStyle w:val="aa"/>
        <w:widowControl/>
        <w:numPr>
          <w:ilvl w:val="0"/>
          <w:numId w:val="30"/>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《美国对外贸易定义修正本》（Revised American Foreign Trade Definitions 1919/1941/1990）</w:t>
      </w:r>
    </w:p>
    <w:p w:rsidR="00F318BE" w:rsidRPr="00D75AE0" w:rsidRDefault="00F318BE" w:rsidP="00F318BE">
      <w:pPr>
        <w:pStyle w:val="aa"/>
        <w:widowControl/>
        <w:numPr>
          <w:ilvl w:val="0"/>
          <w:numId w:val="30"/>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《国际贸易术语解释通则》（INCOTERMS 1936/1957/1967/1976/1980/1990/2000/2010）</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4．新版INCOTERMS ® 2010的主要变化及其使用和风险防控</w:t>
      </w:r>
    </w:p>
    <w:p w:rsidR="00F318BE" w:rsidRPr="00D75AE0" w:rsidRDefault="00F318BE" w:rsidP="00F318BE">
      <w:pPr>
        <w:pStyle w:val="aa"/>
        <w:widowControl/>
        <w:numPr>
          <w:ilvl w:val="0"/>
          <w:numId w:val="31"/>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INCOTERMS ® 2010的主要变化</w:t>
      </w:r>
    </w:p>
    <w:p w:rsidR="00F318BE" w:rsidRPr="00D75AE0" w:rsidRDefault="00F318BE" w:rsidP="00F318BE">
      <w:pPr>
        <w:pStyle w:val="aa"/>
        <w:widowControl/>
        <w:numPr>
          <w:ilvl w:val="0"/>
          <w:numId w:val="31"/>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INCOTERMS ® 2010的11个贸易术语的内涵和特征</w:t>
      </w:r>
    </w:p>
    <w:p w:rsidR="00F318BE" w:rsidRPr="00D75AE0" w:rsidRDefault="00F318BE" w:rsidP="00F318BE">
      <w:pPr>
        <w:pStyle w:val="aa"/>
        <w:widowControl/>
        <w:numPr>
          <w:ilvl w:val="0"/>
          <w:numId w:val="31"/>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INCOTERMS ® 2010对国际贸易合同相关条款的影响：</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对价格条款的影响：价格构成</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对交货条款的影响：交货时间、交货地点</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对运输条款的影响：运输方式及运输单据</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对付款条款的影响：象征性交货与单据买卖</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对单据条款的影响：单据的种类</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对检验条款的影响：检验时间、地点、费用</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对装运通知条款影响：及时、合理、充分通知</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对风险分担、争议解决等条款的影响</w:t>
      </w:r>
    </w:p>
    <w:p w:rsidR="0084745B" w:rsidRDefault="00F318BE" w:rsidP="00F318BE">
      <w:pPr>
        <w:pStyle w:val="aa"/>
        <w:widowControl/>
        <w:numPr>
          <w:ilvl w:val="0"/>
          <w:numId w:val="32"/>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 xml:space="preserve">INCOTERMS ® 2010的有效使用及风险防控 </w:t>
      </w:r>
    </w:p>
    <w:p w:rsidR="00F318BE" w:rsidRPr="0084745B" w:rsidRDefault="00F318BE" w:rsidP="0084745B">
      <w:pPr>
        <w:widowControl/>
        <w:adjustRightInd w:val="0"/>
        <w:snapToGrid w:val="0"/>
        <w:jc w:val="left"/>
        <w:rPr>
          <w:rFonts w:ascii="微软雅黑" w:eastAsia="微软雅黑" w:hAnsi="微软雅黑" w:cs="宋体"/>
          <w:kern w:val="0"/>
          <w:szCs w:val="21"/>
        </w:rPr>
      </w:pPr>
      <w:r w:rsidRPr="0084745B">
        <w:rPr>
          <w:rFonts w:ascii="微软雅黑" w:eastAsia="微软雅黑" w:hAnsi="微软雅黑" w:cs="宋体" w:hint="eastAsia"/>
          <w:b/>
          <w:kern w:val="0"/>
          <w:szCs w:val="21"/>
        </w:rPr>
        <w:t>专题（二）国际金融票据及国际贸易结算方式（授课时间：13:00-16:30）</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1．金融票据汇票、本票、支票的使用</w:t>
      </w:r>
    </w:p>
    <w:p w:rsidR="00F318BE" w:rsidRPr="00D75AE0" w:rsidRDefault="00F318BE" w:rsidP="00F318BE">
      <w:pPr>
        <w:pStyle w:val="aa"/>
        <w:widowControl/>
        <w:numPr>
          <w:ilvl w:val="0"/>
          <w:numId w:val="33"/>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国际金融票据的特性</w:t>
      </w:r>
    </w:p>
    <w:p w:rsidR="00F318BE" w:rsidRPr="00D75AE0" w:rsidRDefault="00F318BE" w:rsidP="00F318BE">
      <w:pPr>
        <w:pStyle w:val="aa"/>
        <w:widowControl/>
        <w:numPr>
          <w:ilvl w:val="0"/>
          <w:numId w:val="33"/>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汇票的定义、内容、种类及其使用</w:t>
      </w:r>
    </w:p>
    <w:p w:rsidR="00F318BE" w:rsidRPr="00D75AE0" w:rsidRDefault="00F318BE" w:rsidP="00F318BE">
      <w:pPr>
        <w:pStyle w:val="aa"/>
        <w:widowControl/>
        <w:numPr>
          <w:ilvl w:val="0"/>
          <w:numId w:val="33"/>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本票、支票与汇票的区别</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2．国际贸易结算方式（汇款、托收、信用证）的内容及风险防控</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汇款的种类（前T/T，后T/T，D/D，M/T）</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分析讨论：出口企业如何用好T/T结汇以降低风险（基于CWD为基础）？</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托收业务的特点</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D/P、D/A使用中应注意的问题</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申请书逐条解析</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托收统一规则URC522重要条款解析</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案例讨论：托收的特点及风险防范。</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当前金融危机背景下，贸易融资及新型国际结算方式的使用（保理、福费庭）。</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信用证实例解析：逐条解析信用证条款的拟定及风险防范</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信用证实务操作与常见误区分析及信用证业务处理原则，如对“沉默保兑”的剖析等。</w:t>
      </w:r>
    </w:p>
    <w:p w:rsidR="00F318BE" w:rsidRPr="00D75AE0" w:rsidRDefault="00F318BE" w:rsidP="00F318BE">
      <w:pPr>
        <w:pStyle w:val="aa"/>
        <w:widowControl/>
        <w:numPr>
          <w:ilvl w:val="0"/>
          <w:numId w:val="34"/>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信用证在开立、通知、修改、撤销、转让、保兑、议付、偿付等环节产生的风险和纠纷应该如何防范和处理？</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专题（三）国际贸易单据制作与审核（授课时间：09:00-12:00）</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1． 国际贸易单据制作与审核依据：国际惯例UCP600条款解析</w:t>
      </w:r>
    </w:p>
    <w:p w:rsidR="00F318BE" w:rsidRPr="00D75AE0" w:rsidRDefault="00F318BE" w:rsidP="00F318BE">
      <w:pPr>
        <w:pStyle w:val="aa"/>
        <w:widowControl/>
        <w:numPr>
          <w:ilvl w:val="0"/>
          <w:numId w:val="35"/>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UCP600对于出口单据的要求</w:t>
      </w:r>
    </w:p>
    <w:p w:rsidR="00F318BE" w:rsidRPr="00D75AE0" w:rsidRDefault="00F318BE" w:rsidP="00F318BE">
      <w:pPr>
        <w:pStyle w:val="aa"/>
        <w:widowControl/>
        <w:numPr>
          <w:ilvl w:val="0"/>
          <w:numId w:val="35"/>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开证行的拒付及其处理</w:t>
      </w:r>
    </w:p>
    <w:p w:rsidR="00F318BE" w:rsidRPr="00D75AE0" w:rsidRDefault="00F318BE" w:rsidP="00F318BE">
      <w:pPr>
        <w:pStyle w:val="aa"/>
        <w:widowControl/>
        <w:numPr>
          <w:ilvl w:val="0"/>
          <w:numId w:val="35"/>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ISBP与UCP600</w:t>
      </w:r>
    </w:p>
    <w:p w:rsidR="0084745B" w:rsidRDefault="0084745B" w:rsidP="00F318BE">
      <w:pPr>
        <w:widowControl/>
        <w:adjustRightInd w:val="0"/>
        <w:snapToGrid w:val="0"/>
        <w:jc w:val="left"/>
        <w:rPr>
          <w:rFonts w:ascii="微软雅黑" w:eastAsia="微软雅黑" w:hAnsi="微软雅黑" w:cs="宋体"/>
          <w:b/>
          <w:kern w:val="0"/>
          <w:szCs w:val="21"/>
        </w:rPr>
      </w:pP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2．国际贸易单据制作与审核的实例分析</w:t>
      </w:r>
    </w:p>
    <w:p w:rsidR="00F318BE" w:rsidRPr="00D75AE0" w:rsidRDefault="00F318BE" w:rsidP="00F318BE">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国际贸易结算单据介绍：汇票、发票、提单、保险单、装箱单、产地证</w:t>
      </w:r>
    </w:p>
    <w:p w:rsidR="00F318BE" w:rsidRPr="00D75AE0" w:rsidRDefault="00F318BE" w:rsidP="00F318BE">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3信用证业务项下审证、制单和审单实例操作演示</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3．国际贸易单据制作与审核的实例分析</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当前形势下开证行的拒付及拒付后单据的处理办法</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企业如何处理开证行的无理拒付并百分百取回信用证款项及延付利息？</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 xml:space="preserve">如何利用国际商会的DOCDEX保障你的合法权益? </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 xml:space="preserve">提单签发与出具者名字不一样会否构成拒付理由? </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 xml:space="preserve"> “Partial shipment not allowed”与“Multiple presentation not allowed”的差异为何? </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 xml:space="preserve">传真报告没有盖章签字会否违反信用证所有单据必须盖章签字的要求? </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 xml:space="preserve">若第二受益人的单据完全符合转让信用证但却违反主信用证, 开证行会否承担付款责任? 如何正确处理第二受益人的单据若第一受益人拒绝换单? </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 xml:space="preserve">如何保障申请人的利益若进口货明显存在重大质量问题, 但单据却没有不符点? 如何应付先出具子证而母证却不见踪影的问题? </w:t>
      </w:r>
    </w:p>
    <w:p w:rsidR="00F318BE" w:rsidRPr="00D75AE0" w:rsidRDefault="00F318BE" w:rsidP="00F318BE">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卖方虽然持有全套正本提单，但货物为何仍会被买方在未付款前全数提走？</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经典信用证案例分析。</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专题（四）国际货物买卖合同签订和履行过程的风险控制及实例分析（授课时间：13:00-16:30）</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1．关于国际货物买卖合同“标的条款”的风险防控</w:t>
      </w:r>
    </w:p>
    <w:p w:rsidR="00F318BE" w:rsidRPr="00D75AE0" w:rsidRDefault="00F318BE" w:rsidP="00F318BE">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标的条款的风险源（品质表示方法、质量机动幅度；数量计量方式、溢短装；包装方式与包装标志）</w:t>
      </w:r>
    </w:p>
    <w:p w:rsidR="00F318BE" w:rsidRPr="00D75AE0" w:rsidRDefault="00F318BE" w:rsidP="00F318BE">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标的条款相关的案例分析</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2．关于国际货物买卖合同“价格条款”的风险防控</w:t>
      </w:r>
    </w:p>
    <w:p w:rsidR="00F318BE" w:rsidRPr="00D75AE0" w:rsidRDefault="00F318BE" w:rsidP="00F318BE">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合同价格条款的构成（计价货币、单位金额、计量单位、贸易术语）</w:t>
      </w:r>
    </w:p>
    <w:p w:rsidR="00F318BE" w:rsidRPr="00D75AE0" w:rsidRDefault="00F318BE" w:rsidP="00F318BE">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案例分析如何有效使用INCOTERMS ®  2010</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INCOTERMS ®2010是否自动适用？可否用于国内贸易？</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FOB/CFR/CIF用于空运、集装箱运输妥当吗？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CFR/CIF/CPT/CIP合同中，需要约定交货地点吗？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EXW合同中卖方需要装货吗？卖方需要承担检验费吗？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 xml:space="preserve">INCOTERMS ® 2010可以解决THC的问题吗? </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为何贸易术语后面指定的地点或港口越精确越奏效 ？</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DAP、DAT、DDP合同中卖方需要卸货吗？</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3．关于国际货物买卖合同“交货条款”的风险防控</w:t>
      </w:r>
    </w:p>
    <w:p w:rsidR="00F318BE" w:rsidRPr="00D75AE0" w:rsidRDefault="00F318BE" w:rsidP="00F318BE">
      <w:pPr>
        <w:pStyle w:val="aa"/>
        <w:widowControl/>
        <w:numPr>
          <w:ilvl w:val="0"/>
          <w:numId w:val="40"/>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交货条款的风险源（装运港、卸货港、转运港、装运期、可否分批、可否转运、装卸率、滞期费、运输单据）</w:t>
      </w:r>
    </w:p>
    <w:p w:rsidR="00F318BE" w:rsidRPr="00D75AE0" w:rsidRDefault="00F318BE" w:rsidP="00F318BE">
      <w:pPr>
        <w:pStyle w:val="aa"/>
        <w:widowControl/>
        <w:numPr>
          <w:ilvl w:val="0"/>
          <w:numId w:val="40"/>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交货条款相关的案例分析</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 xml:space="preserve">  卖方完成装运是否完成交货？</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 xml:space="preserve">  滞期费或空舱费谁来承担？买卖合同中是否需要约定装卸率？</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 xml:space="preserve">  运输单据上出现多个装运时间和装运港是否构成分批装运？</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4．关于国际货物买卖合同“保险条款”的风险防控</w:t>
      </w:r>
    </w:p>
    <w:p w:rsidR="00F318BE" w:rsidRPr="00D75AE0" w:rsidRDefault="00F318BE" w:rsidP="00F318BE">
      <w:pPr>
        <w:pStyle w:val="aa"/>
        <w:widowControl/>
        <w:numPr>
          <w:ilvl w:val="0"/>
          <w:numId w:val="41"/>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保险条款的风险源（投保金额、险别、保险单据）</w:t>
      </w:r>
    </w:p>
    <w:p w:rsidR="00F318BE" w:rsidRPr="00D75AE0" w:rsidRDefault="00F318BE" w:rsidP="00F318BE">
      <w:pPr>
        <w:pStyle w:val="aa"/>
        <w:widowControl/>
        <w:numPr>
          <w:ilvl w:val="0"/>
          <w:numId w:val="41"/>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保险条款相关的案例分析</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CIF和CIP合同中购买平安险平安吗？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Insurance Certificate 能替代Insurance Policy吗？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如何有效选择保险险别？</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5．关于国际货物买卖合同“货款支付条款”的风险防控</w:t>
      </w:r>
    </w:p>
    <w:p w:rsidR="00F318BE" w:rsidRPr="00D75AE0" w:rsidRDefault="00F318BE" w:rsidP="00F318BE">
      <w:pPr>
        <w:pStyle w:val="aa"/>
        <w:widowControl/>
        <w:numPr>
          <w:ilvl w:val="0"/>
          <w:numId w:val="42"/>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货款支付条款的风险源（付款时间、结算方式）</w:t>
      </w:r>
    </w:p>
    <w:p w:rsidR="00F318BE" w:rsidRPr="00D75AE0" w:rsidRDefault="00F318BE" w:rsidP="00F318BE">
      <w:pPr>
        <w:pStyle w:val="aa"/>
        <w:widowControl/>
        <w:numPr>
          <w:ilvl w:val="0"/>
          <w:numId w:val="42"/>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不同结算方式项下的相关案例分析</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T/T预付30%就保险了吗？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空运方式下能接受托收结算货款吗？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企业如何处理开证行的无理拒付并百分百取回信用证款项及延付利息？</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 xml:space="preserve">如何利用国际商会的DOCDEX保障你的合法权益? </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 xml:space="preserve">如何保障申请人的利益若进口货明显存在重大质量问题, 但单据却没有不符点? </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卖方虽然持有全套正本提单，但货物为何仍会被买方在未付款前全数提走？</w:t>
      </w:r>
    </w:p>
    <w:p w:rsidR="00F318BE" w:rsidRPr="006077D0" w:rsidRDefault="00F318BE" w:rsidP="00F318BE">
      <w:pPr>
        <w:widowControl/>
        <w:adjustRightInd w:val="0"/>
        <w:snapToGrid w:val="0"/>
        <w:jc w:val="left"/>
        <w:rPr>
          <w:rFonts w:ascii="微软雅黑" w:eastAsia="微软雅黑" w:hAnsi="微软雅黑" w:cs="宋体"/>
          <w:b/>
          <w:kern w:val="0"/>
          <w:szCs w:val="21"/>
        </w:rPr>
      </w:pPr>
      <w:r w:rsidRPr="006077D0">
        <w:rPr>
          <w:rFonts w:ascii="微软雅黑" w:eastAsia="微软雅黑" w:hAnsi="微软雅黑" w:cs="宋体" w:hint="eastAsia"/>
          <w:b/>
          <w:kern w:val="0"/>
          <w:szCs w:val="21"/>
        </w:rPr>
        <w:t>6．关于国际货物买卖合同“争议预防和处理条款”的风险防控</w:t>
      </w:r>
    </w:p>
    <w:p w:rsidR="00F318BE" w:rsidRPr="00D75AE0" w:rsidRDefault="00F318BE" w:rsidP="00F318BE">
      <w:pPr>
        <w:pStyle w:val="aa"/>
        <w:widowControl/>
        <w:numPr>
          <w:ilvl w:val="0"/>
          <w:numId w:val="43"/>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检验、索赔、不可抗力和仲裁条款在预防和处理争议中的作用</w:t>
      </w:r>
    </w:p>
    <w:p w:rsidR="00F318BE" w:rsidRPr="00D75AE0" w:rsidRDefault="00F318BE" w:rsidP="00F318BE">
      <w:pPr>
        <w:pStyle w:val="aa"/>
        <w:widowControl/>
        <w:numPr>
          <w:ilvl w:val="0"/>
          <w:numId w:val="43"/>
        </w:numPr>
        <w:adjustRightInd w:val="0"/>
        <w:snapToGrid w:val="0"/>
        <w:ind w:firstLineChars="0"/>
        <w:jc w:val="left"/>
        <w:rPr>
          <w:rFonts w:ascii="微软雅黑" w:eastAsia="微软雅黑" w:hAnsi="微软雅黑" w:cs="宋体"/>
          <w:kern w:val="0"/>
          <w:szCs w:val="21"/>
        </w:rPr>
      </w:pPr>
      <w:r w:rsidRPr="00D75AE0">
        <w:rPr>
          <w:rFonts w:ascii="微软雅黑" w:eastAsia="微软雅黑" w:hAnsi="微软雅黑" w:cs="宋体" w:hint="eastAsia"/>
          <w:kern w:val="0"/>
          <w:szCs w:val="21"/>
        </w:rPr>
        <w:t>争议预防和处理条款相关的案例分析</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检验时间、地点如何选择使买卖双方比较容易接受？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惩罚性违约金条款能起到惩罚性作用吗？</w:t>
      </w:r>
    </w:p>
    <w:p w:rsidR="00F318BE" w:rsidRPr="006077D0" w:rsidRDefault="00F318BE" w:rsidP="00F318BE">
      <w:pPr>
        <w:widowControl/>
        <w:adjustRightInd w:val="0"/>
        <w:snapToGrid w:val="0"/>
        <w:jc w:val="left"/>
        <w:rPr>
          <w:rFonts w:ascii="微软雅黑" w:eastAsia="微软雅黑" w:hAnsi="微软雅黑" w:cs="宋体"/>
          <w:kern w:val="0"/>
          <w:szCs w:val="21"/>
        </w:rPr>
      </w:pPr>
      <w:r w:rsidRPr="006077D0">
        <w:rPr>
          <w:rFonts w:ascii="微软雅黑" w:eastAsia="微软雅黑" w:hAnsi="微软雅黑" w:cs="宋体" w:hint="eastAsia"/>
          <w:kern w:val="0"/>
          <w:szCs w:val="21"/>
        </w:rPr>
        <w:t>对生产企业而言政府拉闸能构成不可抗力吗？</w:t>
      </w:r>
    </w:p>
    <w:p w:rsidR="00F318BE" w:rsidRDefault="00F318BE" w:rsidP="00A3224A">
      <w:pPr>
        <w:widowControl/>
        <w:adjustRightInd w:val="0"/>
        <w:snapToGrid w:val="0"/>
        <w:jc w:val="left"/>
        <w:rPr>
          <w:rFonts w:ascii="微软雅黑" w:eastAsia="微软雅黑" w:hAnsi="微软雅黑" w:cs="宋体"/>
          <w:kern w:val="0"/>
          <w:szCs w:val="21"/>
        </w:rPr>
        <w:sectPr w:rsidR="00F318BE" w:rsidSect="00F318BE">
          <w:type w:val="continuous"/>
          <w:pgSz w:w="11906" w:h="16838" w:code="9"/>
          <w:pgMar w:top="1134" w:right="1286" w:bottom="851" w:left="1134" w:header="851" w:footer="229" w:gutter="0"/>
          <w:pgNumType w:fmt="numberInDash"/>
          <w:cols w:num="2" w:sep="1" w:space="425"/>
          <w:docGrid w:type="linesAndChars" w:linePitch="312"/>
        </w:sectPr>
      </w:pPr>
      <w:r w:rsidRPr="006077D0">
        <w:rPr>
          <w:rFonts w:ascii="微软雅黑" w:eastAsia="微软雅黑" w:hAnsi="微软雅黑" w:cs="宋体" w:hint="eastAsia"/>
          <w:kern w:val="0"/>
          <w:szCs w:val="21"/>
        </w:rPr>
        <w:t>面对法院的传票，卖方要去应诉吗？</w:t>
      </w:r>
    </w:p>
    <w:p w:rsidR="00F318BE" w:rsidRPr="00F318BE" w:rsidRDefault="00F318BE" w:rsidP="00A3224A">
      <w:pPr>
        <w:adjustRightInd w:val="0"/>
        <w:snapToGrid w:val="0"/>
        <w:rPr>
          <w:rFonts w:ascii="微软雅黑" w:eastAsia="微软雅黑" w:hAnsi="微软雅黑"/>
          <w:szCs w:val="21"/>
        </w:rPr>
        <w:sectPr w:rsidR="00F318BE" w:rsidRPr="00F318BE" w:rsidSect="00E202F5">
          <w:type w:val="continuous"/>
          <w:pgSz w:w="11906" w:h="16838" w:code="9"/>
          <w:pgMar w:top="1134" w:right="1286" w:bottom="851" w:left="1134" w:header="851" w:footer="229" w:gutter="0"/>
          <w:pgNumType w:fmt="numberInDash"/>
          <w:cols w:sep="1" w:space="425"/>
          <w:docGrid w:type="linesAndChars" w:linePitch="312"/>
        </w:sectPr>
      </w:pPr>
    </w:p>
    <w:p w:rsidR="00941CBC" w:rsidRPr="0084745B" w:rsidRDefault="009D5C85" w:rsidP="00A3224A">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t>讲师介绍：</w:t>
      </w:r>
    </w:p>
    <w:p w:rsidR="00F318BE" w:rsidRPr="00D75AE0" w:rsidRDefault="00F318BE" w:rsidP="00A3224A">
      <w:pPr>
        <w:adjustRightInd w:val="0"/>
        <w:snapToGrid w:val="0"/>
        <w:rPr>
          <w:rFonts w:ascii="微软雅黑" w:eastAsia="微软雅黑" w:hAnsi="微软雅黑"/>
          <w:b/>
          <w:sz w:val="24"/>
          <w:szCs w:val="21"/>
        </w:rPr>
      </w:pPr>
      <w:r w:rsidRPr="00D75AE0">
        <w:rPr>
          <w:rFonts w:ascii="微软雅黑" w:eastAsia="微软雅黑" w:hAnsi="微软雅黑" w:hint="eastAsia"/>
          <w:b/>
          <w:sz w:val="24"/>
          <w:szCs w:val="21"/>
        </w:rPr>
        <w:t>Kathy Shen</w:t>
      </w:r>
    </w:p>
    <w:p w:rsidR="00F318BE" w:rsidRPr="00D75AE0" w:rsidRDefault="00F318BE" w:rsidP="00F318BE">
      <w:pPr>
        <w:adjustRightInd w:val="0"/>
        <w:snapToGrid w:val="0"/>
        <w:rPr>
          <w:rFonts w:ascii="微软雅黑" w:eastAsia="微软雅黑" w:hAnsi="微软雅黑"/>
          <w:b/>
          <w:szCs w:val="21"/>
        </w:rPr>
      </w:pPr>
      <w:r w:rsidRPr="00D75AE0">
        <w:rPr>
          <w:rFonts w:ascii="微软雅黑" w:eastAsia="微软雅黑" w:hAnsi="微软雅黑" w:hint="eastAsia"/>
          <w:b/>
          <w:szCs w:val="21"/>
        </w:rPr>
        <w:t>行业资质：</w:t>
      </w:r>
    </w:p>
    <w:p w:rsidR="00F318BE" w:rsidRPr="00D75AE0" w:rsidRDefault="00F318BE" w:rsidP="00F318BE">
      <w:pPr>
        <w:pStyle w:val="aa"/>
        <w:numPr>
          <w:ilvl w:val="0"/>
          <w:numId w:val="44"/>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 xml:space="preserve">上海对外经贸大学 世界经济专业 博士 </w:t>
      </w:r>
    </w:p>
    <w:p w:rsidR="00F318BE" w:rsidRPr="00D75AE0" w:rsidRDefault="00F318BE" w:rsidP="00F318BE">
      <w:pPr>
        <w:pStyle w:val="aa"/>
        <w:numPr>
          <w:ilvl w:val="0"/>
          <w:numId w:val="44"/>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上海对外经贸大学 国际贸易专业 硕士</w:t>
      </w:r>
    </w:p>
    <w:p w:rsidR="00F318BE" w:rsidRPr="00D75AE0" w:rsidRDefault="00F318BE" w:rsidP="00F318BE">
      <w:pPr>
        <w:pStyle w:val="aa"/>
        <w:numPr>
          <w:ilvl w:val="0"/>
          <w:numId w:val="44"/>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曾任国际知名集团中国国际贸易&amp;供应链管理经理</w:t>
      </w:r>
    </w:p>
    <w:p w:rsidR="00F318BE" w:rsidRPr="00D75AE0" w:rsidRDefault="00F318BE" w:rsidP="00F318BE">
      <w:pPr>
        <w:pStyle w:val="aa"/>
        <w:numPr>
          <w:ilvl w:val="0"/>
          <w:numId w:val="44"/>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世贸组织(WTO)亚太地区ITC国际贸易特聘讲师</w:t>
      </w:r>
    </w:p>
    <w:p w:rsidR="00F318BE" w:rsidRPr="00D75AE0" w:rsidRDefault="00F318BE" w:rsidP="00F318BE">
      <w:pPr>
        <w:pStyle w:val="aa"/>
        <w:numPr>
          <w:ilvl w:val="0"/>
          <w:numId w:val="44"/>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德国商会，法国商会等行业协会国际贸易高级培训师</w:t>
      </w:r>
    </w:p>
    <w:p w:rsidR="00F318BE" w:rsidRPr="00D75AE0" w:rsidRDefault="00F318BE" w:rsidP="00F318BE">
      <w:pPr>
        <w:adjustRightInd w:val="0"/>
        <w:snapToGrid w:val="0"/>
        <w:rPr>
          <w:rFonts w:ascii="微软雅黑" w:eastAsia="微软雅黑" w:hAnsi="微软雅黑"/>
          <w:b/>
          <w:szCs w:val="21"/>
        </w:rPr>
      </w:pPr>
      <w:r w:rsidRPr="00D75AE0">
        <w:rPr>
          <w:rFonts w:ascii="微软雅黑" w:eastAsia="微软雅黑" w:hAnsi="微软雅黑" w:hint="eastAsia"/>
          <w:b/>
          <w:szCs w:val="21"/>
        </w:rPr>
        <w:t>工作经历：</w:t>
      </w:r>
    </w:p>
    <w:p w:rsidR="00F318BE" w:rsidRPr="00D75AE0" w:rsidRDefault="00F318BE" w:rsidP="00F318BE">
      <w:pPr>
        <w:adjustRightInd w:val="0"/>
        <w:snapToGrid w:val="0"/>
        <w:rPr>
          <w:rFonts w:ascii="微软雅黑" w:eastAsia="微软雅黑" w:hAnsi="微软雅黑"/>
          <w:szCs w:val="21"/>
        </w:rPr>
      </w:pPr>
      <w:r w:rsidRPr="00D75AE0">
        <w:rPr>
          <w:rFonts w:ascii="微软雅黑" w:eastAsia="微软雅黑" w:hAnsi="微软雅黑" w:hint="eastAsia"/>
          <w:szCs w:val="21"/>
        </w:rPr>
        <w:t>沈老师长期致力于国际贸易实务领域知识总结和传播，她的培训亦是多年来不断学习和提炼的智慧凝结。沈老师坚持选择对国际贸易和企业有针对性的实用内容，在培训过程中，精心设计大量案例，用形象通俗的语言来阐明相对枯燥的实务操作，内容扎实，形式活泼，深受学员喜爱。沈老师利用自己的专业知识与实践经验为多家世界500强企业及国外商会提供国际贸易领域培训与贸易合规咨询工作。</w:t>
      </w:r>
    </w:p>
    <w:p w:rsidR="00F318BE" w:rsidRPr="00D75AE0" w:rsidRDefault="00F318BE" w:rsidP="00F318BE">
      <w:pPr>
        <w:adjustRightInd w:val="0"/>
        <w:snapToGrid w:val="0"/>
        <w:rPr>
          <w:rFonts w:ascii="微软雅黑" w:eastAsia="微软雅黑" w:hAnsi="微软雅黑"/>
          <w:szCs w:val="21"/>
        </w:rPr>
      </w:pPr>
      <w:r w:rsidRPr="00D75AE0">
        <w:rPr>
          <w:rFonts w:ascii="微软雅黑" w:eastAsia="微软雅黑" w:hAnsi="微软雅黑" w:hint="eastAsia"/>
          <w:szCs w:val="21"/>
        </w:rPr>
        <w:t>授课风格与特点：</w:t>
      </w:r>
    </w:p>
    <w:p w:rsidR="00F318BE" w:rsidRPr="00D75AE0" w:rsidRDefault="00F318BE" w:rsidP="00F318BE">
      <w:pPr>
        <w:adjustRightInd w:val="0"/>
        <w:snapToGrid w:val="0"/>
        <w:rPr>
          <w:rFonts w:ascii="微软雅黑" w:eastAsia="微软雅黑" w:hAnsi="微软雅黑"/>
          <w:szCs w:val="21"/>
        </w:rPr>
      </w:pPr>
      <w:r w:rsidRPr="00D75AE0">
        <w:rPr>
          <w:rFonts w:ascii="微软雅黑" w:eastAsia="微软雅黑" w:hAnsi="微软雅黑" w:hint="eastAsia"/>
          <w:szCs w:val="21"/>
        </w:rPr>
        <w:t>讲究互动性与参与性，深入浅出的将先进国际贸易理论和实践结合，注重培养解决实际问题的能力.同时，作为资深企业培训师，先后为几十家国际知名企业进行等方面的主题培训，将先进的管理理念融入到头脑风暴，案例分析，角色扮演等轻松且喜闻乐见的形式中。</w:t>
      </w:r>
    </w:p>
    <w:p w:rsidR="00F318BE" w:rsidRPr="00F318BE" w:rsidRDefault="00F318BE" w:rsidP="00F318BE">
      <w:pPr>
        <w:adjustRightInd w:val="0"/>
        <w:snapToGrid w:val="0"/>
        <w:rPr>
          <w:rFonts w:ascii="微软雅黑" w:eastAsia="微软雅黑" w:hAnsi="微软雅黑"/>
          <w:b/>
          <w:szCs w:val="21"/>
        </w:rPr>
      </w:pPr>
      <w:r w:rsidRPr="00F318BE">
        <w:rPr>
          <w:rFonts w:ascii="微软雅黑" w:eastAsia="微软雅黑" w:hAnsi="微软雅黑" w:hint="eastAsia"/>
          <w:b/>
          <w:szCs w:val="21"/>
        </w:rPr>
        <w:t>主要咨询项目：</w:t>
      </w:r>
    </w:p>
    <w:p w:rsidR="00F318BE" w:rsidRPr="00D75AE0" w:rsidRDefault="00F318BE" w:rsidP="00F318BE">
      <w:pPr>
        <w:pStyle w:val="aa"/>
        <w:numPr>
          <w:ilvl w:val="0"/>
          <w:numId w:val="45"/>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国际贸易报价与 INCOTERMS 2010： 上海兰生集团（现上海东浩兰生集团），上海电气集团</w:t>
      </w:r>
    </w:p>
    <w:p w:rsidR="00F318BE" w:rsidRPr="00D75AE0" w:rsidRDefault="00F318BE" w:rsidP="00F318BE">
      <w:pPr>
        <w:pStyle w:val="aa"/>
        <w:numPr>
          <w:ilvl w:val="0"/>
          <w:numId w:val="45"/>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L/C 业务与 UCP600 ：上海振华重工集团</w:t>
      </w:r>
    </w:p>
    <w:p w:rsidR="00F318BE" w:rsidRPr="00D75AE0" w:rsidRDefault="00F318BE" w:rsidP="00F318BE">
      <w:pPr>
        <w:pStyle w:val="aa"/>
        <w:numPr>
          <w:ilvl w:val="0"/>
          <w:numId w:val="45"/>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信用证业务中的单据制作和审核 ：浙江土畜集团</w:t>
      </w:r>
    </w:p>
    <w:p w:rsidR="00F318BE" w:rsidRPr="00D75AE0" w:rsidRDefault="00F318BE" w:rsidP="00F318BE">
      <w:pPr>
        <w:pStyle w:val="aa"/>
        <w:numPr>
          <w:ilvl w:val="0"/>
          <w:numId w:val="45"/>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国际货物运输与保险 ：中国出口信用保险上海分公司</w:t>
      </w:r>
    </w:p>
    <w:p w:rsidR="00F318BE" w:rsidRPr="00D75AE0" w:rsidRDefault="00F318BE" w:rsidP="00F318BE">
      <w:pPr>
        <w:pStyle w:val="aa"/>
        <w:numPr>
          <w:ilvl w:val="0"/>
          <w:numId w:val="45"/>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国际货物买卖合同风险防控与国际公约CISSG ：上海氯碱化工集团，长兴商务局</w:t>
      </w:r>
    </w:p>
    <w:p w:rsidR="00F318BE" w:rsidRPr="00D75AE0" w:rsidRDefault="00F318BE" w:rsidP="0084745B">
      <w:pPr>
        <w:pStyle w:val="aa"/>
        <w:numPr>
          <w:ilvl w:val="0"/>
          <w:numId w:val="45"/>
        </w:numPr>
        <w:adjustRightInd w:val="0"/>
        <w:snapToGrid w:val="0"/>
        <w:ind w:firstLineChars="0"/>
        <w:rPr>
          <w:rFonts w:ascii="微软雅黑" w:eastAsia="微软雅黑" w:hAnsi="微软雅黑"/>
          <w:szCs w:val="21"/>
        </w:rPr>
      </w:pPr>
      <w:r w:rsidRPr="00D75AE0">
        <w:rPr>
          <w:rFonts w:ascii="微软雅黑" w:eastAsia="微软雅黑" w:hAnsi="微软雅黑" w:hint="eastAsia"/>
          <w:szCs w:val="21"/>
        </w:rPr>
        <w:t>离岸贸易与中国（上海）自由贸易区 ：宝钢集团，中海电信集团</w:t>
      </w:r>
    </w:p>
    <w:p w:rsidR="00F318BE" w:rsidRPr="00F318BE" w:rsidRDefault="00F318BE" w:rsidP="0084745B">
      <w:pPr>
        <w:widowControl/>
        <w:adjustRightInd w:val="0"/>
        <w:snapToGrid w:val="0"/>
        <w:jc w:val="left"/>
        <w:rPr>
          <w:rFonts w:ascii="微软雅黑" w:eastAsia="微软雅黑" w:hAnsi="微软雅黑" w:cs="宋体"/>
          <w:kern w:val="0"/>
          <w:sz w:val="20"/>
          <w:szCs w:val="20"/>
        </w:rPr>
        <w:sectPr w:rsidR="00F318BE" w:rsidRPr="00F318BE" w:rsidSect="004F41DE">
          <w:type w:val="continuous"/>
          <w:pgSz w:w="11906" w:h="16838" w:code="9"/>
          <w:pgMar w:top="1134" w:right="1286" w:bottom="851" w:left="1134" w:header="851" w:footer="229" w:gutter="0"/>
          <w:pgNumType w:fmt="numberInDash"/>
          <w:cols w:sep="1" w:space="425"/>
          <w:docGrid w:type="linesAndChars" w:linePitch="312"/>
        </w:sectPr>
      </w:pPr>
    </w:p>
    <w:p w:rsidR="004F41DE" w:rsidRPr="00C548AE" w:rsidRDefault="004F41DE" w:rsidP="0084745B">
      <w:pPr>
        <w:widowControl/>
        <w:adjustRightInd w:val="0"/>
        <w:snapToGrid w:val="0"/>
        <w:jc w:val="left"/>
        <w:rPr>
          <w:rFonts w:ascii="微软雅黑" w:eastAsia="微软雅黑" w:hAnsi="微软雅黑" w:cs="宋体"/>
          <w:kern w:val="0"/>
          <w:sz w:val="20"/>
          <w:szCs w:val="20"/>
        </w:rPr>
        <w:sectPr w:rsidR="004F41DE" w:rsidRPr="00C548AE" w:rsidSect="004F41DE">
          <w:type w:val="continuous"/>
          <w:pgSz w:w="11906" w:h="16838" w:code="9"/>
          <w:pgMar w:top="1134" w:right="1286" w:bottom="851" w:left="1134" w:header="851" w:footer="229" w:gutter="0"/>
          <w:pgNumType w:fmt="numberInDash"/>
          <w:cols w:sep="1" w:space="425"/>
          <w:docGrid w:type="linesAndChars" w:linePitch="312"/>
        </w:sectPr>
      </w:pPr>
    </w:p>
    <w:p w:rsidR="00000BFD" w:rsidRDefault="00000BFD" w:rsidP="007C29EA">
      <w:pPr>
        <w:widowControl/>
        <w:tabs>
          <w:tab w:val="left" w:pos="668"/>
        </w:tabs>
        <w:adjustRightInd w:val="0"/>
        <w:snapToGrid w:val="0"/>
        <w:ind w:left="108"/>
        <w:jc w:val="center"/>
        <w:rPr>
          <w:rFonts w:eastAsia="微软雅黑"/>
          <w:b/>
          <w:color w:val="FF0000"/>
          <w:sz w:val="36"/>
        </w:rPr>
      </w:pPr>
      <w:r w:rsidRPr="00B87B90">
        <w:rPr>
          <w:rFonts w:eastAsia="微软雅黑"/>
          <w:b/>
          <w:color w:val="FF0000"/>
          <w:sz w:val="36"/>
        </w:rPr>
        <w:t>报</w:t>
      </w:r>
      <w:r w:rsidRPr="00B87B90">
        <w:rPr>
          <w:rFonts w:eastAsia="微软雅黑"/>
          <w:b/>
          <w:color w:val="FF0000"/>
          <w:sz w:val="36"/>
        </w:rPr>
        <w:t xml:space="preserve"> </w:t>
      </w:r>
      <w:r w:rsidRPr="00B87B90">
        <w:rPr>
          <w:rFonts w:eastAsia="微软雅黑"/>
          <w:b/>
          <w:color w:val="FF0000"/>
          <w:sz w:val="36"/>
        </w:rPr>
        <w:t>名</w:t>
      </w:r>
      <w:r w:rsidRPr="00B87B90">
        <w:rPr>
          <w:rFonts w:eastAsia="微软雅黑"/>
          <w:b/>
          <w:color w:val="FF0000"/>
          <w:sz w:val="36"/>
        </w:rPr>
        <w:t xml:space="preserve"> </w:t>
      </w:r>
      <w:r w:rsidRPr="00B87B90">
        <w:rPr>
          <w:rFonts w:eastAsia="微软雅黑"/>
          <w:b/>
          <w:color w:val="FF0000"/>
          <w:sz w:val="36"/>
        </w:rPr>
        <w:t>回</w:t>
      </w:r>
      <w:r w:rsidRPr="00B87B90">
        <w:rPr>
          <w:rFonts w:eastAsia="微软雅黑"/>
          <w:b/>
          <w:color w:val="FF0000"/>
          <w:sz w:val="36"/>
        </w:rPr>
        <w:t xml:space="preserve"> </w:t>
      </w:r>
      <w:r w:rsidRPr="00B87B90">
        <w:rPr>
          <w:rFonts w:eastAsia="微软雅黑"/>
          <w:b/>
          <w:color w:val="FF0000"/>
          <w:sz w:val="36"/>
        </w:rPr>
        <w:t>执</w:t>
      </w:r>
    </w:p>
    <w:p w:rsidR="00605F82" w:rsidRPr="00B87B90" w:rsidRDefault="00605F82" w:rsidP="007C29EA">
      <w:pPr>
        <w:widowControl/>
        <w:tabs>
          <w:tab w:val="left" w:pos="668"/>
        </w:tabs>
        <w:adjustRightInd w:val="0"/>
        <w:snapToGrid w:val="0"/>
        <w:ind w:left="108"/>
        <w:jc w:val="center"/>
        <w:rPr>
          <w:rFonts w:eastAsia="微软雅黑"/>
          <w:color w:val="FF0000"/>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709"/>
        <w:gridCol w:w="1354"/>
        <w:gridCol w:w="2186"/>
        <w:gridCol w:w="1333"/>
        <w:gridCol w:w="2795"/>
      </w:tblGrid>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000BFD" w:rsidRDefault="00000BFD" w:rsidP="008F1CC9">
            <w:pPr>
              <w:tabs>
                <w:tab w:val="left" w:pos="1080"/>
              </w:tabs>
              <w:spacing w:line="340" w:lineRule="exact"/>
              <w:jc w:val="center"/>
              <w:rPr>
                <w:rFonts w:eastAsia="微软雅黑"/>
                <w:b/>
                <w:kern w:val="10"/>
                <w:sz w:val="24"/>
              </w:rPr>
            </w:pPr>
          </w:p>
        </w:tc>
        <w:tc>
          <w:tcPr>
            <w:tcW w:w="133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3" w:type="dxa"/>
            <w:vAlign w:val="center"/>
          </w:tcPr>
          <w:p w:rsidR="00000BFD" w:rsidRDefault="00000BFD" w:rsidP="008F1CC9">
            <w:pPr>
              <w:tabs>
                <w:tab w:val="left" w:pos="1080"/>
              </w:tabs>
              <w:spacing w:line="340" w:lineRule="exact"/>
              <w:jc w:val="center"/>
              <w:rPr>
                <w:rFonts w:eastAsia="微软雅黑"/>
                <w:b/>
                <w:kern w:val="10"/>
                <w:sz w:val="24"/>
              </w:rPr>
            </w:pPr>
          </w:p>
        </w:tc>
      </w:tr>
      <w:tr w:rsidR="00000BFD" w:rsidTr="007D29C2">
        <w:trPr>
          <w:trHeight w:hRule="exact" w:val="418"/>
          <w:jc w:val="center"/>
        </w:trPr>
        <w:tc>
          <w:tcPr>
            <w:tcW w:w="3457"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公司名称：</w:t>
            </w:r>
          </w:p>
        </w:tc>
      </w:tr>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性别</w:t>
            </w:r>
          </w:p>
        </w:tc>
        <w:tc>
          <w:tcPr>
            <w:tcW w:w="135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7" w:type="dxa"/>
            <w:gridSpan w:val="2"/>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0BFD" w:rsidTr="007D29C2">
        <w:trPr>
          <w:trHeight w:hRule="exact" w:val="415"/>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36"/>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7D29C2">
        <w:trPr>
          <w:trHeight w:hRule="exact" w:val="1539"/>
          <w:jc w:val="center"/>
        </w:trPr>
        <w:tc>
          <w:tcPr>
            <w:tcW w:w="5643" w:type="dxa"/>
            <w:gridSpan w:val="4"/>
            <w:vAlign w:val="center"/>
          </w:tcPr>
          <w:p w:rsidR="00000BFD" w:rsidRPr="003E35CB" w:rsidRDefault="00000BFD" w:rsidP="008F1CC9">
            <w:pPr>
              <w:adjustRightInd w:val="0"/>
              <w:snapToGrid w:val="0"/>
              <w:rPr>
                <w:rFonts w:eastAsia="微软雅黑"/>
                <w:b/>
                <w:sz w:val="22"/>
              </w:rPr>
            </w:pPr>
            <w:r w:rsidRPr="003E35CB">
              <w:rPr>
                <w:rFonts w:eastAsia="微软雅黑" w:hint="eastAsia"/>
                <w:b/>
                <w:sz w:val="22"/>
              </w:rPr>
              <w:t>帕迪公司账户信息：</w:t>
            </w:r>
          </w:p>
          <w:p w:rsidR="00000BFD" w:rsidRPr="004D2B40" w:rsidRDefault="00000BFD" w:rsidP="008F1CC9">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0BFD" w:rsidRPr="004D2B40" w:rsidRDefault="00000BFD" w:rsidP="008F1CC9">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0BFD" w:rsidRPr="00C81E8C" w:rsidRDefault="00000BFD" w:rsidP="008F1CC9">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127" w:type="dxa"/>
            <w:gridSpan w:val="2"/>
            <w:vAlign w:val="center"/>
          </w:tcPr>
          <w:p w:rsidR="00000BFD" w:rsidRDefault="00000BFD" w:rsidP="008F1CC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0BFD" w:rsidRPr="003E35CB" w:rsidRDefault="00000BFD" w:rsidP="008F1CC9">
            <w:pPr>
              <w:shd w:val="solid" w:color="FFFFFF" w:fill="auto"/>
              <w:autoSpaceDN w:val="0"/>
              <w:spacing w:line="360" w:lineRule="exact"/>
              <w:textAlignment w:val="baseline"/>
              <w:rPr>
                <w:rFonts w:eastAsia="微软雅黑"/>
                <w:szCs w:val="21"/>
              </w:rPr>
            </w:pPr>
          </w:p>
        </w:tc>
      </w:tr>
    </w:tbl>
    <w:p w:rsidR="006A712C" w:rsidRDefault="006A712C" w:rsidP="007D29C2">
      <w:pPr>
        <w:widowControl/>
        <w:tabs>
          <w:tab w:val="left" w:pos="475"/>
        </w:tabs>
        <w:adjustRightInd w:val="0"/>
        <w:snapToGrid w:val="0"/>
        <w:jc w:val="left"/>
        <w:rPr>
          <w:rFonts w:ascii="微软雅黑" w:eastAsia="微软雅黑" w:hAnsi="微软雅黑" w:cs="宋体"/>
          <w:kern w:val="0"/>
          <w:sz w:val="20"/>
          <w:szCs w:val="20"/>
        </w:rPr>
      </w:pPr>
    </w:p>
    <w:sectPr w:rsidR="006A712C"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E8" w:rsidRDefault="009079E8">
      <w:r>
        <w:separator/>
      </w:r>
    </w:p>
  </w:endnote>
  <w:endnote w:type="continuationSeparator" w:id="0">
    <w:p w:rsidR="009079E8" w:rsidRDefault="0090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5DA6"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E8" w:rsidRDefault="009079E8">
      <w:r>
        <w:separator/>
      </w:r>
    </w:p>
  </w:footnote>
  <w:footnote w:type="continuationSeparator" w:id="0">
    <w:p w:rsidR="009079E8" w:rsidRDefault="0090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56641B0"/>
    <w:multiLevelType w:val="hybridMultilevel"/>
    <w:tmpl w:val="776C0F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E0684E"/>
    <w:multiLevelType w:val="hybridMultilevel"/>
    <w:tmpl w:val="870E92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762CD6"/>
    <w:multiLevelType w:val="hybridMultilevel"/>
    <w:tmpl w:val="AFC0FF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nsid w:val="1053678B"/>
    <w:multiLevelType w:val="hybridMultilevel"/>
    <w:tmpl w:val="1C706D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1423256"/>
    <w:multiLevelType w:val="hybridMultilevel"/>
    <w:tmpl w:val="A80C76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895AAB"/>
    <w:multiLevelType w:val="hybridMultilevel"/>
    <w:tmpl w:val="474C88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1783BE8"/>
    <w:multiLevelType w:val="hybridMultilevel"/>
    <w:tmpl w:val="ED06A62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232171A3"/>
    <w:multiLevelType w:val="hybridMultilevel"/>
    <w:tmpl w:val="AEA207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5">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155B54"/>
    <w:multiLevelType w:val="hybridMultilevel"/>
    <w:tmpl w:val="FF945F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C31A90"/>
    <w:multiLevelType w:val="hybridMultilevel"/>
    <w:tmpl w:val="8F24BB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81A53AB"/>
    <w:multiLevelType w:val="hybridMultilevel"/>
    <w:tmpl w:val="098C84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A530821"/>
    <w:multiLevelType w:val="hybridMultilevel"/>
    <w:tmpl w:val="F5F45C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4">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6">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DAE7F4E"/>
    <w:multiLevelType w:val="hybridMultilevel"/>
    <w:tmpl w:val="7234CC8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E5E4A90"/>
    <w:multiLevelType w:val="hybridMultilevel"/>
    <w:tmpl w:val="749E2A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2">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3">
    <w:nsid w:val="76A31DCA"/>
    <w:multiLevelType w:val="hybridMultilevel"/>
    <w:tmpl w:val="004EE9C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9226442"/>
    <w:multiLevelType w:val="hybridMultilevel"/>
    <w:tmpl w:val="00E6D69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9EC1440"/>
    <w:multiLevelType w:val="hybridMultilevel"/>
    <w:tmpl w:val="03E851B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D39497C"/>
    <w:multiLevelType w:val="hybridMultilevel"/>
    <w:tmpl w:val="A956DA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DC53858"/>
    <w:multiLevelType w:val="hybridMultilevel"/>
    <w:tmpl w:val="ABE646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1">
    <w:nsid w:val="7E7B141D"/>
    <w:multiLevelType w:val="hybridMultilevel"/>
    <w:tmpl w:val="A718D4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35"/>
  </w:num>
  <w:num w:numId="3">
    <w:abstractNumId w:val="27"/>
  </w:num>
  <w:num w:numId="4">
    <w:abstractNumId w:val="14"/>
  </w:num>
  <w:num w:numId="5">
    <w:abstractNumId w:val="1"/>
    <w:lvlOverride w:ilvl="0">
      <w:startOverride w:val="1"/>
    </w:lvlOverride>
  </w:num>
  <w:num w:numId="6">
    <w:abstractNumId w:val="1"/>
    <w:lvlOverride w:ilvl="1">
      <w:startOverride w:val="1"/>
    </w:lvlOverride>
  </w:num>
  <w:num w:numId="7">
    <w:abstractNumId w:val="1"/>
  </w:num>
  <w:num w:numId="8">
    <w:abstractNumId w:val="5"/>
  </w:num>
  <w:num w:numId="9">
    <w:abstractNumId w:val="40"/>
  </w:num>
  <w:num w:numId="10">
    <w:abstractNumId w:val="15"/>
  </w:num>
  <w:num w:numId="11">
    <w:abstractNumId w:val="31"/>
  </w:num>
  <w:num w:numId="12">
    <w:abstractNumId w:val="7"/>
  </w:num>
  <w:num w:numId="13">
    <w:abstractNumId w:val="23"/>
  </w:num>
  <w:num w:numId="14">
    <w:abstractNumId w:val="32"/>
  </w:num>
  <w:num w:numId="15">
    <w:abstractNumId w:val="19"/>
  </w:num>
  <w:num w:numId="16">
    <w:abstractNumId w:val="25"/>
  </w:num>
  <w:num w:numId="17">
    <w:abstractNumId w:val="42"/>
  </w:num>
  <w:num w:numId="18">
    <w:abstractNumId w:val="2"/>
  </w:num>
  <w:num w:numId="19">
    <w:abstractNumId w:val="0"/>
  </w:num>
  <w:num w:numId="20">
    <w:abstractNumId w:val="34"/>
  </w:num>
  <w:num w:numId="21">
    <w:abstractNumId w:val="16"/>
  </w:num>
  <w:num w:numId="22">
    <w:abstractNumId w:val="26"/>
  </w:num>
  <w:num w:numId="23">
    <w:abstractNumId w:val="24"/>
  </w:num>
  <w:num w:numId="24">
    <w:abstractNumId w:val="11"/>
  </w:num>
  <w:num w:numId="25">
    <w:abstractNumId w:val="28"/>
  </w:num>
  <w:num w:numId="26">
    <w:abstractNumId w:val="4"/>
  </w:num>
  <w:num w:numId="27">
    <w:abstractNumId w:val="12"/>
  </w:num>
  <w:num w:numId="28">
    <w:abstractNumId w:val="41"/>
  </w:num>
  <w:num w:numId="29">
    <w:abstractNumId w:val="36"/>
  </w:num>
  <w:num w:numId="30">
    <w:abstractNumId w:val="22"/>
  </w:num>
  <w:num w:numId="31">
    <w:abstractNumId w:val="30"/>
  </w:num>
  <w:num w:numId="32">
    <w:abstractNumId w:val="10"/>
  </w:num>
  <w:num w:numId="33">
    <w:abstractNumId w:val="33"/>
  </w:num>
  <w:num w:numId="34">
    <w:abstractNumId w:val="8"/>
  </w:num>
  <w:num w:numId="35">
    <w:abstractNumId w:val="38"/>
  </w:num>
  <w:num w:numId="36">
    <w:abstractNumId w:val="3"/>
  </w:num>
  <w:num w:numId="37">
    <w:abstractNumId w:val="13"/>
  </w:num>
  <w:num w:numId="38">
    <w:abstractNumId w:val="6"/>
  </w:num>
  <w:num w:numId="39">
    <w:abstractNumId w:val="20"/>
  </w:num>
  <w:num w:numId="40">
    <w:abstractNumId w:val="29"/>
  </w:num>
  <w:num w:numId="41">
    <w:abstractNumId w:val="9"/>
  </w:num>
  <w:num w:numId="42">
    <w:abstractNumId w:val="37"/>
  </w:num>
  <w:num w:numId="43">
    <w:abstractNumId w:val="21"/>
  </w:num>
  <w:num w:numId="44">
    <w:abstractNumId w:val="18"/>
  </w:num>
  <w:num w:numId="45">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3E03"/>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070D"/>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258A0"/>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5F82"/>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5558"/>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29EA"/>
    <w:rsid w:val="007C3F5B"/>
    <w:rsid w:val="007C4B64"/>
    <w:rsid w:val="007C511D"/>
    <w:rsid w:val="007D2493"/>
    <w:rsid w:val="007D29C2"/>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4745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079E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1CBC"/>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43AB"/>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224A"/>
    <w:rsid w:val="00A340F2"/>
    <w:rsid w:val="00A41AF1"/>
    <w:rsid w:val="00A42C59"/>
    <w:rsid w:val="00A43974"/>
    <w:rsid w:val="00A44EFE"/>
    <w:rsid w:val="00A50634"/>
    <w:rsid w:val="00A50A41"/>
    <w:rsid w:val="00A50A6D"/>
    <w:rsid w:val="00A53B00"/>
    <w:rsid w:val="00A573F0"/>
    <w:rsid w:val="00A57569"/>
    <w:rsid w:val="00A60903"/>
    <w:rsid w:val="00A618A3"/>
    <w:rsid w:val="00A6314D"/>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87B90"/>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5E9"/>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18BE"/>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10325325">
      <w:bodyDiv w:val="1"/>
      <w:marLeft w:val="0"/>
      <w:marRight w:val="0"/>
      <w:marTop w:val="0"/>
      <w:marBottom w:val="0"/>
      <w:divBdr>
        <w:top w:val="none" w:sz="0" w:space="0" w:color="auto"/>
        <w:left w:val="none" w:sz="0" w:space="0" w:color="auto"/>
        <w:bottom w:val="none" w:sz="0" w:space="0" w:color="auto"/>
        <w:right w:val="none" w:sz="0" w:space="0" w:color="auto"/>
      </w:divBdr>
    </w:div>
    <w:div w:id="166601747">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67230377">
      <w:bodyDiv w:val="1"/>
      <w:marLeft w:val="0"/>
      <w:marRight w:val="0"/>
      <w:marTop w:val="0"/>
      <w:marBottom w:val="0"/>
      <w:divBdr>
        <w:top w:val="none" w:sz="0" w:space="0" w:color="auto"/>
        <w:left w:val="none" w:sz="0" w:space="0" w:color="auto"/>
        <w:bottom w:val="none" w:sz="0" w:space="0" w:color="auto"/>
        <w:right w:val="none" w:sz="0" w:space="0" w:color="auto"/>
      </w:divBdr>
    </w:div>
    <w:div w:id="598561270">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4287816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39953500">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749884630">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1948460598">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796D-CF59-4894-AC40-B0D6C4EB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cp:lastModifiedBy>
  <cp:revision>175</cp:revision>
  <cp:lastPrinted>2007-07-25T08:25:00Z</cp:lastPrinted>
  <dcterms:created xsi:type="dcterms:W3CDTF">2014-12-01T08:48:00Z</dcterms:created>
  <dcterms:modified xsi:type="dcterms:W3CDTF">2017-11-09T03:05:00Z</dcterms:modified>
</cp:coreProperties>
</file>