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C5701" w14:textId="77777777" w:rsidR="00552A38" w:rsidRPr="00552A38" w:rsidRDefault="00552A38" w:rsidP="00552A38">
      <w:pPr>
        <w:spacing w:line="800" w:lineRule="exact"/>
        <w:jc w:val="center"/>
        <w:rPr>
          <w:rFonts w:ascii="方正兰亭粗黑简体" w:eastAsia="方正兰亭粗黑简体" w:hAnsi="造字工房力黑（非商用）常规体"/>
          <w:b/>
          <w:color w:val="C00000"/>
          <w:sz w:val="72"/>
          <w:szCs w:val="72"/>
        </w:rPr>
      </w:pPr>
      <w:r w:rsidRPr="00552A38">
        <w:rPr>
          <w:rFonts w:ascii="方正兰亭粗黑简体" w:eastAsia="方正兰亭粗黑简体" w:hAnsi="造字工房力黑（非商用）常规体" w:hint="eastAsia"/>
          <w:b/>
          <w:color w:val="C00000"/>
          <w:sz w:val="72"/>
          <w:szCs w:val="72"/>
        </w:rPr>
        <w:t>向华为学习</w:t>
      </w:r>
    </w:p>
    <w:p w14:paraId="329F500B" w14:textId="6D2E332A" w:rsidR="00552A38" w:rsidRPr="00552A38" w:rsidRDefault="00552A38" w:rsidP="00552A38">
      <w:pPr>
        <w:spacing w:line="600" w:lineRule="exact"/>
        <w:jc w:val="center"/>
        <w:rPr>
          <w:rFonts w:ascii="方正兰亭粗黑简体" w:eastAsia="方正兰亭粗黑简体" w:hAnsi="造字工房力黑（非商用）常规体"/>
          <w:color w:val="C00000"/>
          <w:sz w:val="52"/>
        </w:rPr>
      </w:pPr>
      <w:r w:rsidRPr="00552A38">
        <w:rPr>
          <w:rFonts w:ascii="方正兰亭粗黑简体" w:eastAsia="方正兰亭粗黑简体" w:hAnsi="造字工房力黑（非商用）常规体" w:hint="eastAsia"/>
          <w:color w:val="C00000"/>
          <w:sz w:val="52"/>
        </w:rPr>
        <w:t>支撑战略的责任中心划分与全面预算管理</w:t>
      </w:r>
    </w:p>
    <w:p w14:paraId="21D0A243" w14:textId="77777777" w:rsidR="00552A38" w:rsidRDefault="00552A38" w:rsidP="00552A38">
      <w:pPr>
        <w:spacing w:line="400" w:lineRule="exact"/>
        <w:jc w:val="center"/>
        <w:rPr>
          <w:rFonts w:ascii="微软雅黑" w:eastAsia="微软雅黑" w:hAnsi="微软雅黑" w:cs="微软雅黑"/>
          <w:b/>
          <w:bCs/>
          <w:color w:val="404040" w:themeColor="text1" w:themeTint="BF"/>
          <w:sz w:val="24"/>
          <w:szCs w:val="24"/>
        </w:rPr>
      </w:pPr>
    </w:p>
    <w:p w14:paraId="156CC0B5" w14:textId="559A76E9" w:rsidR="00552A38" w:rsidRDefault="00552A38" w:rsidP="00552A38">
      <w:pPr>
        <w:spacing w:line="400" w:lineRule="exact"/>
        <w:jc w:val="center"/>
        <w:rPr>
          <w:rFonts w:ascii="微软雅黑" w:eastAsia="微软雅黑" w:hAnsi="微软雅黑" w:cs="微软雅黑"/>
          <w:color w:val="404040" w:themeColor="text1" w:themeTint="BF"/>
          <w:sz w:val="24"/>
          <w:szCs w:val="24"/>
        </w:rPr>
      </w:pPr>
      <w:r>
        <w:rPr>
          <w:rFonts w:ascii="微软雅黑" w:eastAsia="微软雅黑" w:hAnsi="微软雅黑" w:cs="微软雅黑" w:hint="eastAsia"/>
          <w:b/>
          <w:bCs/>
          <w:color w:val="404040" w:themeColor="text1" w:themeTint="BF"/>
          <w:sz w:val="24"/>
          <w:szCs w:val="24"/>
        </w:rPr>
        <w:t>适合对象：</w:t>
      </w:r>
      <w:r>
        <w:rPr>
          <w:rFonts w:ascii="微软雅黑" w:eastAsia="微软雅黑" w:hAnsi="微软雅黑" w:cs="微软雅黑" w:hint="eastAsia"/>
          <w:color w:val="404040" w:themeColor="text1" w:themeTint="BF"/>
          <w:sz w:val="24"/>
          <w:szCs w:val="24"/>
        </w:rPr>
        <w:t>企业董事长、总裁、业务高管</w:t>
      </w:r>
      <w:r>
        <w:rPr>
          <w:rFonts w:ascii="微软雅黑" w:eastAsia="微软雅黑" w:hAnsi="微软雅黑" w:cs="微软雅黑"/>
          <w:color w:val="404040" w:themeColor="text1" w:themeTint="BF"/>
          <w:sz w:val="24"/>
          <w:szCs w:val="24"/>
        </w:rPr>
        <w:t>、</w:t>
      </w:r>
      <w:r>
        <w:rPr>
          <w:rFonts w:ascii="微软雅黑" w:eastAsia="微软雅黑" w:hAnsi="微软雅黑" w:cs="微软雅黑" w:hint="eastAsia"/>
          <w:color w:val="404040" w:themeColor="text1" w:themeTint="BF"/>
          <w:sz w:val="24"/>
          <w:szCs w:val="24"/>
        </w:rPr>
        <w:t>财务总监等</w:t>
      </w:r>
    </w:p>
    <w:p w14:paraId="0829A31E" w14:textId="77777777" w:rsidR="00552A38" w:rsidRDefault="00552A38" w:rsidP="00552A38">
      <w:pPr>
        <w:widowControl/>
        <w:spacing w:line="400" w:lineRule="exact"/>
        <w:jc w:val="center"/>
        <w:rPr>
          <w:rFonts w:ascii="微软雅黑" w:eastAsia="微软雅黑" w:hAnsi="微软雅黑" w:cs="微软雅黑"/>
          <w:color w:val="404040" w:themeColor="text1" w:themeTint="BF"/>
          <w:sz w:val="24"/>
          <w:szCs w:val="24"/>
        </w:rPr>
      </w:pPr>
      <w:r>
        <w:rPr>
          <w:rFonts w:ascii="微软雅黑" w:eastAsia="微软雅黑" w:hAnsi="微软雅黑" w:cs="微软雅黑" w:hint="eastAsia"/>
          <w:b/>
          <w:bCs/>
          <w:color w:val="404040" w:themeColor="text1" w:themeTint="BF"/>
          <w:sz w:val="24"/>
          <w:szCs w:val="24"/>
        </w:rPr>
        <w:t>分享嘉宾：</w:t>
      </w:r>
      <w:r>
        <w:rPr>
          <w:rFonts w:ascii="微软雅黑" w:eastAsia="微软雅黑" w:hAnsi="微软雅黑" w:cs="微软雅黑" w:hint="eastAsia"/>
          <w:color w:val="404040" w:themeColor="text1" w:themeTint="BF"/>
          <w:sz w:val="24"/>
          <w:szCs w:val="24"/>
        </w:rPr>
        <w:t>马良 华为公司</w:t>
      </w:r>
      <w:r>
        <w:rPr>
          <w:rFonts w:ascii="微软雅黑" w:eastAsia="微软雅黑" w:hAnsi="微软雅黑" w:cs="微软雅黑"/>
          <w:color w:val="404040" w:themeColor="text1" w:themeTint="BF"/>
          <w:sz w:val="24"/>
          <w:szCs w:val="24"/>
        </w:rPr>
        <w:t>前财经</w:t>
      </w:r>
      <w:r>
        <w:rPr>
          <w:rFonts w:ascii="微软雅黑" w:eastAsia="微软雅黑" w:hAnsi="微软雅黑" w:cs="微软雅黑" w:hint="eastAsia"/>
          <w:color w:val="404040" w:themeColor="text1" w:themeTint="BF"/>
          <w:sz w:val="24"/>
          <w:szCs w:val="24"/>
        </w:rPr>
        <w:t>高管、</w:t>
      </w:r>
      <w:r>
        <w:rPr>
          <w:rFonts w:ascii="微软雅黑" w:eastAsia="微软雅黑" w:hAnsi="微软雅黑" w:cs="微软雅黑"/>
          <w:color w:val="404040" w:themeColor="text1" w:themeTint="BF"/>
          <w:sz w:val="24"/>
          <w:szCs w:val="24"/>
        </w:rPr>
        <w:t>副总裁</w:t>
      </w:r>
    </w:p>
    <w:p w14:paraId="406374B0" w14:textId="78E2A6FB" w:rsidR="00552A38" w:rsidRDefault="00552A38" w:rsidP="00552A38">
      <w:pPr>
        <w:widowControl/>
        <w:spacing w:line="400" w:lineRule="exact"/>
        <w:jc w:val="center"/>
        <w:rPr>
          <w:rFonts w:ascii="微软雅黑" w:eastAsia="微软雅黑" w:hAnsi="微软雅黑" w:cs="微软雅黑"/>
          <w:color w:val="404040" w:themeColor="text1" w:themeTint="BF"/>
          <w:sz w:val="24"/>
          <w:szCs w:val="24"/>
        </w:rPr>
      </w:pPr>
      <w:r>
        <w:rPr>
          <w:rFonts w:ascii="微软雅黑" w:eastAsia="微软雅黑" w:hAnsi="微软雅黑" w:cs="微软雅黑" w:hint="eastAsia"/>
          <w:b/>
          <w:bCs/>
          <w:color w:val="404040" w:themeColor="text1" w:themeTint="BF"/>
          <w:sz w:val="24"/>
          <w:szCs w:val="24"/>
        </w:rPr>
        <w:t>学习费用：</w:t>
      </w:r>
      <w:r>
        <w:rPr>
          <w:rFonts w:ascii="微软雅黑" w:eastAsia="微软雅黑" w:hAnsi="微软雅黑" w:cs="微软雅黑"/>
          <w:color w:val="404040" w:themeColor="text1" w:themeTint="BF"/>
          <w:sz w:val="24"/>
          <w:szCs w:val="24"/>
        </w:rPr>
        <w:t>12800</w:t>
      </w:r>
      <w:r>
        <w:rPr>
          <w:rFonts w:ascii="微软雅黑" w:eastAsia="微软雅黑" w:hAnsi="微软雅黑" w:cs="微软雅黑" w:hint="eastAsia"/>
          <w:color w:val="404040" w:themeColor="text1" w:themeTint="BF"/>
          <w:sz w:val="24"/>
          <w:szCs w:val="24"/>
        </w:rPr>
        <w:t>元/人</w:t>
      </w:r>
    </w:p>
    <w:p w14:paraId="2A2CF068" w14:textId="20F955A3" w:rsidR="00AB2F50" w:rsidRDefault="00AB2F50" w:rsidP="00552A38">
      <w:pPr>
        <w:widowControl/>
        <w:spacing w:line="400" w:lineRule="exact"/>
        <w:jc w:val="center"/>
        <w:rPr>
          <w:rFonts w:ascii="微软雅黑" w:eastAsia="微软雅黑" w:hAnsi="微软雅黑" w:cs="微软雅黑"/>
          <w:color w:val="404040" w:themeColor="text1" w:themeTint="BF"/>
          <w:sz w:val="24"/>
          <w:szCs w:val="24"/>
        </w:rPr>
      </w:pPr>
    </w:p>
    <w:p w14:paraId="148A96BA" w14:textId="77777777" w:rsidR="00AB2F50" w:rsidRDefault="00AB2F50" w:rsidP="00AB2F50">
      <w:pPr>
        <w:spacing w:line="360" w:lineRule="exact"/>
        <w:jc w:val="center"/>
        <w:rPr>
          <w:rFonts w:ascii="微软雅黑" w:eastAsia="微软雅黑" w:hAnsi="微软雅黑" w:cs="微软雅黑"/>
          <w:color w:val="0D0D0D" w:themeColor="text1" w:themeTint="F2"/>
          <w:sz w:val="24"/>
          <w:szCs w:val="24"/>
        </w:rPr>
      </w:pPr>
      <w:r>
        <w:rPr>
          <w:rFonts w:ascii="微软雅黑" w:eastAsia="微软雅黑" w:hAnsi="微软雅黑" w:cs="微软雅黑" w:hint="eastAsia"/>
          <w:color w:val="0D0D0D" w:themeColor="text1" w:themeTint="F2"/>
          <w:sz w:val="24"/>
          <w:szCs w:val="24"/>
        </w:rPr>
        <w:t>1月19-20日/上海 | 4月27-28日/上海 | 6月22-23日/杭州</w:t>
      </w:r>
    </w:p>
    <w:p w14:paraId="23C52355" w14:textId="77777777" w:rsidR="00AB2F50" w:rsidRDefault="00AB2F50" w:rsidP="00AB2F50">
      <w:pPr>
        <w:spacing w:line="360" w:lineRule="exact"/>
        <w:jc w:val="center"/>
        <w:rPr>
          <w:rFonts w:ascii="微软雅黑" w:eastAsia="微软雅黑" w:hAnsi="微软雅黑" w:cs="微软雅黑" w:hint="eastAsia"/>
          <w:color w:val="0D0D0D" w:themeColor="text1" w:themeTint="F2"/>
          <w:sz w:val="24"/>
          <w:szCs w:val="24"/>
        </w:rPr>
      </w:pPr>
      <w:r>
        <w:rPr>
          <w:rFonts w:ascii="微软雅黑" w:eastAsia="微软雅黑" w:hAnsi="微软雅黑" w:cs="微软雅黑" w:hint="eastAsia"/>
          <w:color w:val="0D0D0D" w:themeColor="text1" w:themeTint="F2"/>
          <w:sz w:val="24"/>
          <w:szCs w:val="24"/>
        </w:rPr>
        <w:t>8月24-25日/厦门 | 10月26-27日/深圳</w:t>
      </w:r>
    </w:p>
    <w:p w14:paraId="18572296" w14:textId="77777777" w:rsidR="00AB2F50" w:rsidRDefault="00AB2F50" w:rsidP="00552A38">
      <w:pPr>
        <w:widowControl/>
        <w:spacing w:line="400" w:lineRule="exact"/>
        <w:jc w:val="center"/>
        <w:rPr>
          <w:rFonts w:ascii="微软雅黑" w:eastAsia="微软雅黑" w:hAnsi="微软雅黑" w:cs="微软雅黑" w:hint="eastAsia"/>
          <w:color w:val="404040" w:themeColor="text1" w:themeTint="BF"/>
          <w:sz w:val="24"/>
          <w:szCs w:val="24"/>
        </w:rPr>
      </w:pPr>
      <w:bookmarkStart w:id="0" w:name="_GoBack"/>
      <w:bookmarkEnd w:id="0"/>
    </w:p>
    <w:p w14:paraId="2691E0B2" w14:textId="20B2A61A" w:rsidR="0017186A" w:rsidRDefault="0017186A">
      <w:pPr>
        <w:spacing w:line="280" w:lineRule="exact"/>
        <w:rPr>
          <w:rFonts w:ascii="微软雅黑" w:eastAsia="微软雅黑" w:hAnsi="微软雅黑" w:cs="微软雅黑"/>
          <w:b/>
          <w:bCs/>
          <w:color w:val="0070C0"/>
          <w:sz w:val="20"/>
          <w:szCs w:val="20"/>
        </w:rPr>
      </w:pPr>
    </w:p>
    <w:p w14:paraId="2E8F9C0F" w14:textId="77777777" w:rsidR="00552A38" w:rsidRDefault="00552A38" w:rsidP="00552A38">
      <w:pPr>
        <w:pStyle w:val="4"/>
        <w:spacing w:line="360" w:lineRule="exact"/>
        <w:ind w:firstLine="480"/>
        <w:rPr>
          <w:rFonts w:ascii="微软雅黑" w:eastAsia="微软雅黑" w:hAnsi="微软雅黑" w:cs="微软雅黑"/>
          <w:b/>
          <w:bCs/>
          <w:i/>
          <w:iCs/>
          <w:color w:val="2E74B5" w:themeColor="accent1" w:themeShade="BF"/>
          <w:sz w:val="24"/>
          <w:szCs w:val="20"/>
        </w:rPr>
      </w:pPr>
      <w:r>
        <w:rPr>
          <w:rFonts w:ascii="微软雅黑" w:eastAsia="微软雅黑" w:hAnsi="微软雅黑" w:cs="微软雅黑" w:hint="eastAsia"/>
          <w:b/>
          <w:bCs/>
          <w:i/>
          <w:iCs/>
          <w:color w:val="2E74B5" w:themeColor="accent1" w:themeShade="BF"/>
          <w:sz w:val="24"/>
          <w:szCs w:val="20"/>
        </w:rPr>
        <w:t>“集成财务转型给我们的最大收益是，支持我们这种以前线指挥后线作战的方式</w:t>
      </w:r>
    </w:p>
    <w:p w14:paraId="5662A4D8" w14:textId="77777777" w:rsidR="00552A38" w:rsidRDefault="00552A38" w:rsidP="00552A38">
      <w:pPr>
        <w:pStyle w:val="4"/>
        <w:spacing w:line="360" w:lineRule="exact"/>
        <w:ind w:firstLineChars="0" w:firstLine="0"/>
        <w:rPr>
          <w:rFonts w:ascii="微软雅黑" w:eastAsia="微软雅黑" w:hAnsi="微软雅黑" w:cs="微软雅黑"/>
          <w:b/>
          <w:bCs/>
          <w:i/>
          <w:iCs/>
          <w:color w:val="2E74B5" w:themeColor="accent1" w:themeShade="BF"/>
          <w:sz w:val="24"/>
          <w:szCs w:val="20"/>
        </w:rPr>
      </w:pPr>
      <w:r>
        <w:rPr>
          <w:rFonts w:ascii="微软雅黑" w:eastAsia="微软雅黑" w:hAnsi="微软雅黑" w:cs="微软雅黑" w:hint="eastAsia"/>
          <w:b/>
          <w:bCs/>
          <w:i/>
          <w:iCs/>
          <w:color w:val="2E74B5" w:themeColor="accent1" w:themeShade="BF"/>
          <w:sz w:val="24"/>
          <w:szCs w:val="20"/>
        </w:rPr>
        <w:t>成为了可能！”</w:t>
      </w:r>
    </w:p>
    <w:p w14:paraId="215AD18E" w14:textId="77777777" w:rsidR="00552A38" w:rsidRDefault="00552A38" w:rsidP="00552A38">
      <w:pPr>
        <w:pStyle w:val="4"/>
        <w:spacing w:line="360" w:lineRule="exact"/>
        <w:ind w:left="405" w:firstLineChars="0" w:firstLine="0"/>
        <w:jc w:val="right"/>
        <w:rPr>
          <w:rFonts w:ascii="微软雅黑" w:eastAsia="微软雅黑" w:hAnsi="微软雅黑" w:cs="微软雅黑"/>
          <w:color w:val="595959" w:themeColor="text1" w:themeTint="A6"/>
          <w:sz w:val="24"/>
          <w:szCs w:val="20"/>
        </w:rPr>
      </w:pPr>
      <w:r>
        <w:rPr>
          <w:rFonts w:ascii="微软雅黑" w:eastAsia="微软雅黑" w:hAnsi="微软雅黑" w:cs="微软雅黑" w:hint="eastAsia"/>
          <w:color w:val="595959" w:themeColor="text1" w:themeTint="A6"/>
          <w:sz w:val="24"/>
          <w:szCs w:val="20"/>
        </w:rPr>
        <w:t xml:space="preserve">                        ——华为公司总裁 任正非 </w:t>
      </w:r>
    </w:p>
    <w:p w14:paraId="009B07D2" w14:textId="77777777" w:rsidR="00552A38" w:rsidRDefault="00552A38">
      <w:pPr>
        <w:spacing w:line="280" w:lineRule="exact"/>
        <w:rPr>
          <w:rFonts w:ascii="微软雅黑" w:eastAsia="微软雅黑" w:hAnsi="微软雅黑" w:cs="微软雅黑" w:hint="eastAsia"/>
          <w:b/>
          <w:bCs/>
          <w:color w:val="0070C0"/>
          <w:sz w:val="20"/>
          <w:szCs w:val="20"/>
        </w:rPr>
      </w:pPr>
    </w:p>
    <w:p w14:paraId="6826EF17" w14:textId="77777777" w:rsidR="0017186A" w:rsidRDefault="0017186A">
      <w:pPr>
        <w:spacing w:line="280" w:lineRule="exact"/>
        <w:rPr>
          <w:rFonts w:ascii="微软雅黑" w:eastAsia="微软雅黑" w:hAnsi="微软雅黑" w:cs="微软雅黑"/>
          <w:b/>
          <w:bCs/>
          <w:color w:val="0070C0"/>
          <w:sz w:val="20"/>
          <w:szCs w:val="20"/>
        </w:rPr>
      </w:pPr>
    </w:p>
    <w:p w14:paraId="38AF22F1" w14:textId="77777777" w:rsidR="0017186A" w:rsidRDefault="00DB2009">
      <w:pPr>
        <w:spacing w:line="400" w:lineRule="exact"/>
        <w:rPr>
          <w:rFonts w:ascii="微软雅黑" w:eastAsia="微软雅黑" w:hAnsi="微软雅黑" w:cs="微软雅黑"/>
          <w:color w:val="C00000"/>
          <w:sz w:val="28"/>
          <w:szCs w:val="28"/>
        </w:rPr>
      </w:pPr>
      <w:r>
        <w:rPr>
          <w:rFonts w:ascii="微软雅黑" w:eastAsia="微软雅黑" w:hAnsi="微软雅黑" w:cs="微软雅黑" w:hint="eastAsia"/>
          <w:color w:val="C00000"/>
          <w:sz w:val="28"/>
          <w:szCs w:val="28"/>
        </w:rPr>
        <w:t>针对问题&gt;&gt;</w:t>
      </w:r>
    </w:p>
    <w:p w14:paraId="31DC4C5F" w14:textId="77777777" w:rsidR="0017186A" w:rsidRDefault="00DB2009">
      <w:pPr>
        <w:pStyle w:val="4"/>
        <w:numPr>
          <w:ilvl w:val="0"/>
          <w:numId w:val="3"/>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业务不清晰如何通过财经进行科学管理支撑；</w:t>
      </w:r>
    </w:p>
    <w:p w14:paraId="6B6AA3AA" w14:textId="77777777" w:rsidR="0017186A" w:rsidRDefault="00DB2009">
      <w:pPr>
        <w:pStyle w:val="4"/>
        <w:numPr>
          <w:ilvl w:val="0"/>
          <w:numId w:val="3"/>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财经不清晰在业务流程中扮演的角色和目标，常常没有理解公司的战略目标，让监管大于服务；</w:t>
      </w:r>
    </w:p>
    <w:p w14:paraId="751591B6" w14:textId="77777777" w:rsidR="0017186A" w:rsidRDefault="00DB2009">
      <w:pPr>
        <w:pStyle w:val="4"/>
        <w:numPr>
          <w:ilvl w:val="0"/>
          <w:numId w:val="3"/>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业务授权一放就乱，一收就死，缺乏有效的监管体系；</w:t>
      </w:r>
    </w:p>
    <w:p w14:paraId="5783F51E" w14:textId="77777777" w:rsidR="0017186A" w:rsidRDefault="00DB2009">
      <w:pPr>
        <w:pStyle w:val="4"/>
        <w:numPr>
          <w:ilvl w:val="0"/>
          <w:numId w:val="3"/>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不同区域的财经管理支撑采用不同的标准，不同的流程，缺乏统一标准和经验共享；</w:t>
      </w:r>
    </w:p>
    <w:p w14:paraId="7C5F5F6E" w14:textId="77777777" w:rsidR="0017186A" w:rsidRDefault="00DB2009">
      <w:pPr>
        <w:pStyle w:val="4"/>
        <w:numPr>
          <w:ilvl w:val="0"/>
          <w:numId w:val="3"/>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战略不清晰，对预算无法形成有效指引；</w:t>
      </w:r>
    </w:p>
    <w:p w14:paraId="71DCEF80" w14:textId="77777777" w:rsidR="0017186A" w:rsidRDefault="00DB2009">
      <w:pPr>
        <w:pStyle w:val="4"/>
        <w:numPr>
          <w:ilvl w:val="0"/>
          <w:numId w:val="3"/>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没有划清“责任中心”，对不同单元、不同成熟度业务的财经指标没有实现不同的责任管理；</w:t>
      </w:r>
    </w:p>
    <w:p w14:paraId="43DCFB1C" w14:textId="77777777" w:rsidR="0017186A" w:rsidRDefault="00DB2009">
      <w:pPr>
        <w:pStyle w:val="4"/>
        <w:numPr>
          <w:ilvl w:val="0"/>
          <w:numId w:val="3"/>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做预算和执行预算两套标准，让预算失去了支撑业务和战略的意义。</w:t>
      </w:r>
    </w:p>
    <w:p w14:paraId="0F9A3385" w14:textId="77777777" w:rsidR="0017186A" w:rsidRDefault="0017186A">
      <w:pPr>
        <w:pStyle w:val="4"/>
        <w:spacing w:line="400" w:lineRule="exact"/>
        <w:ind w:firstLineChars="0" w:firstLine="0"/>
        <w:rPr>
          <w:rFonts w:ascii="微软雅黑" w:eastAsia="微软雅黑" w:hAnsi="微软雅黑" w:cs="微软雅黑"/>
          <w:color w:val="404040" w:themeColor="text1" w:themeTint="BF"/>
          <w:sz w:val="22"/>
        </w:rPr>
      </w:pPr>
    </w:p>
    <w:p w14:paraId="29B740B2" w14:textId="77777777" w:rsidR="0017186A" w:rsidRDefault="0017186A">
      <w:pPr>
        <w:pStyle w:val="4"/>
        <w:spacing w:line="400" w:lineRule="exact"/>
        <w:ind w:firstLineChars="0" w:firstLine="0"/>
        <w:rPr>
          <w:rFonts w:ascii="微软雅黑" w:eastAsia="微软雅黑" w:hAnsi="微软雅黑" w:cs="微软雅黑"/>
          <w:color w:val="2E74B5" w:themeColor="accent1" w:themeShade="BF"/>
          <w:sz w:val="22"/>
        </w:rPr>
      </w:pPr>
    </w:p>
    <w:p w14:paraId="7639BC29" w14:textId="77777777" w:rsidR="0017186A" w:rsidRDefault="00DB2009">
      <w:pPr>
        <w:pStyle w:val="4"/>
        <w:spacing w:line="400" w:lineRule="exact"/>
        <w:ind w:firstLineChars="0" w:firstLine="0"/>
        <w:rPr>
          <w:rFonts w:ascii="微软雅黑" w:eastAsia="微软雅黑" w:hAnsi="微软雅黑" w:cs="微软雅黑"/>
          <w:color w:val="1F4E79" w:themeColor="accent1" w:themeShade="80"/>
          <w:sz w:val="22"/>
        </w:rPr>
      </w:pPr>
      <w:r>
        <w:rPr>
          <w:rFonts w:ascii="微软雅黑" w:eastAsia="微软雅黑" w:hAnsi="微软雅黑" w:cs="微软雅黑" w:hint="eastAsia"/>
          <w:b/>
          <w:bCs/>
          <w:color w:val="2E74B5" w:themeColor="accent1" w:themeShade="BF"/>
          <w:sz w:val="22"/>
        </w:rPr>
        <w:t>华为通过</w:t>
      </w:r>
      <w:r>
        <w:rPr>
          <w:rFonts w:ascii="微软雅黑" w:eastAsia="微软雅黑" w:hAnsi="微软雅黑" w:cs="微软雅黑" w:hint="eastAsia"/>
          <w:b/>
          <w:bCs/>
          <w:color w:val="C00000"/>
          <w:sz w:val="22"/>
        </w:rPr>
        <w:t>“四统一、共享中心建设、集成财经转型”</w:t>
      </w:r>
      <w:r>
        <w:rPr>
          <w:rFonts w:ascii="微软雅黑" w:eastAsia="微软雅黑" w:hAnsi="微软雅黑" w:cs="微软雅黑" w:hint="eastAsia"/>
          <w:b/>
          <w:bCs/>
          <w:color w:val="2E74B5" w:themeColor="accent1" w:themeShade="BF"/>
          <w:sz w:val="22"/>
        </w:rPr>
        <w:t>等重大变革，华为财经管理实现了：</w:t>
      </w:r>
    </w:p>
    <w:p w14:paraId="1FF46662" w14:textId="77777777" w:rsidR="0017186A" w:rsidRDefault="00DB2009">
      <w:pPr>
        <w:pStyle w:val="4"/>
        <w:numPr>
          <w:ilvl w:val="2"/>
          <w:numId w:val="4"/>
        </w:numPr>
        <w:spacing w:line="400" w:lineRule="exact"/>
        <w:ind w:left="480" w:firstLineChars="0"/>
        <w:jc w:val="left"/>
        <w:rPr>
          <w:rFonts w:ascii="微软雅黑" w:eastAsia="微软雅黑" w:hAnsi="微软雅黑" w:cs="微软雅黑"/>
          <w:color w:val="404040" w:themeColor="text1" w:themeTint="BF"/>
          <w:sz w:val="20"/>
          <w:szCs w:val="20"/>
        </w:rPr>
      </w:pPr>
      <w:r>
        <w:rPr>
          <w:rFonts w:ascii="微软雅黑" w:eastAsia="微软雅黑" w:hAnsi="微软雅黑" w:cs="微软雅黑" w:hint="eastAsia"/>
          <w:color w:val="404040" w:themeColor="text1" w:themeTint="BF"/>
          <w:sz w:val="20"/>
          <w:szCs w:val="20"/>
        </w:rPr>
        <w:t>有效的</w:t>
      </w:r>
      <w:r>
        <w:rPr>
          <w:rFonts w:ascii="微软雅黑" w:eastAsia="微软雅黑" w:hAnsi="微软雅黑" w:cs="微软雅黑" w:hint="eastAsia"/>
          <w:color w:val="2E74B5" w:themeColor="accent1" w:themeShade="BF"/>
          <w:sz w:val="20"/>
          <w:szCs w:val="20"/>
        </w:rPr>
        <w:t>内控管理</w:t>
      </w:r>
      <w:r>
        <w:rPr>
          <w:rFonts w:ascii="微软雅黑" w:eastAsia="微软雅黑" w:hAnsi="微软雅黑" w:cs="微软雅黑" w:hint="eastAsia"/>
          <w:color w:val="404040" w:themeColor="text1" w:themeTint="BF"/>
          <w:sz w:val="20"/>
          <w:szCs w:val="20"/>
        </w:rPr>
        <w:t>，为“积极授权、有效行权”提供了制度性的保障，让听得见炮火的组织，敢于行权、积极行权；推行自动化验收、开票与核销系统，以提升从机会到回款流程的作业质量，使得开票时间从80分钟缩短至10分钟，客户拒票率下降98%；</w:t>
      </w:r>
    </w:p>
    <w:p w14:paraId="7E08903E" w14:textId="77777777" w:rsidR="0017186A" w:rsidRDefault="00DB2009">
      <w:pPr>
        <w:pStyle w:val="4"/>
        <w:numPr>
          <w:ilvl w:val="2"/>
          <w:numId w:val="4"/>
        </w:numPr>
        <w:spacing w:line="400" w:lineRule="exact"/>
        <w:ind w:left="480" w:firstLineChars="0"/>
        <w:jc w:val="left"/>
        <w:rPr>
          <w:rFonts w:ascii="微软雅黑" w:eastAsia="微软雅黑" w:hAnsi="微软雅黑" w:cs="微软雅黑"/>
          <w:color w:val="404040" w:themeColor="text1" w:themeTint="BF"/>
          <w:sz w:val="20"/>
          <w:szCs w:val="20"/>
        </w:rPr>
      </w:pPr>
      <w:r>
        <w:rPr>
          <w:rFonts w:ascii="微软雅黑" w:eastAsia="微软雅黑" w:hAnsi="微软雅黑" w:cs="微软雅黑" w:hint="eastAsia"/>
          <w:color w:val="404040" w:themeColor="text1" w:themeTint="BF"/>
          <w:sz w:val="20"/>
          <w:szCs w:val="20"/>
        </w:rPr>
        <w:t>账务核算已经实现了全球7*24小时循环结账机制，充分利用了我们</w:t>
      </w:r>
      <w:r>
        <w:rPr>
          <w:rFonts w:ascii="微软雅黑" w:eastAsia="微软雅黑" w:hAnsi="微软雅黑" w:cs="微软雅黑" w:hint="eastAsia"/>
          <w:color w:val="000000" w:themeColor="text1"/>
          <w:sz w:val="20"/>
          <w:szCs w:val="20"/>
        </w:rPr>
        <w:t>“</w:t>
      </w:r>
      <w:r>
        <w:rPr>
          <w:rFonts w:ascii="微软雅黑" w:eastAsia="微软雅黑" w:hAnsi="微软雅黑" w:cs="微软雅黑" w:hint="eastAsia"/>
          <w:color w:val="2E74B5" w:themeColor="accent1" w:themeShade="BF"/>
          <w:sz w:val="20"/>
          <w:szCs w:val="20"/>
        </w:rPr>
        <w:t>共享中心</w:t>
      </w:r>
      <w:r>
        <w:rPr>
          <w:rFonts w:ascii="微软雅黑" w:eastAsia="微软雅黑" w:hAnsi="微软雅黑" w:cs="微软雅黑" w:hint="eastAsia"/>
          <w:color w:val="000000" w:themeColor="text1"/>
          <w:sz w:val="20"/>
          <w:szCs w:val="20"/>
        </w:rPr>
        <w:t>”</w:t>
      </w:r>
      <w:r>
        <w:rPr>
          <w:rFonts w:ascii="微软雅黑" w:eastAsia="微软雅黑" w:hAnsi="微软雅黑" w:cs="微软雅黑" w:hint="eastAsia"/>
          <w:color w:val="404040" w:themeColor="text1" w:themeTint="BF"/>
          <w:sz w:val="20"/>
          <w:szCs w:val="20"/>
        </w:rPr>
        <w:t>的时差优势，在同一数据平台、同一结账规则下，共享中心接力传递结账作业，极大缩短了结账的日历天数；</w:t>
      </w:r>
    </w:p>
    <w:p w14:paraId="2992A824" w14:textId="77777777" w:rsidR="0017186A" w:rsidRDefault="00DB2009">
      <w:pPr>
        <w:pStyle w:val="4"/>
        <w:numPr>
          <w:ilvl w:val="2"/>
          <w:numId w:val="4"/>
        </w:numPr>
        <w:spacing w:line="400" w:lineRule="exact"/>
        <w:ind w:left="480" w:firstLineChars="0"/>
        <w:jc w:val="left"/>
        <w:rPr>
          <w:rFonts w:ascii="微软雅黑" w:eastAsia="微软雅黑" w:hAnsi="微软雅黑" w:cs="微软雅黑"/>
          <w:color w:val="404040" w:themeColor="text1" w:themeTint="BF"/>
          <w:sz w:val="20"/>
          <w:szCs w:val="20"/>
        </w:rPr>
      </w:pPr>
      <w:r>
        <w:rPr>
          <w:rFonts w:ascii="微软雅黑" w:eastAsia="微软雅黑" w:hAnsi="微软雅黑" w:cs="微软雅黑" w:hint="eastAsia"/>
          <w:color w:val="2E74B5" w:themeColor="accent1" w:themeShade="BF"/>
          <w:sz w:val="20"/>
          <w:szCs w:val="20"/>
        </w:rPr>
        <w:t>清晰的战略</w:t>
      </w:r>
      <w:r>
        <w:rPr>
          <w:rFonts w:ascii="微软雅黑" w:eastAsia="微软雅黑" w:hAnsi="微软雅黑" w:cs="微软雅黑" w:hint="eastAsia"/>
          <w:color w:val="404040" w:themeColor="text1" w:themeTint="BF"/>
          <w:sz w:val="20"/>
          <w:szCs w:val="20"/>
        </w:rPr>
        <w:t>是全面预算管理的基础，通过BLM战略规划与DSTE从战略到执行运营流程实现有效的战略管理；</w:t>
      </w:r>
    </w:p>
    <w:p w14:paraId="7A492C3D" w14:textId="77777777" w:rsidR="0017186A" w:rsidRDefault="00DB2009">
      <w:pPr>
        <w:pStyle w:val="4"/>
        <w:numPr>
          <w:ilvl w:val="2"/>
          <w:numId w:val="4"/>
        </w:numPr>
        <w:spacing w:line="400" w:lineRule="exact"/>
        <w:ind w:left="480" w:firstLineChars="0"/>
        <w:jc w:val="left"/>
        <w:rPr>
          <w:rFonts w:ascii="微软雅黑" w:eastAsia="微软雅黑" w:hAnsi="微软雅黑" w:cs="微软雅黑"/>
          <w:color w:val="404040" w:themeColor="text1" w:themeTint="BF"/>
          <w:sz w:val="20"/>
          <w:szCs w:val="20"/>
        </w:rPr>
      </w:pPr>
      <w:r>
        <w:rPr>
          <w:rFonts w:ascii="微软雅黑" w:eastAsia="微软雅黑" w:hAnsi="微软雅黑" w:cs="微软雅黑" w:hint="eastAsia"/>
          <w:color w:val="2E74B5" w:themeColor="accent1" w:themeShade="BF"/>
          <w:sz w:val="20"/>
          <w:szCs w:val="20"/>
        </w:rPr>
        <w:lastRenderedPageBreak/>
        <w:t>责任中心是全面预算的基石</w:t>
      </w:r>
      <w:r>
        <w:rPr>
          <w:rFonts w:ascii="微软雅黑" w:eastAsia="微软雅黑" w:hAnsi="微软雅黑" w:cs="微软雅黑" w:hint="eastAsia"/>
          <w:color w:val="404040" w:themeColor="text1" w:themeTint="BF"/>
          <w:sz w:val="20"/>
          <w:szCs w:val="20"/>
        </w:rPr>
        <w:t>——清晰地划分责任中心（投资中心、收入中心、利润中心、成本中心、费用中心）的目标、指标与责任，将每一个单元（职能部门、BG、产品线）都做清晰的界定，让组织回归以客户为中心，避免“虚拟利润中心”等管理手段影响“以客户为中心”；</w:t>
      </w:r>
    </w:p>
    <w:p w14:paraId="64332515" w14:textId="77777777" w:rsidR="0017186A" w:rsidRDefault="00DB2009">
      <w:pPr>
        <w:pStyle w:val="4"/>
        <w:numPr>
          <w:ilvl w:val="2"/>
          <w:numId w:val="4"/>
        </w:numPr>
        <w:spacing w:line="400" w:lineRule="exact"/>
        <w:ind w:left="480" w:firstLineChars="0"/>
        <w:jc w:val="left"/>
        <w:rPr>
          <w:rFonts w:ascii="微软雅黑" w:eastAsia="微软雅黑" w:hAnsi="微软雅黑" w:cs="微软雅黑"/>
          <w:color w:val="404040" w:themeColor="text1" w:themeTint="BF"/>
          <w:sz w:val="20"/>
          <w:szCs w:val="20"/>
        </w:rPr>
      </w:pPr>
      <w:r>
        <w:rPr>
          <w:rFonts w:ascii="微软雅黑" w:eastAsia="微软雅黑" w:hAnsi="微软雅黑" w:cs="微软雅黑" w:hint="eastAsia"/>
          <w:color w:val="2E74B5" w:themeColor="accent1" w:themeShade="BF"/>
          <w:sz w:val="20"/>
          <w:szCs w:val="20"/>
        </w:rPr>
        <w:t>打通“计划预算核算”的全面预算管理体系</w:t>
      </w:r>
      <w:r>
        <w:rPr>
          <w:rFonts w:ascii="微软雅黑" w:eastAsia="微软雅黑" w:hAnsi="微软雅黑" w:cs="微软雅黑" w:hint="eastAsia"/>
          <w:color w:val="404040" w:themeColor="text1" w:themeTint="BF"/>
          <w:sz w:val="20"/>
          <w:szCs w:val="20"/>
        </w:rPr>
        <w:t>，通过“滚动预测”，“承接战略”，“自下而上” 实现弹性预算，让预算为业务成功服务。</w:t>
      </w:r>
    </w:p>
    <w:p w14:paraId="19227976" w14:textId="77777777" w:rsidR="0017186A" w:rsidRDefault="0017186A">
      <w:pPr>
        <w:pStyle w:val="4"/>
        <w:spacing w:line="400" w:lineRule="exact"/>
        <w:ind w:firstLineChars="0" w:firstLine="0"/>
        <w:jc w:val="left"/>
        <w:rPr>
          <w:rFonts w:ascii="微软雅黑" w:eastAsia="微软雅黑" w:hAnsi="微软雅黑" w:cs="微软雅黑"/>
          <w:color w:val="404040" w:themeColor="text1" w:themeTint="BF"/>
          <w:sz w:val="20"/>
          <w:szCs w:val="20"/>
        </w:rPr>
      </w:pPr>
    </w:p>
    <w:p w14:paraId="717115F8" w14:textId="77777777" w:rsidR="0017186A" w:rsidRDefault="0017186A">
      <w:pPr>
        <w:pStyle w:val="4"/>
        <w:spacing w:line="400" w:lineRule="exact"/>
        <w:ind w:firstLineChars="0" w:firstLine="0"/>
        <w:rPr>
          <w:rFonts w:ascii="微软雅黑" w:eastAsia="微软雅黑" w:hAnsi="微软雅黑" w:cs="微软雅黑" w:hint="eastAsia"/>
          <w:color w:val="404040" w:themeColor="text1" w:themeTint="BF"/>
          <w:sz w:val="20"/>
          <w:szCs w:val="20"/>
        </w:rPr>
      </w:pPr>
    </w:p>
    <w:p w14:paraId="1A64C647" w14:textId="77777777" w:rsidR="0017186A" w:rsidRDefault="00DB2009">
      <w:pPr>
        <w:spacing w:line="400" w:lineRule="exact"/>
        <w:rPr>
          <w:rFonts w:ascii="微软雅黑" w:eastAsia="微软雅黑" w:hAnsi="微软雅黑" w:cs="微软雅黑"/>
          <w:color w:val="C00000"/>
          <w:sz w:val="28"/>
          <w:szCs w:val="28"/>
        </w:rPr>
      </w:pPr>
      <w:r>
        <w:rPr>
          <w:rFonts w:ascii="微软雅黑" w:eastAsia="微软雅黑" w:hAnsi="微软雅黑" w:cs="微软雅黑" w:hint="eastAsia"/>
          <w:color w:val="C00000"/>
          <w:sz w:val="28"/>
          <w:szCs w:val="28"/>
        </w:rPr>
        <w:t>学习收益&gt;&gt;</w:t>
      </w:r>
    </w:p>
    <w:p w14:paraId="27175CF3" w14:textId="77777777" w:rsidR="0017186A" w:rsidRDefault="00DB2009">
      <w:pPr>
        <w:pStyle w:val="4"/>
        <w:numPr>
          <w:ilvl w:val="0"/>
          <w:numId w:val="5"/>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将财经与业务的融合清晰化；</w:t>
      </w:r>
    </w:p>
    <w:p w14:paraId="465590DF" w14:textId="77777777" w:rsidR="0017186A" w:rsidRDefault="00DB2009">
      <w:pPr>
        <w:pStyle w:val="4"/>
        <w:numPr>
          <w:ilvl w:val="0"/>
          <w:numId w:val="5"/>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通过四统一、共享中心、内控三个体系来实现授权监管，将公司权利有效下放；</w:t>
      </w:r>
    </w:p>
    <w:p w14:paraId="5BA3967F" w14:textId="77777777" w:rsidR="0017186A" w:rsidRDefault="00DB2009">
      <w:pPr>
        <w:pStyle w:val="4"/>
        <w:numPr>
          <w:ilvl w:val="0"/>
          <w:numId w:val="5"/>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澄清公司战略，让预算有明确的指引；</w:t>
      </w:r>
    </w:p>
    <w:p w14:paraId="2DD17E06" w14:textId="77777777" w:rsidR="0017186A" w:rsidRDefault="00DB2009">
      <w:pPr>
        <w:pStyle w:val="4"/>
        <w:numPr>
          <w:ilvl w:val="0"/>
          <w:numId w:val="5"/>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清晰界定责任中心，对不同责任中心赋予不同的财务指标，为目标与绩效管理提供基础；</w:t>
      </w:r>
    </w:p>
    <w:p w14:paraId="58DC77A2" w14:textId="77777777" w:rsidR="0017186A" w:rsidRDefault="00DB2009">
      <w:pPr>
        <w:pStyle w:val="4"/>
        <w:numPr>
          <w:ilvl w:val="0"/>
          <w:numId w:val="5"/>
        </w:numPr>
        <w:spacing w:line="400" w:lineRule="exact"/>
        <w:ind w:firstLineChars="0"/>
        <w:rPr>
          <w:rFonts w:ascii="微软雅黑" w:eastAsia="微软雅黑" w:hAnsi="微软雅黑" w:cs="微软雅黑"/>
          <w:color w:val="404040" w:themeColor="text1" w:themeTint="BF"/>
          <w:sz w:val="22"/>
        </w:rPr>
      </w:pPr>
      <w:r>
        <w:rPr>
          <w:rFonts w:ascii="微软雅黑" w:eastAsia="微软雅黑" w:hAnsi="微软雅黑" w:cs="微软雅黑" w:hint="eastAsia"/>
          <w:color w:val="404040" w:themeColor="text1" w:themeTint="BF"/>
          <w:sz w:val="22"/>
        </w:rPr>
        <w:t>通过计划预算核算实现真正的全面预算管理。</w:t>
      </w:r>
    </w:p>
    <w:p w14:paraId="4BD70CCB" w14:textId="77777777" w:rsidR="0017186A" w:rsidRDefault="0017186A">
      <w:pPr>
        <w:spacing w:line="340" w:lineRule="exact"/>
        <w:rPr>
          <w:rFonts w:ascii="微软雅黑" w:eastAsia="微软雅黑" w:hAnsi="微软雅黑" w:cs="微软雅黑" w:hint="eastAsia"/>
          <w:b/>
          <w:bCs/>
          <w:color w:val="C00000"/>
          <w:sz w:val="28"/>
          <w:szCs w:val="28"/>
        </w:rPr>
      </w:pPr>
    </w:p>
    <w:p w14:paraId="14129AC5" w14:textId="77777777" w:rsidR="0017186A" w:rsidRDefault="0017186A">
      <w:pPr>
        <w:spacing w:line="340" w:lineRule="exact"/>
        <w:rPr>
          <w:rFonts w:ascii="微软雅黑" w:eastAsia="微软雅黑" w:hAnsi="微软雅黑" w:cs="微软雅黑"/>
          <w:b/>
          <w:bCs/>
          <w:color w:val="C00000"/>
          <w:sz w:val="28"/>
          <w:szCs w:val="28"/>
        </w:rPr>
      </w:pPr>
    </w:p>
    <w:p w14:paraId="28C834EF" w14:textId="5ADF2FA5" w:rsidR="0017186A" w:rsidRDefault="00DB2009">
      <w:pPr>
        <w:spacing w:line="340" w:lineRule="exact"/>
        <w:rPr>
          <w:rFonts w:ascii="微软雅黑" w:eastAsia="微软雅黑" w:hAnsi="微软雅黑" w:cs="微软雅黑"/>
          <w:color w:val="C00000"/>
          <w:sz w:val="28"/>
          <w:szCs w:val="28"/>
        </w:rPr>
      </w:pPr>
      <w:r>
        <w:rPr>
          <w:rFonts w:ascii="微软雅黑" w:eastAsia="微软雅黑" w:hAnsi="微软雅黑" w:cs="微软雅黑" w:hint="eastAsia"/>
          <w:color w:val="C00000"/>
          <w:sz w:val="28"/>
          <w:szCs w:val="28"/>
        </w:rPr>
        <w:t>课程大纲&gt;&gt;</w:t>
      </w:r>
    </w:p>
    <w:p w14:paraId="3F33AE6C" w14:textId="72AF0E09" w:rsidR="00552A38" w:rsidRDefault="00552A38">
      <w:pPr>
        <w:spacing w:line="340" w:lineRule="exact"/>
        <w:rPr>
          <w:rFonts w:ascii="微软雅黑" w:eastAsia="微软雅黑" w:hAnsi="微软雅黑" w:cs="微软雅黑"/>
          <w:color w:val="C00000"/>
          <w:sz w:val="28"/>
          <w:szCs w:val="28"/>
        </w:rPr>
      </w:pPr>
    </w:p>
    <w:p w14:paraId="04A47393" w14:textId="77777777" w:rsidR="00552A38" w:rsidRDefault="00552A38" w:rsidP="00552A38">
      <w:pPr>
        <w:spacing w:line="360" w:lineRule="exact"/>
        <w:rPr>
          <w:rFonts w:ascii="微软雅黑" w:eastAsia="微软雅黑" w:hAnsi="微软雅黑" w:cs="微软雅黑"/>
          <w:b/>
          <w:bCs/>
          <w:color w:val="2E74B5" w:themeColor="accent1" w:themeShade="BF"/>
        </w:rPr>
      </w:pPr>
      <w:r>
        <w:rPr>
          <w:rFonts w:ascii="微软雅黑" w:eastAsia="微软雅黑" w:hAnsi="微软雅黑" w:cs="微软雅黑" w:hint="eastAsia"/>
          <w:b/>
          <w:bCs/>
          <w:color w:val="2E74B5" w:themeColor="accent1" w:themeShade="BF"/>
        </w:rPr>
        <w:t>一、财经伴随公司发展而发展</w:t>
      </w:r>
    </w:p>
    <w:p w14:paraId="33F27C42"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1、财经发展的几个重要阶段        </w:t>
      </w:r>
    </w:p>
    <w:p w14:paraId="7895D01B"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2、IFS关键方案概览构建财经变革平台</w:t>
      </w:r>
    </w:p>
    <w:p w14:paraId="265D9DBC"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3、财经在业务中的角色</w:t>
      </w:r>
    </w:p>
    <w:p w14:paraId="70790DEF" w14:textId="77777777" w:rsidR="00552A38" w:rsidRDefault="00552A38" w:rsidP="00552A38">
      <w:pPr>
        <w:spacing w:line="360" w:lineRule="exact"/>
        <w:rPr>
          <w:rFonts w:ascii="微软雅黑" w:eastAsia="微软雅黑" w:hAnsi="微软雅黑" w:cs="微软雅黑"/>
          <w:color w:val="262626" w:themeColor="text1" w:themeTint="D9"/>
        </w:rPr>
      </w:pPr>
    </w:p>
    <w:p w14:paraId="6F188574" w14:textId="77777777" w:rsidR="00552A38" w:rsidRDefault="00552A38" w:rsidP="00552A38">
      <w:pPr>
        <w:spacing w:line="360" w:lineRule="exact"/>
        <w:rPr>
          <w:rFonts w:ascii="微软雅黑" w:eastAsia="微软雅黑" w:hAnsi="微软雅黑" w:cs="微软雅黑"/>
          <w:b/>
          <w:bCs/>
          <w:color w:val="2E74B5" w:themeColor="accent1" w:themeShade="BF"/>
        </w:rPr>
      </w:pPr>
      <w:r>
        <w:rPr>
          <w:rFonts w:ascii="微软雅黑" w:eastAsia="微软雅黑" w:hAnsi="微软雅黑" w:cs="微软雅黑" w:hint="eastAsia"/>
          <w:b/>
          <w:bCs/>
          <w:color w:val="2E74B5" w:themeColor="accent1" w:themeShade="BF"/>
        </w:rPr>
        <w:t>二、华为财经管理体系解析</w:t>
      </w:r>
    </w:p>
    <w:p w14:paraId="1AC4A842"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1、华为组织结构及财经体系组织架构    </w:t>
      </w:r>
    </w:p>
    <w:p w14:paraId="05779BDC"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2、公司管理的特点：集权、矩阵化（市场、研发与供应链体系特点）</w:t>
      </w:r>
    </w:p>
    <w:p w14:paraId="58A2FD05"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3、财经体系组织架构和职责            </w:t>
      </w:r>
    </w:p>
    <w:p w14:paraId="7FD18832"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4、业务与财经互为伙伴确保长期有效增长</w:t>
      </w:r>
    </w:p>
    <w:p w14:paraId="2462EF23" w14:textId="77777777" w:rsidR="00552A38" w:rsidRDefault="00552A38" w:rsidP="00552A38">
      <w:pPr>
        <w:spacing w:line="360" w:lineRule="exact"/>
        <w:rPr>
          <w:rFonts w:ascii="微软雅黑" w:eastAsia="微软雅黑" w:hAnsi="微软雅黑" w:cs="微软雅黑"/>
          <w:color w:val="262626" w:themeColor="text1" w:themeTint="D9"/>
        </w:rPr>
      </w:pPr>
    </w:p>
    <w:p w14:paraId="027CC6B1" w14:textId="77777777" w:rsidR="00552A38" w:rsidRDefault="00552A38" w:rsidP="00552A38">
      <w:pPr>
        <w:spacing w:line="360" w:lineRule="exact"/>
        <w:rPr>
          <w:rFonts w:ascii="微软雅黑" w:eastAsia="微软雅黑" w:hAnsi="微软雅黑" w:cs="微软雅黑"/>
          <w:b/>
          <w:bCs/>
          <w:color w:val="2E74B5" w:themeColor="accent1" w:themeShade="BF"/>
        </w:rPr>
      </w:pPr>
      <w:r>
        <w:rPr>
          <w:rFonts w:ascii="微软雅黑" w:eastAsia="微软雅黑" w:hAnsi="微软雅黑" w:cs="微软雅黑" w:hint="eastAsia"/>
          <w:b/>
          <w:bCs/>
          <w:color w:val="2E74B5" w:themeColor="accent1" w:themeShade="BF"/>
        </w:rPr>
        <w:t>三、没有战略就没有预算</w:t>
      </w:r>
    </w:p>
    <w:p w14:paraId="07DF37E4"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1、BLM模型中市场洞察对战略制响</w:t>
      </w:r>
    </w:p>
    <w:p w14:paraId="196FD32A"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2、BLM模型中如何做业务设计和执行环节的关键业务分解执行环节的关键业务分解</w:t>
      </w:r>
    </w:p>
    <w:p w14:paraId="7204B89A"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3、BLM模型中组织架构、人员配置与文化环境营造三个战略执行因素的作用与应用</w:t>
      </w:r>
    </w:p>
    <w:p w14:paraId="3A2AF268"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4、华为从战略到执行分解的案例分享                                </w:t>
      </w:r>
    </w:p>
    <w:p w14:paraId="1CA244CB"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5、战略是全面预算管理的基础</w:t>
      </w:r>
    </w:p>
    <w:p w14:paraId="40BA61AF" w14:textId="7C82DE4E" w:rsidR="00552A38" w:rsidRDefault="00552A38">
      <w:pPr>
        <w:spacing w:line="340" w:lineRule="exact"/>
        <w:rPr>
          <w:rFonts w:ascii="微软雅黑" w:eastAsia="微软雅黑" w:hAnsi="微软雅黑" w:cs="微软雅黑"/>
          <w:color w:val="C00000"/>
          <w:sz w:val="28"/>
          <w:szCs w:val="28"/>
        </w:rPr>
      </w:pPr>
    </w:p>
    <w:p w14:paraId="5D0F4057" w14:textId="77777777" w:rsidR="00552A38" w:rsidRDefault="00552A38" w:rsidP="00552A38">
      <w:pPr>
        <w:spacing w:line="360" w:lineRule="exact"/>
        <w:rPr>
          <w:rFonts w:ascii="微软雅黑" w:eastAsia="微软雅黑" w:hAnsi="微软雅黑" w:cs="微软雅黑"/>
          <w:b/>
          <w:bCs/>
          <w:color w:val="2E74B5" w:themeColor="accent1" w:themeShade="BF"/>
        </w:rPr>
      </w:pPr>
      <w:r>
        <w:rPr>
          <w:rFonts w:ascii="微软雅黑" w:eastAsia="微软雅黑" w:hAnsi="微软雅黑" w:cs="微软雅黑" w:hint="eastAsia"/>
          <w:b/>
          <w:bCs/>
          <w:color w:val="2E74B5" w:themeColor="accent1" w:themeShade="BF"/>
        </w:rPr>
        <w:t>四、华为的责任经营体系——企业全面预算管理的基石</w:t>
      </w:r>
    </w:p>
    <w:p w14:paraId="2D24265E"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1、分权管理的基本要求、责任中心建设的内涵          </w:t>
      </w:r>
    </w:p>
    <w:p w14:paraId="5EE0B90A"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lastRenderedPageBreak/>
        <w:t xml:space="preserve">2、责任中心的设计定位及分类                        </w:t>
      </w:r>
    </w:p>
    <w:p w14:paraId="6E27AD1D"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3、组织架构与责任中心的对应关系</w:t>
      </w:r>
    </w:p>
    <w:p w14:paraId="032934BD"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4、责任中心的财务指标的设计</w:t>
      </w:r>
    </w:p>
    <w:p w14:paraId="5ED8EC3B" w14:textId="77777777" w:rsidR="00552A38" w:rsidRDefault="00552A38" w:rsidP="00552A38">
      <w:pPr>
        <w:spacing w:line="360" w:lineRule="exact"/>
        <w:rPr>
          <w:rFonts w:ascii="微软雅黑" w:eastAsia="微软雅黑" w:hAnsi="微软雅黑" w:cs="微软雅黑"/>
          <w:color w:val="262626" w:themeColor="text1" w:themeTint="D9"/>
        </w:rPr>
      </w:pPr>
    </w:p>
    <w:p w14:paraId="42EB8EC5" w14:textId="77777777" w:rsidR="00552A38" w:rsidRDefault="00552A38" w:rsidP="00552A38">
      <w:pPr>
        <w:spacing w:line="360" w:lineRule="exact"/>
        <w:rPr>
          <w:rFonts w:ascii="微软雅黑" w:eastAsia="微软雅黑" w:hAnsi="微软雅黑" w:cs="微软雅黑"/>
          <w:b/>
          <w:bCs/>
          <w:color w:val="2E74B5" w:themeColor="accent1" w:themeShade="BF"/>
        </w:rPr>
      </w:pPr>
      <w:r>
        <w:rPr>
          <w:rFonts w:ascii="微软雅黑" w:eastAsia="微软雅黑" w:hAnsi="微软雅黑" w:cs="微软雅黑" w:hint="eastAsia"/>
          <w:b/>
          <w:bCs/>
          <w:color w:val="2E74B5" w:themeColor="accent1" w:themeShade="BF"/>
        </w:rPr>
        <w:t>五、企业全面预算管理体系</w:t>
      </w:r>
    </w:p>
    <w:p w14:paraId="61D0E54B"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1、全面预算的含义及整体框架                </w:t>
      </w:r>
    </w:p>
    <w:p w14:paraId="25F96443"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2、实现全面预算的闭环管理</w:t>
      </w:r>
    </w:p>
    <w:p w14:paraId="6B881509"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3、责任中心经营分析会（KPI制定原则）      </w:t>
      </w:r>
    </w:p>
    <w:p w14:paraId="5E9BEB09"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4、全面预算管理的五大主要误区</w:t>
      </w:r>
    </w:p>
    <w:p w14:paraId="1E94A059" w14:textId="77777777" w:rsidR="00552A38" w:rsidRDefault="00552A38" w:rsidP="00552A38">
      <w:pPr>
        <w:spacing w:line="360" w:lineRule="exact"/>
        <w:rPr>
          <w:rFonts w:ascii="微软雅黑" w:eastAsia="微软雅黑" w:hAnsi="微软雅黑" w:cs="微软雅黑"/>
          <w:color w:val="262626" w:themeColor="text1" w:themeTint="D9"/>
        </w:rPr>
      </w:pPr>
    </w:p>
    <w:p w14:paraId="46D83546" w14:textId="77777777" w:rsidR="00552A38" w:rsidRDefault="00552A38" w:rsidP="00552A38">
      <w:pPr>
        <w:spacing w:line="360" w:lineRule="exact"/>
        <w:rPr>
          <w:rFonts w:ascii="微软雅黑" w:eastAsia="微软雅黑" w:hAnsi="微软雅黑" w:cs="微软雅黑"/>
          <w:b/>
          <w:bCs/>
          <w:color w:val="2E74B5" w:themeColor="accent1" w:themeShade="BF"/>
        </w:rPr>
      </w:pPr>
      <w:r>
        <w:rPr>
          <w:rFonts w:ascii="微软雅黑" w:eastAsia="微软雅黑" w:hAnsi="微软雅黑" w:cs="微软雅黑" w:hint="eastAsia"/>
          <w:b/>
          <w:bCs/>
          <w:color w:val="2E74B5" w:themeColor="accent1" w:themeShade="BF"/>
        </w:rPr>
        <w:t>六、财经监控职能：账务“四统一”、共享服务、内控体系</w:t>
      </w:r>
    </w:p>
    <w:p w14:paraId="6F808815"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1. 干部和部门职责                 </w:t>
      </w:r>
    </w:p>
    <w:p w14:paraId="30F17CAD"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2. 数据和信息系统                 </w:t>
      </w:r>
    </w:p>
    <w:p w14:paraId="3B48B3D1"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3. 办事处财务                       </w:t>
      </w:r>
    </w:p>
    <w:p w14:paraId="6F2730E4"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4. 一步步构建财经共享中心         </w:t>
      </w:r>
    </w:p>
    <w:p w14:paraId="4D8B7E1C"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5. 在流程建设和运营中分别监控     </w:t>
      </w:r>
    </w:p>
    <w:p w14:paraId="7B71C592"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6. 做到“一点两面三三制”</w:t>
      </w:r>
    </w:p>
    <w:p w14:paraId="56B5643B"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 xml:space="preserve">7. CT 与PR结合：有效保证CT质量的同时优化流程内控设计             </w:t>
      </w:r>
    </w:p>
    <w:p w14:paraId="07D2FE62" w14:textId="77777777" w:rsidR="00552A38" w:rsidRDefault="00552A38" w:rsidP="00552A38">
      <w:pPr>
        <w:spacing w:line="360" w:lineRule="exact"/>
        <w:rPr>
          <w:rFonts w:ascii="微软雅黑" w:eastAsia="微软雅黑" w:hAnsi="微软雅黑" w:cs="微软雅黑"/>
          <w:color w:val="262626" w:themeColor="text1" w:themeTint="D9"/>
        </w:rPr>
      </w:pPr>
      <w:r>
        <w:rPr>
          <w:rFonts w:ascii="微软雅黑" w:eastAsia="微软雅黑" w:hAnsi="微软雅黑" w:cs="微软雅黑" w:hint="eastAsia"/>
          <w:color w:val="262626" w:themeColor="text1" w:themeTint="D9"/>
        </w:rPr>
        <w:t>8. 确保PC在内控中扮演重要角色</w:t>
      </w:r>
    </w:p>
    <w:p w14:paraId="4475AC00" w14:textId="77777777" w:rsidR="00552A38" w:rsidRDefault="00552A38" w:rsidP="00552A38">
      <w:pPr>
        <w:spacing w:line="360" w:lineRule="exact"/>
        <w:rPr>
          <w:rFonts w:ascii="微软雅黑" w:eastAsia="微软雅黑" w:hAnsi="微软雅黑" w:cs="微软雅黑"/>
          <w:color w:val="262626" w:themeColor="text1" w:themeTint="D9"/>
        </w:rPr>
      </w:pPr>
    </w:p>
    <w:p w14:paraId="2D8DE7EE" w14:textId="77777777" w:rsidR="0017186A" w:rsidRDefault="0017186A">
      <w:pPr>
        <w:spacing w:line="360" w:lineRule="exact"/>
        <w:rPr>
          <w:rFonts w:ascii="微软雅黑" w:eastAsia="微软雅黑" w:hAnsi="微软雅黑" w:cs="微软雅黑" w:hint="eastAsia"/>
          <w:b/>
          <w:bCs/>
          <w:color w:val="C00000"/>
          <w:sz w:val="28"/>
          <w:szCs w:val="28"/>
        </w:rPr>
      </w:pPr>
    </w:p>
    <w:p w14:paraId="38074FC2" w14:textId="77777777" w:rsidR="0017186A" w:rsidRDefault="00DB2009">
      <w:pPr>
        <w:spacing w:line="360" w:lineRule="exact"/>
        <w:rPr>
          <w:rFonts w:ascii="微软雅黑" w:eastAsia="微软雅黑" w:hAnsi="微软雅黑" w:cs="微软雅黑"/>
          <w:color w:val="FFFFFF" w:themeColor="background1"/>
          <w:sz w:val="28"/>
          <w:szCs w:val="28"/>
        </w:rPr>
      </w:pPr>
      <w:r>
        <w:rPr>
          <w:rFonts w:ascii="微软雅黑" w:eastAsia="微软雅黑" w:hAnsi="微软雅黑" w:cs="微软雅黑" w:hint="eastAsia"/>
          <w:color w:val="C00000"/>
          <w:sz w:val="28"/>
          <w:szCs w:val="28"/>
        </w:rPr>
        <w:t>主讲嘉宾&gt;&gt;</w:t>
      </w:r>
    </w:p>
    <w:p w14:paraId="0B8B8518" w14:textId="6150DA2A" w:rsidR="0017186A" w:rsidRDefault="00DB2009">
      <w:pPr>
        <w:pStyle w:val="1"/>
        <w:widowControl/>
        <w:numPr>
          <w:ilvl w:val="0"/>
          <w:numId w:val="0"/>
        </w:numPr>
        <w:spacing w:before="0" w:after="0" w:line="400" w:lineRule="exact"/>
        <w:jc w:val="left"/>
        <w:rPr>
          <w:rFonts w:ascii="微软雅黑" w:eastAsia="微软雅黑" w:hAnsi="微软雅黑" w:cs="微软雅黑"/>
          <w:color w:val="000000"/>
          <w:sz w:val="21"/>
          <w:szCs w:val="21"/>
        </w:rPr>
      </w:pPr>
      <w:r>
        <w:rPr>
          <w:rFonts w:ascii="微软雅黑" w:eastAsia="微软雅黑" w:hAnsi="微软雅黑" w:cs="微软雅黑" w:hint="eastAsia"/>
          <w:b/>
          <w:color w:val="000000"/>
          <w:sz w:val="21"/>
          <w:szCs w:val="21"/>
        </w:rPr>
        <w:t xml:space="preserve">                    </w:t>
      </w:r>
    </w:p>
    <w:p w14:paraId="72D998E0" w14:textId="77777777" w:rsidR="00552A38" w:rsidRDefault="00552A38" w:rsidP="00552A38">
      <w:pPr>
        <w:spacing w:line="360" w:lineRule="exact"/>
        <w:jc w:val="left"/>
        <w:rPr>
          <w:rFonts w:ascii="微软雅黑" w:eastAsia="微软雅黑" w:hAnsi="微软雅黑" w:cs="微软雅黑"/>
          <w:b/>
          <w:bCs/>
          <w:color w:val="C00000"/>
          <w:sz w:val="32"/>
          <w:szCs w:val="32"/>
        </w:rPr>
      </w:pPr>
      <w:r>
        <w:rPr>
          <w:rFonts w:ascii="微软雅黑" w:eastAsia="微软雅黑" w:hAnsi="微软雅黑" w:cs="微软雅黑" w:hint="eastAsia"/>
          <w:b/>
          <w:bCs/>
          <w:color w:val="2E74B5" w:themeColor="accent1" w:themeShade="BF"/>
          <w:sz w:val="32"/>
          <w:szCs w:val="32"/>
        </w:rPr>
        <w:t>马 良</w:t>
      </w:r>
      <w:r>
        <w:rPr>
          <w:rFonts w:ascii="微软雅黑" w:eastAsia="微软雅黑" w:hAnsi="微软雅黑" w:cs="微软雅黑" w:hint="eastAsia"/>
          <w:b/>
          <w:bCs/>
          <w:color w:val="C00000"/>
          <w:sz w:val="32"/>
          <w:szCs w:val="32"/>
        </w:rPr>
        <w:t xml:space="preserve"> </w:t>
      </w:r>
    </w:p>
    <w:p w14:paraId="20CABCD7" w14:textId="77777777" w:rsidR="00552A38" w:rsidRDefault="00552A38" w:rsidP="00552A38">
      <w:pPr>
        <w:spacing w:line="360" w:lineRule="exact"/>
        <w:jc w:val="left"/>
        <w:rPr>
          <w:rFonts w:ascii="微软雅黑" w:eastAsia="微软雅黑" w:hAnsi="微软雅黑" w:cs="微软雅黑"/>
          <w:b/>
          <w:bCs/>
          <w:color w:val="262626" w:themeColor="text1" w:themeTint="D9"/>
          <w:sz w:val="24"/>
          <w:szCs w:val="24"/>
        </w:rPr>
      </w:pPr>
      <w:r>
        <w:rPr>
          <w:rFonts w:ascii="微软雅黑" w:eastAsia="微软雅黑" w:hAnsi="微软雅黑" w:cs="微软雅黑" w:hint="eastAsia"/>
          <w:b/>
          <w:bCs/>
          <w:color w:val="262626" w:themeColor="text1" w:themeTint="D9"/>
          <w:sz w:val="24"/>
          <w:szCs w:val="24"/>
        </w:rPr>
        <w:t>华为公司前财经高管、副总裁</w:t>
      </w:r>
    </w:p>
    <w:p w14:paraId="1CBB5A80" w14:textId="77777777" w:rsidR="00552A38" w:rsidRDefault="00552A38" w:rsidP="00552A38">
      <w:pPr>
        <w:spacing w:line="360" w:lineRule="exact"/>
        <w:rPr>
          <w:rFonts w:ascii="微软雅黑" w:eastAsia="微软雅黑" w:hAnsi="微软雅黑" w:cs="微软雅黑"/>
          <w:b/>
          <w:bCs/>
          <w:color w:val="262626" w:themeColor="text1" w:themeTint="D9"/>
          <w:sz w:val="24"/>
          <w:szCs w:val="24"/>
        </w:rPr>
      </w:pPr>
      <w:r>
        <w:rPr>
          <w:rFonts w:ascii="微软雅黑" w:eastAsia="微软雅黑" w:hAnsi="微软雅黑" w:cs="微软雅黑"/>
          <w:b/>
          <w:bCs/>
          <w:color w:val="262626" w:themeColor="text1" w:themeTint="D9"/>
          <w:sz w:val="24"/>
          <w:szCs w:val="24"/>
        </w:rPr>
        <w:t>20年华为</w:t>
      </w:r>
      <w:r>
        <w:rPr>
          <w:rFonts w:ascii="微软雅黑" w:eastAsia="微软雅黑" w:hAnsi="微软雅黑" w:cs="微软雅黑" w:hint="eastAsia"/>
          <w:b/>
          <w:bCs/>
          <w:color w:val="262626" w:themeColor="text1" w:themeTint="D9"/>
          <w:sz w:val="24"/>
          <w:szCs w:val="24"/>
        </w:rPr>
        <w:t>工作</w:t>
      </w:r>
      <w:r>
        <w:rPr>
          <w:rFonts w:ascii="微软雅黑" w:eastAsia="微软雅黑" w:hAnsi="微软雅黑" w:cs="微软雅黑"/>
          <w:b/>
          <w:bCs/>
          <w:color w:val="262626" w:themeColor="text1" w:themeTint="D9"/>
          <w:sz w:val="24"/>
          <w:szCs w:val="24"/>
        </w:rPr>
        <w:t>经历</w:t>
      </w:r>
    </w:p>
    <w:p w14:paraId="5A8BA489" w14:textId="77777777" w:rsidR="00552A38" w:rsidRDefault="00552A38" w:rsidP="00552A38">
      <w:pPr>
        <w:spacing w:line="360" w:lineRule="exact"/>
        <w:rPr>
          <w:rFonts w:ascii="微软雅黑" w:eastAsia="微软雅黑" w:hAnsi="微软雅黑" w:cs="微软雅黑"/>
          <w:color w:val="3F3F3F"/>
          <w:sz w:val="24"/>
          <w:szCs w:val="24"/>
        </w:rPr>
      </w:pPr>
    </w:p>
    <w:p w14:paraId="3A33F2E9" w14:textId="77777777" w:rsidR="00552A38" w:rsidRDefault="00552A38" w:rsidP="00552A38">
      <w:pPr>
        <w:spacing w:line="360" w:lineRule="exact"/>
        <w:rPr>
          <w:rFonts w:ascii="微软雅黑" w:eastAsia="微软雅黑" w:hAnsi="微软雅黑" w:cs="微软雅黑"/>
          <w:b/>
          <w:bCs/>
          <w:color w:val="595959" w:themeColor="text1" w:themeTint="A6"/>
          <w:sz w:val="24"/>
          <w:szCs w:val="24"/>
        </w:rPr>
      </w:pPr>
      <w:r>
        <w:rPr>
          <w:rFonts w:ascii="微软雅黑" w:eastAsia="微软雅黑" w:hAnsi="微软雅黑" w:cs="微软雅黑" w:hint="eastAsia"/>
          <w:color w:val="595959" w:themeColor="text1" w:themeTint="A6"/>
          <w:sz w:val="24"/>
          <w:szCs w:val="24"/>
        </w:rPr>
        <w:t>亲自参与构建华为公司战略，全面预算，担任华为高级管理干部十多年，既有丰富的一线从业经验，也有丰富的高管视野。</w:t>
      </w:r>
    </w:p>
    <w:p w14:paraId="027DA55E" w14:textId="77777777" w:rsidR="0017186A" w:rsidRDefault="0017186A">
      <w:pPr>
        <w:spacing w:line="320" w:lineRule="exact"/>
        <w:rPr>
          <w:rFonts w:ascii="微软雅黑" w:eastAsia="微软雅黑" w:hAnsi="微软雅黑" w:cs="Times New Roman"/>
          <w:color w:val="000000"/>
          <w:szCs w:val="21"/>
        </w:rPr>
      </w:pPr>
    </w:p>
    <w:sectPr w:rsidR="0017186A">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BC6C" w14:textId="77777777" w:rsidR="00EA6313" w:rsidRDefault="00EA6313">
      <w:r>
        <w:separator/>
      </w:r>
    </w:p>
  </w:endnote>
  <w:endnote w:type="continuationSeparator" w:id="0">
    <w:p w14:paraId="1AFCBF4F" w14:textId="77777777" w:rsidR="00EA6313" w:rsidRDefault="00EA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Heiti SC Light">
    <w:altName w:val="宋体"/>
    <w:charset w:val="86"/>
    <w:family w:val="auto"/>
    <w:pitch w:val="default"/>
    <w:sig w:usb0="00000000" w:usb1="00000000" w:usb2="00000010" w:usb3="00000000" w:csb0="003E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兰亭粗黑简体">
    <w:altName w:val="微软雅黑"/>
    <w:charset w:val="86"/>
    <w:family w:val="auto"/>
    <w:pitch w:val="default"/>
    <w:sig w:usb0="00000001" w:usb1="08000000" w:usb2="00000000" w:usb3="00000000" w:csb0="00040000" w:csb1="00000000"/>
  </w:font>
  <w:font w:name="造字工房力黑（非商用）常规体">
    <w:panose1 w:val="00000000000000000000"/>
    <w:charset w:val="86"/>
    <w:family w:val="modern"/>
    <w:notTrueType/>
    <w:pitch w:val="variable"/>
    <w:sig w:usb0="00000003" w:usb1="080F0000" w:usb2="0000001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B947" w14:textId="77777777" w:rsidR="0017186A" w:rsidRDefault="00DB2009">
    <w:pPr>
      <w:pStyle w:val="a7"/>
    </w:pPr>
    <w:r>
      <w:rPr>
        <w:noProof/>
      </w:rPr>
      <mc:AlternateContent>
        <mc:Choice Requires="wps">
          <w:drawing>
            <wp:anchor distT="0" distB="0" distL="114935" distR="114935" simplePos="0" relativeHeight="251659776" behindDoc="1" locked="0" layoutInCell="1" allowOverlap="1" wp14:anchorId="0B57B1EF" wp14:editId="3E51C982">
              <wp:simplePos x="0" y="0"/>
              <wp:positionH relativeFrom="column">
                <wp:posOffset>-428625</wp:posOffset>
              </wp:positionH>
              <wp:positionV relativeFrom="paragraph">
                <wp:posOffset>182245</wp:posOffset>
              </wp:positionV>
              <wp:extent cx="7302500" cy="276225"/>
              <wp:effectExtent l="0" t="0" r="12700" b="9525"/>
              <wp:wrapNone/>
              <wp:docPr id="7" name="圆角矩形 7"/>
              <wp:cNvGraphicFramePr/>
              <a:graphic xmlns:a="http://schemas.openxmlformats.org/drawingml/2006/main">
                <a:graphicData uri="http://schemas.microsoft.com/office/word/2010/wordprocessingShape">
                  <wps:wsp>
                    <wps:cNvSpPr/>
                    <wps:spPr>
                      <a:xfrm>
                        <a:off x="0" y="0"/>
                        <a:ext cx="7302500" cy="276225"/>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40FAA2D" id="圆角矩形 7" o:spid="_x0000_s1026" style="position:absolute;left:0;text-align:left;margin-left:-33.75pt;margin-top:14.35pt;width:575pt;height:21.75pt;z-index:-251656704;visibility:visible;mso-wrap-style:square;mso-wrap-distance-left:9.05pt;mso-wrap-distance-top:0;mso-wrap-distance-right:9.05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" fillcolor="#acb9ca [1311]" stroked="f"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62AC5618" wp14:editId="086FB6B5">
              <wp:simplePos x="0" y="0"/>
              <wp:positionH relativeFrom="margin">
                <wp:posOffset>-71755</wp:posOffset>
              </wp:positionH>
              <wp:positionV relativeFrom="paragraph">
                <wp:posOffset>175260</wp:posOffset>
              </wp:positionV>
              <wp:extent cx="137160" cy="2197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7160" cy="219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E4EE68" w14:textId="1723478B" w:rsidR="0017186A" w:rsidRDefault="00DB2009">
                          <w:pPr>
                            <w:pStyle w:val="a7"/>
                            <w:rPr>
                              <w:rFonts w:ascii="微软雅黑" w:eastAsia="微软雅黑" w:hAnsi="微软雅黑" w:cs="微软雅黑"/>
                              <w:color w:val="FFFFFF" w:themeColor="background1"/>
                              <w:sz w:val="24"/>
                              <w:szCs w:val="36"/>
                            </w:rPr>
                          </w:pPr>
                          <w:r>
                            <w:rPr>
                              <w:rFonts w:ascii="微软雅黑" w:eastAsia="微软雅黑" w:hAnsi="微软雅黑" w:cs="微软雅黑" w:hint="eastAsia"/>
                              <w:color w:val="FFFFFF" w:themeColor="background1"/>
                              <w:sz w:val="24"/>
                              <w:szCs w:val="36"/>
                            </w:rPr>
                            <w:fldChar w:fldCharType="begin"/>
                          </w:r>
                          <w:r>
                            <w:rPr>
                              <w:rFonts w:ascii="微软雅黑" w:eastAsia="微软雅黑" w:hAnsi="微软雅黑" w:cs="微软雅黑" w:hint="eastAsia"/>
                              <w:color w:val="FFFFFF" w:themeColor="background1"/>
                              <w:sz w:val="24"/>
                              <w:szCs w:val="36"/>
                            </w:rPr>
                            <w:instrText xml:space="preserve"> PAGE  \* MERGEFORMAT </w:instrText>
                          </w:r>
                          <w:r>
                            <w:rPr>
                              <w:rFonts w:ascii="微软雅黑" w:eastAsia="微软雅黑" w:hAnsi="微软雅黑" w:cs="微软雅黑" w:hint="eastAsia"/>
                              <w:color w:val="FFFFFF" w:themeColor="background1"/>
                              <w:sz w:val="24"/>
                              <w:szCs w:val="36"/>
                            </w:rPr>
                            <w:fldChar w:fldCharType="separate"/>
                          </w:r>
                          <w:r w:rsidR="00AB2F50">
                            <w:rPr>
                              <w:rFonts w:ascii="微软雅黑" w:eastAsia="微软雅黑" w:hAnsi="微软雅黑" w:cs="微软雅黑"/>
                              <w:noProof/>
                              <w:color w:val="FFFFFF" w:themeColor="background1"/>
                              <w:sz w:val="24"/>
                              <w:szCs w:val="36"/>
                            </w:rPr>
                            <w:t>1</w:t>
                          </w:r>
                          <w:r>
                            <w:rPr>
                              <w:rFonts w:ascii="微软雅黑" w:eastAsia="微软雅黑" w:hAnsi="微软雅黑" w:cs="微软雅黑" w:hint="eastAsia"/>
                              <w:color w:val="FFFFFF" w:themeColor="background1"/>
                              <w:sz w:val="24"/>
                              <w:szCs w:val="36"/>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62AC5618" id="_x0000_t202" coordsize="21600,21600" o:spt="202" path="m,l,21600r21600,l21600,xe">
              <v:stroke joinstyle="miter"/>
              <v:path gradientshapeok="t" o:connecttype="rect"/>
            </v:shapetype>
            <v:shape id="文本框 6" o:spid="_x0000_s1026" type="#_x0000_t202" style="position:absolute;margin-left:-5.65pt;margin-top:13.8pt;width:10.8pt;height:17.3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" filled="f" stroked="f" strokeweight=".5pt">
              <v:textbox inset="0,0,0,0">
                <w:txbxContent>
                  <w:p w14:paraId="33E4EE68" w14:textId="1723478B" w:rsidR="0017186A" w:rsidRDefault="00DB2009">
                    <w:pPr>
                      <w:pStyle w:val="a7"/>
                      <w:rPr>
                        <w:rFonts w:ascii="微软雅黑" w:eastAsia="微软雅黑" w:hAnsi="微软雅黑" w:cs="微软雅黑"/>
                        <w:color w:val="FFFFFF" w:themeColor="background1"/>
                        <w:sz w:val="24"/>
                        <w:szCs w:val="36"/>
                      </w:rPr>
                    </w:pPr>
                    <w:r>
                      <w:rPr>
                        <w:rFonts w:ascii="微软雅黑" w:eastAsia="微软雅黑" w:hAnsi="微软雅黑" w:cs="微软雅黑" w:hint="eastAsia"/>
                        <w:color w:val="FFFFFF" w:themeColor="background1"/>
                        <w:sz w:val="24"/>
                        <w:szCs w:val="36"/>
                      </w:rPr>
                      <w:fldChar w:fldCharType="begin"/>
                    </w:r>
                    <w:r>
                      <w:rPr>
                        <w:rFonts w:ascii="微软雅黑" w:eastAsia="微软雅黑" w:hAnsi="微软雅黑" w:cs="微软雅黑" w:hint="eastAsia"/>
                        <w:color w:val="FFFFFF" w:themeColor="background1"/>
                        <w:sz w:val="24"/>
                        <w:szCs w:val="36"/>
                      </w:rPr>
                      <w:instrText xml:space="preserve"> PAGE  \* MERGEFORMAT </w:instrText>
                    </w:r>
                    <w:r>
                      <w:rPr>
                        <w:rFonts w:ascii="微软雅黑" w:eastAsia="微软雅黑" w:hAnsi="微软雅黑" w:cs="微软雅黑" w:hint="eastAsia"/>
                        <w:color w:val="FFFFFF" w:themeColor="background1"/>
                        <w:sz w:val="24"/>
                        <w:szCs w:val="36"/>
                      </w:rPr>
                      <w:fldChar w:fldCharType="separate"/>
                    </w:r>
                    <w:r w:rsidR="00AB2F50">
                      <w:rPr>
                        <w:rFonts w:ascii="微软雅黑" w:eastAsia="微软雅黑" w:hAnsi="微软雅黑" w:cs="微软雅黑"/>
                        <w:noProof/>
                        <w:color w:val="FFFFFF" w:themeColor="background1"/>
                        <w:sz w:val="24"/>
                        <w:szCs w:val="36"/>
                      </w:rPr>
                      <w:t>1</w:t>
                    </w:r>
                    <w:r>
                      <w:rPr>
                        <w:rFonts w:ascii="微软雅黑" w:eastAsia="微软雅黑" w:hAnsi="微软雅黑" w:cs="微软雅黑" w:hint="eastAsia"/>
                        <w:color w:val="FFFFFF" w:themeColor="background1"/>
                        <w:sz w:val="24"/>
                        <w:szCs w:val="3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A4D1" w14:textId="77777777" w:rsidR="00EA6313" w:rsidRDefault="00EA6313">
      <w:r>
        <w:separator/>
      </w:r>
    </w:p>
  </w:footnote>
  <w:footnote w:type="continuationSeparator" w:id="0">
    <w:p w14:paraId="48822704" w14:textId="77777777" w:rsidR="00EA6313" w:rsidRDefault="00EA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CB27" w14:textId="137CF532" w:rsidR="0017186A" w:rsidRDefault="001718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6011"/>
    <w:multiLevelType w:val="multilevel"/>
    <w:tmpl w:val="1A3E601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333A6D94"/>
    <w:multiLevelType w:val="multilevel"/>
    <w:tmpl w:val="333A6D94"/>
    <w:lvl w:ilvl="0">
      <w:start w:val="1"/>
      <w:numFmt w:val="bullet"/>
      <w:pStyle w:val="15"/>
      <w:lvlText w:val=""/>
      <w:lvlJc w:val="left"/>
      <w:pPr>
        <w:tabs>
          <w:tab w:val="left" w:pos="420"/>
        </w:tabs>
        <w:ind w:left="420" w:hanging="420"/>
      </w:pPr>
      <w:rPr>
        <w:rFonts w:ascii="Wingdings" w:hAnsi="Wingdings" w:hint="default"/>
        <w:color w:val="FF5050"/>
        <w:sz w:val="21"/>
      </w:rPr>
    </w:lvl>
    <w:lvl w:ilvl="1">
      <w:start w:val="1"/>
      <w:numFmt w:val="chineseCountingThousand"/>
      <w:lvlText w:val="%2、"/>
      <w:lvlJc w:val="left"/>
      <w:pPr>
        <w:tabs>
          <w:tab w:val="left" w:pos="840"/>
        </w:tabs>
        <w:ind w:left="840" w:hanging="420"/>
      </w:pPr>
      <w:rPr>
        <w:rFonts w:hint="default"/>
        <w:color w:val="FF5050"/>
        <w:sz w:val="21"/>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48FB0E3A"/>
    <w:multiLevelType w:val="multilevel"/>
    <w:tmpl w:val="48FB0E3A"/>
    <w:lvl w:ilvl="0">
      <w:start w:val="1"/>
      <w:numFmt w:val="decimal"/>
      <w:pStyle w:val="1"/>
      <w:lvlText w:val="%1."/>
      <w:lvlJc w:val="left"/>
      <w:pPr>
        <w:ind w:left="360" w:hanging="360"/>
      </w:pPr>
      <w:rPr>
        <w:rFonts w:hint="default"/>
      </w:rPr>
    </w:lvl>
    <w:lvl w:ilvl="1">
      <w:start w:val="1"/>
      <w:numFmt w:val="decimal"/>
      <w:lvlText w:val="%2."/>
      <w:lvlJc w:val="left"/>
      <w:pPr>
        <w:ind w:left="840" w:hanging="480"/>
      </w:pPr>
      <w:rPr>
        <w:rFonts w:hint="default"/>
      </w:rPr>
    </w:lvl>
    <w:lvl w:ilvl="2">
      <w:start w:val="1"/>
      <w:numFmt w:val="lowerRoman"/>
      <w:pStyle w:val="3"/>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 w15:restartNumberingAfterBreak="0">
    <w:nsid w:val="497851F3"/>
    <w:multiLevelType w:val="multilevel"/>
    <w:tmpl w:val="497851F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7CD0798E"/>
    <w:multiLevelType w:val="multilevel"/>
    <w:tmpl w:val="7CD0798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20"/>
    <w:rsid w:val="00001F93"/>
    <w:rsid w:val="000050A2"/>
    <w:rsid w:val="00014516"/>
    <w:rsid w:val="00061F19"/>
    <w:rsid w:val="000662F6"/>
    <w:rsid w:val="00066AF6"/>
    <w:rsid w:val="0007430A"/>
    <w:rsid w:val="00075B61"/>
    <w:rsid w:val="000867F0"/>
    <w:rsid w:val="000A2BDD"/>
    <w:rsid w:val="000B1FBB"/>
    <w:rsid w:val="000B5F47"/>
    <w:rsid w:val="000E29D7"/>
    <w:rsid w:val="000F00F8"/>
    <w:rsid w:val="00104A48"/>
    <w:rsid w:val="001401FE"/>
    <w:rsid w:val="0015381A"/>
    <w:rsid w:val="00163E21"/>
    <w:rsid w:val="0017186A"/>
    <w:rsid w:val="001769F9"/>
    <w:rsid w:val="00181CBA"/>
    <w:rsid w:val="001939B9"/>
    <w:rsid w:val="00194ECF"/>
    <w:rsid w:val="001B37E2"/>
    <w:rsid w:val="001C0951"/>
    <w:rsid w:val="001C141B"/>
    <w:rsid w:val="001C61B5"/>
    <w:rsid w:val="001C6FB6"/>
    <w:rsid w:val="001F3418"/>
    <w:rsid w:val="001F35C9"/>
    <w:rsid w:val="002069CF"/>
    <w:rsid w:val="00215A18"/>
    <w:rsid w:val="00225548"/>
    <w:rsid w:val="002435E0"/>
    <w:rsid w:val="00255AAA"/>
    <w:rsid w:val="00256F3B"/>
    <w:rsid w:val="002820C7"/>
    <w:rsid w:val="00287339"/>
    <w:rsid w:val="002A18A8"/>
    <w:rsid w:val="002B27E2"/>
    <w:rsid w:val="002B54E2"/>
    <w:rsid w:val="002C506A"/>
    <w:rsid w:val="002D0F6B"/>
    <w:rsid w:val="002D73EE"/>
    <w:rsid w:val="002E2CAC"/>
    <w:rsid w:val="002F42E2"/>
    <w:rsid w:val="002F6DA7"/>
    <w:rsid w:val="003063D0"/>
    <w:rsid w:val="00311ED1"/>
    <w:rsid w:val="00317C6E"/>
    <w:rsid w:val="0032420E"/>
    <w:rsid w:val="0034608E"/>
    <w:rsid w:val="00352F3C"/>
    <w:rsid w:val="00355C32"/>
    <w:rsid w:val="003657CB"/>
    <w:rsid w:val="003768E9"/>
    <w:rsid w:val="003772F6"/>
    <w:rsid w:val="00391C29"/>
    <w:rsid w:val="00393C1B"/>
    <w:rsid w:val="003A2E43"/>
    <w:rsid w:val="003A5F0B"/>
    <w:rsid w:val="003A77DB"/>
    <w:rsid w:val="003A782A"/>
    <w:rsid w:val="003B0773"/>
    <w:rsid w:val="003C637D"/>
    <w:rsid w:val="003D2271"/>
    <w:rsid w:val="003D400E"/>
    <w:rsid w:val="0040118D"/>
    <w:rsid w:val="004147EC"/>
    <w:rsid w:val="00427FC3"/>
    <w:rsid w:val="0044462F"/>
    <w:rsid w:val="00447C76"/>
    <w:rsid w:val="00450F85"/>
    <w:rsid w:val="0045768B"/>
    <w:rsid w:val="004877D3"/>
    <w:rsid w:val="004974E5"/>
    <w:rsid w:val="004A7B41"/>
    <w:rsid w:val="004D0754"/>
    <w:rsid w:val="004E1760"/>
    <w:rsid w:val="004E6F5B"/>
    <w:rsid w:val="004E7086"/>
    <w:rsid w:val="004F045A"/>
    <w:rsid w:val="004F4F3D"/>
    <w:rsid w:val="00524EF7"/>
    <w:rsid w:val="00526496"/>
    <w:rsid w:val="00552A38"/>
    <w:rsid w:val="00557D9B"/>
    <w:rsid w:val="00562B6C"/>
    <w:rsid w:val="005A6E57"/>
    <w:rsid w:val="005B2C15"/>
    <w:rsid w:val="005B510F"/>
    <w:rsid w:val="005C49DD"/>
    <w:rsid w:val="005D67F6"/>
    <w:rsid w:val="005D7490"/>
    <w:rsid w:val="005E26BB"/>
    <w:rsid w:val="00624309"/>
    <w:rsid w:val="00632479"/>
    <w:rsid w:val="00641929"/>
    <w:rsid w:val="006646B2"/>
    <w:rsid w:val="00666E16"/>
    <w:rsid w:val="00685BB6"/>
    <w:rsid w:val="00690855"/>
    <w:rsid w:val="006A349B"/>
    <w:rsid w:val="006B2941"/>
    <w:rsid w:val="006C1045"/>
    <w:rsid w:val="006E191D"/>
    <w:rsid w:val="006F56E7"/>
    <w:rsid w:val="00701B17"/>
    <w:rsid w:val="00705F4E"/>
    <w:rsid w:val="00720261"/>
    <w:rsid w:val="00726047"/>
    <w:rsid w:val="00745BA8"/>
    <w:rsid w:val="00752B8D"/>
    <w:rsid w:val="00760BBB"/>
    <w:rsid w:val="00760F6E"/>
    <w:rsid w:val="00766710"/>
    <w:rsid w:val="00792C15"/>
    <w:rsid w:val="007B6BB8"/>
    <w:rsid w:val="007E6E72"/>
    <w:rsid w:val="0081625C"/>
    <w:rsid w:val="008241F9"/>
    <w:rsid w:val="0087183E"/>
    <w:rsid w:val="008A5048"/>
    <w:rsid w:val="008A5E3C"/>
    <w:rsid w:val="008C56CA"/>
    <w:rsid w:val="008C7110"/>
    <w:rsid w:val="008D4F9A"/>
    <w:rsid w:val="008D7EE9"/>
    <w:rsid w:val="008E5138"/>
    <w:rsid w:val="008F71C5"/>
    <w:rsid w:val="00925EB7"/>
    <w:rsid w:val="0093426A"/>
    <w:rsid w:val="00941E43"/>
    <w:rsid w:val="00956A5D"/>
    <w:rsid w:val="00972D02"/>
    <w:rsid w:val="009839D2"/>
    <w:rsid w:val="009969C6"/>
    <w:rsid w:val="009B2118"/>
    <w:rsid w:val="009E4EB5"/>
    <w:rsid w:val="00A0717A"/>
    <w:rsid w:val="00A131B3"/>
    <w:rsid w:val="00A21593"/>
    <w:rsid w:val="00A3213F"/>
    <w:rsid w:val="00A33502"/>
    <w:rsid w:val="00A3790C"/>
    <w:rsid w:val="00A514F2"/>
    <w:rsid w:val="00A659AC"/>
    <w:rsid w:val="00A71279"/>
    <w:rsid w:val="00A717E5"/>
    <w:rsid w:val="00A77CF5"/>
    <w:rsid w:val="00A8059D"/>
    <w:rsid w:val="00AA649E"/>
    <w:rsid w:val="00AB152D"/>
    <w:rsid w:val="00AB2F50"/>
    <w:rsid w:val="00AB6F7B"/>
    <w:rsid w:val="00AC2387"/>
    <w:rsid w:val="00AD3C1C"/>
    <w:rsid w:val="00AD4997"/>
    <w:rsid w:val="00AE1098"/>
    <w:rsid w:val="00AF4782"/>
    <w:rsid w:val="00AF5C81"/>
    <w:rsid w:val="00B119D4"/>
    <w:rsid w:val="00B260EC"/>
    <w:rsid w:val="00B40556"/>
    <w:rsid w:val="00B63A68"/>
    <w:rsid w:val="00B66F1F"/>
    <w:rsid w:val="00B742E9"/>
    <w:rsid w:val="00B95B6D"/>
    <w:rsid w:val="00BB77D2"/>
    <w:rsid w:val="00BC37F3"/>
    <w:rsid w:val="00BE0F7B"/>
    <w:rsid w:val="00C00C13"/>
    <w:rsid w:val="00C01192"/>
    <w:rsid w:val="00C051A3"/>
    <w:rsid w:val="00C10DC5"/>
    <w:rsid w:val="00C15338"/>
    <w:rsid w:val="00C21951"/>
    <w:rsid w:val="00C35CED"/>
    <w:rsid w:val="00C4460B"/>
    <w:rsid w:val="00C50AE2"/>
    <w:rsid w:val="00C56DC9"/>
    <w:rsid w:val="00C73089"/>
    <w:rsid w:val="00C83AFD"/>
    <w:rsid w:val="00C85502"/>
    <w:rsid w:val="00CA4C4C"/>
    <w:rsid w:val="00CB16D9"/>
    <w:rsid w:val="00CB61E3"/>
    <w:rsid w:val="00CB6329"/>
    <w:rsid w:val="00CC2BA9"/>
    <w:rsid w:val="00CC5203"/>
    <w:rsid w:val="00CD3B29"/>
    <w:rsid w:val="00D0007E"/>
    <w:rsid w:val="00D05AF5"/>
    <w:rsid w:val="00D35154"/>
    <w:rsid w:val="00D561E2"/>
    <w:rsid w:val="00D83715"/>
    <w:rsid w:val="00D84E61"/>
    <w:rsid w:val="00D96DDC"/>
    <w:rsid w:val="00DA5667"/>
    <w:rsid w:val="00DB2009"/>
    <w:rsid w:val="00DB32E3"/>
    <w:rsid w:val="00DC0B38"/>
    <w:rsid w:val="00DD2EF5"/>
    <w:rsid w:val="00DF6CE6"/>
    <w:rsid w:val="00E41B71"/>
    <w:rsid w:val="00E443AF"/>
    <w:rsid w:val="00E47B8C"/>
    <w:rsid w:val="00E5584D"/>
    <w:rsid w:val="00E654DD"/>
    <w:rsid w:val="00E66A75"/>
    <w:rsid w:val="00E75F5A"/>
    <w:rsid w:val="00E84898"/>
    <w:rsid w:val="00E96D5A"/>
    <w:rsid w:val="00EA04F0"/>
    <w:rsid w:val="00EA6313"/>
    <w:rsid w:val="00EB7AC1"/>
    <w:rsid w:val="00EC6725"/>
    <w:rsid w:val="00EE4468"/>
    <w:rsid w:val="00EF2BE7"/>
    <w:rsid w:val="00EF4B13"/>
    <w:rsid w:val="00EF63E0"/>
    <w:rsid w:val="00EF7A37"/>
    <w:rsid w:val="00F07F85"/>
    <w:rsid w:val="00F26B76"/>
    <w:rsid w:val="00F525C9"/>
    <w:rsid w:val="00F54B41"/>
    <w:rsid w:val="00F55277"/>
    <w:rsid w:val="00F610D4"/>
    <w:rsid w:val="00F7371C"/>
    <w:rsid w:val="00F85193"/>
    <w:rsid w:val="00FA1479"/>
    <w:rsid w:val="00FA6B28"/>
    <w:rsid w:val="00FA7E95"/>
    <w:rsid w:val="00FE6020"/>
    <w:rsid w:val="00FF795D"/>
    <w:rsid w:val="01203CD6"/>
    <w:rsid w:val="01F37906"/>
    <w:rsid w:val="02037A96"/>
    <w:rsid w:val="0402115D"/>
    <w:rsid w:val="05524C1B"/>
    <w:rsid w:val="067D0699"/>
    <w:rsid w:val="06E77663"/>
    <w:rsid w:val="0828615B"/>
    <w:rsid w:val="08AA061B"/>
    <w:rsid w:val="08EF7791"/>
    <w:rsid w:val="08F92131"/>
    <w:rsid w:val="08FE157E"/>
    <w:rsid w:val="09A315FD"/>
    <w:rsid w:val="09DB1401"/>
    <w:rsid w:val="0C52532B"/>
    <w:rsid w:val="0C5317D6"/>
    <w:rsid w:val="0C712B5F"/>
    <w:rsid w:val="0C803946"/>
    <w:rsid w:val="0D6A4BEE"/>
    <w:rsid w:val="0FC52359"/>
    <w:rsid w:val="10833D47"/>
    <w:rsid w:val="11A33AF3"/>
    <w:rsid w:val="11B4368D"/>
    <w:rsid w:val="12387D25"/>
    <w:rsid w:val="128D10B3"/>
    <w:rsid w:val="143E1731"/>
    <w:rsid w:val="1585675A"/>
    <w:rsid w:val="163D2F1D"/>
    <w:rsid w:val="16EE35E6"/>
    <w:rsid w:val="17465AC0"/>
    <w:rsid w:val="176F7818"/>
    <w:rsid w:val="17FA6B07"/>
    <w:rsid w:val="180D3576"/>
    <w:rsid w:val="18291C02"/>
    <w:rsid w:val="1AD17964"/>
    <w:rsid w:val="1B831C30"/>
    <w:rsid w:val="1C01095F"/>
    <w:rsid w:val="1C8340E0"/>
    <w:rsid w:val="1CF61A6D"/>
    <w:rsid w:val="1E5A0193"/>
    <w:rsid w:val="1EFA17DE"/>
    <w:rsid w:val="210C00FA"/>
    <w:rsid w:val="238C47D9"/>
    <w:rsid w:val="23FF7306"/>
    <w:rsid w:val="24770EDA"/>
    <w:rsid w:val="25F94592"/>
    <w:rsid w:val="264B4D47"/>
    <w:rsid w:val="2655305E"/>
    <w:rsid w:val="269E73DA"/>
    <w:rsid w:val="26AD459D"/>
    <w:rsid w:val="270544A1"/>
    <w:rsid w:val="293E77BF"/>
    <w:rsid w:val="29C06286"/>
    <w:rsid w:val="29F76F38"/>
    <w:rsid w:val="2AD210D1"/>
    <w:rsid w:val="2DE87F3E"/>
    <w:rsid w:val="2E605045"/>
    <w:rsid w:val="2E9F78E7"/>
    <w:rsid w:val="2FA712A7"/>
    <w:rsid w:val="307D13B1"/>
    <w:rsid w:val="30C66B72"/>
    <w:rsid w:val="30D97495"/>
    <w:rsid w:val="31202D06"/>
    <w:rsid w:val="31222586"/>
    <w:rsid w:val="325F513B"/>
    <w:rsid w:val="327E2FCE"/>
    <w:rsid w:val="32C85241"/>
    <w:rsid w:val="333D0AB5"/>
    <w:rsid w:val="334770AB"/>
    <w:rsid w:val="343F4DB3"/>
    <w:rsid w:val="354A2983"/>
    <w:rsid w:val="357F0861"/>
    <w:rsid w:val="35AB5704"/>
    <w:rsid w:val="35BD21FB"/>
    <w:rsid w:val="38031144"/>
    <w:rsid w:val="38840EDA"/>
    <w:rsid w:val="39B672EA"/>
    <w:rsid w:val="3B774BC4"/>
    <w:rsid w:val="3CC810A8"/>
    <w:rsid w:val="404E317E"/>
    <w:rsid w:val="40A13084"/>
    <w:rsid w:val="40A62751"/>
    <w:rsid w:val="412114C1"/>
    <w:rsid w:val="412A65BC"/>
    <w:rsid w:val="415C691F"/>
    <w:rsid w:val="41940744"/>
    <w:rsid w:val="42E277C6"/>
    <w:rsid w:val="42E33243"/>
    <w:rsid w:val="442F6552"/>
    <w:rsid w:val="449C65C6"/>
    <w:rsid w:val="44EE2F0E"/>
    <w:rsid w:val="452E4EFD"/>
    <w:rsid w:val="46930D50"/>
    <w:rsid w:val="487E60DE"/>
    <w:rsid w:val="488E284C"/>
    <w:rsid w:val="48ED50EF"/>
    <w:rsid w:val="4A892DC4"/>
    <w:rsid w:val="4B1E46D2"/>
    <w:rsid w:val="4BEA799F"/>
    <w:rsid w:val="4C7021E6"/>
    <w:rsid w:val="4D013951"/>
    <w:rsid w:val="4D6953FB"/>
    <w:rsid w:val="4E8F5D07"/>
    <w:rsid w:val="4F252B70"/>
    <w:rsid w:val="51416DD7"/>
    <w:rsid w:val="520B25FB"/>
    <w:rsid w:val="525C0AFE"/>
    <w:rsid w:val="539B282B"/>
    <w:rsid w:val="54201B0A"/>
    <w:rsid w:val="54E951C8"/>
    <w:rsid w:val="55C06829"/>
    <w:rsid w:val="55EF227B"/>
    <w:rsid w:val="57077C41"/>
    <w:rsid w:val="575D754F"/>
    <w:rsid w:val="58B772E8"/>
    <w:rsid w:val="5B340E40"/>
    <w:rsid w:val="5BE876FB"/>
    <w:rsid w:val="5CCF196B"/>
    <w:rsid w:val="5EE143C1"/>
    <w:rsid w:val="5F173AE7"/>
    <w:rsid w:val="5F4A26A2"/>
    <w:rsid w:val="608A76DD"/>
    <w:rsid w:val="60E81144"/>
    <w:rsid w:val="615F48EA"/>
    <w:rsid w:val="616804EE"/>
    <w:rsid w:val="61EB196A"/>
    <w:rsid w:val="626C2E65"/>
    <w:rsid w:val="6299163B"/>
    <w:rsid w:val="636F20D8"/>
    <w:rsid w:val="639D4BBF"/>
    <w:rsid w:val="6533572B"/>
    <w:rsid w:val="6569350A"/>
    <w:rsid w:val="656F5AFE"/>
    <w:rsid w:val="659E65BD"/>
    <w:rsid w:val="65C657C3"/>
    <w:rsid w:val="67D5312A"/>
    <w:rsid w:val="6934578A"/>
    <w:rsid w:val="695739D0"/>
    <w:rsid w:val="6B63040D"/>
    <w:rsid w:val="6FC16106"/>
    <w:rsid w:val="704E3DB2"/>
    <w:rsid w:val="70E14687"/>
    <w:rsid w:val="715957DC"/>
    <w:rsid w:val="71B74026"/>
    <w:rsid w:val="71F97E74"/>
    <w:rsid w:val="72E136BC"/>
    <w:rsid w:val="739828E8"/>
    <w:rsid w:val="73CB1A5E"/>
    <w:rsid w:val="746F11DA"/>
    <w:rsid w:val="750D5D82"/>
    <w:rsid w:val="76380AED"/>
    <w:rsid w:val="76D46FCC"/>
    <w:rsid w:val="77373D1C"/>
    <w:rsid w:val="77750CF1"/>
    <w:rsid w:val="78406E2B"/>
    <w:rsid w:val="78A234CD"/>
    <w:rsid w:val="78F215DB"/>
    <w:rsid w:val="79FD4F84"/>
    <w:rsid w:val="7A7402F0"/>
    <w:rsid w:val="7A770299"/>
    <w:rsid w:val="7A865F29"/>
    <w:rsid w:val="7AAD4939"/>
    <w:rsid w:val="7C5009E9"/>
    <w:rsid w:val="7C8A3C4A"/>
    <w:rsid w:val="7D7D6F55"/>
    <w:rsid w:val="7E601A42"/>
    <w:rsid w:val="7EAC4A9F"/>
    <w:rsid w:val="7F59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0F205C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numPr>
        <w:numId w:val="1"/>
      </w:numPr>
      <w:spacing w:before="600" w:after="60"/>
      <w:outlineLvl w:val="0"/>
    </w:pPr>
    <w:rPr>
      <w:rFonts w:asciiTheme="majorHAnsi" w:hAnsiTheme="majorHAnsi"/>
      <w:caps/>
      <w:color w:val="ED7D31" w:themeColor="accent2"/>
      <w:spacing w:val="14"/>
      <w:sz w:val="26"/>
      <w:szCs w:val="26"/>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iPriority w:val="9"/>
    <w:unhideWhenUsed/>
    <w:qFormat/>
    <w:pPr>
      <w:numPr>
        <w:ilvl w:val="2"/>
        <w:numId w:val="1"/>
      </w:numPr>
      <w:spacing w:before="40"/>
      <w:outlineLvl w:val="2"/>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24"/>
      <w:szCs w:val="24"/>
    </w:rPr>
  </w:style>
  <w:style w:type="paragraph" w:styleId="a5">
    <w:name w:val="Balloon Text"/>
    <w:basedOn w:val="a"/>
    <w:link w:val="a6"/>
    <w:uiPriority w:val="99"/>
    <w:unhideWhenUsed/>
    <w:qFormat/>
    <w:rPr>
      <w:rFonts w:ascii="Heiti SC Light" w:eastAsia="Heiti SC Light"/>
      <w:sz w:val="18"/>
      <w:szCs w:val="18"/>
    </w:rPr>
  </w:style>
  <w:style w:type="paragraph" w:styleId="a7">
    <w:name w:val="footer"/>
    <w:basedOn w:val="a"/>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FollowedHyperlink"/>
    <w:basedOn w:val="a0"/>
    <w:uiPriority w:val="99"/>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10">
    <w:name w:val="列出段落1"/>
    <w:basedOn w:val="a"/>
    <w:uiPriority w:val="99"/>
    <w:qFormat/>
    <w:pPr>
      <w:ind w:firstLineChars="200" w:firstLine="420"/>
    </w:pPr>
  </w:style>
  <w:style w:type="character" w:customStyle="1" w:styleId="a6">
    <w:name w:val="批注框文本 字符"/>
    <w:basedOn w:val="a0"/>
    <w:link w:val="a5"/>
    <w:uiPriority w:val="99"/>
    <w:semiHidden/>
    <w:qFormat/>
    <w:rPr>
      <w:rFonts w:ascii="Heiti SC Light" w:eastAsia="Heiti SC Light"/>
      <w:sz w:val="18"/>
      <w:szCs w:val="18"/>
    </w:rPr>
  </w:style>
  <w:style w:type="paragraph" w:customStyle="1" w:styleId="21">
    <w:name w:val="列出段落2"/>
    <w:basedOn w:val="a"/>
    <w:uiPriority w:val="99"/>
    <w:unhideWhenUsed/>
    <w:qFormat/>
    <w:pPr>
      <w:ind w:firstLineChars="200" w:firstLine="420"/>
    </w:pPr>
  </w:style>
  <w:style w:type="paragraph" w:customStyle="1" w:styleId="15">
    <w:name w:val="样式 蓝色 行距: 1.5 倍行距"/>
    <w:basedOn w:val="a"/>
    <w:qFormat/>
    <w:pPr>
      <w:numPr>
        <w:numId w:val="2"/>
      </w:numPr>
      <w:spacing w:line="360" w:lineRule="auto"/>
    </w:pPr>
    <w:rPr>
      <w:rFonts w:ascii="Arial" w:eastAsia="宋体" w:hAnsi="Arial" w:cs="Times New Roman"/>
      <w:szCs w:val="24"/>
    </w:rPr>
  </w:style>
  <w:style w:type="paragraph" w:customStyle="1" w:styleId="30">
    <w:name w:val="列出段落3"/>
    <w:basedOn w:val="a"/>
    <w:uiPriority w:val="99"/>
    <w:qFormat/>
    <w:pPr>
      <w:ind w:firstLineChars="200" w:firstLine="420"/>
    </w:pPr>
    <w:rPr>
      <w:rFonts w:ascii="Calibri" w:eastAsia="宋体" w:hAnsi="Calibri" w:cs="Times New Roman"/>
      <w:szCs w:val="24"/>
    </w:rPr>
  </w:style>
  <w:style w:type="character" w:customStyle="1" w:styleId="apple-converted-space">
    <w:name w:val="apple-converted-space"/>
    <w:basedOn w:val="a0"/>
    <w:qFormat/>
  </w:style>
  <w:style w:type="paragraph" w:customStyle="1" w:styleId="4">
    <w:name w:val="列出段落4"/>
    <w:basedOn w:val="a"/>
    <w:uiPriority w:val="34"/>
    <w:qFormat/>
    <w:pPr>
      <w:ind w:firstLineChars="200" w:firstLine="420"/>
    </w:pPr>
  </w:style>
  <w:style w:type="character" w:customStyle="1" w:styleId="a4">
    <w:name w:val="文档结构图 字符"/>
    <w:basedOn w:val="a0"/>
    <w:link w:val="a3"/>
    <w:uiPriority w:val="99"/>
    <w:semiHidden/>
    <w:qFormat/>
    <w:rPr>
      <w:rFonts w:ascii="宋体"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900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304</Words>
  <Characters>1734</Characters>
  <Application>Microsoft Office Word</Application>
  <DocSecurity>0</DocSecurity>
  <Lines>14</Lines>
  <Paragraphs>4</Paragraphs>
  <ScaleCrop>false</ScaleCrop>
  <Company>Geonol</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Xue</dc:creator>
  <cp:lastModifiedBy>Kevin Xue</cp:lastModifiedBy>
  <cp:revision>4</cp:revision>
  <cp:lastPrinted>2017-10-13T01:33:00Z</cp:lastPrinted>
  <dcterms:created xsi:type="dcterms:W3CDTF">2017-11-22T01:21:00Z</dcterms:created>
  <dcterms:modified xsi:type="dcterms:W3CDTF">2017-11-22T01:34:00Z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