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B9" w:rsidRDefault="006417CA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28575</wp:posOffset>
            </wp:positionV>
            <wp:extent cx="7567930" cy="2626360"/>
            <wp:effectExtent l="19050" t="0" r="0" b="0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126B47" w:rsidRPr="00126B47">
        <w:pict>
          <v:rect id="_x0000_s1026" style="position:absolute;left:0;text-align:left;margin-left:-90.35pt;margin-top:-72.65pt;width:599.2pt;height:55.45pt;z-index:251681792;mso-position-horizontal-relative:text;mso-position-vertical-relative:text;v-text-anchor:middle" o:gfxdata="UEsDBAoAAAAAAIdO4kAAAAAAAAAAAAAAAAAEAAAAZHJzL1BLAwQUAAAACACHTuJA9K0i3NsAAAAO&#10;AQAADwAAAGRycy9kb3ducmV2LnhtbE2PP2+DMBDF90r9DtZV6pbYFFIigskQqQNDpTbp0NHBLhCw&#10;jWzzJ9++x9Rud+89vftdflx0TyblfGsNh2jLgChTWdmamsPX5W2zB+KDMFL01igOd+XhWDw+5CKT&#10;djafajqHmmCJ8Zng0IQwZJT6qlFa+K0dlEHvxzotAq6uptKJGct1T18Ye6VatAYvNGJQp0ZV3XnU&#10;HLqy1OOyq6by4z29xW6+d5fvE+fPTxE7AAlqCX9hWPERHQpkutrRSE96Dptoz1LMrlOyi4GsGRal&#10;qF1Ri5MEaJHT/28Uv1BLAwQUAAAACACHTuJA39gb92ECAACYBAAADgAAAGRycy9lMm9Eb2MueG1s&#10;rVRLbtswEN0X6B0I7hvJjhInguXASOCiQNAEcIuuxxRpEeCvJG05vUyB7nqIHqfoNTqklMT9rIpq&#10;Qc9wBvNmHt94fnXQiuy5D9Kahk5OSkq4YbaVZtvQ9+9Wry4oCRFMC8oa3tAHHujV4uWLee9qPrWd&#10;VS33BIuYUPeuoV2Mri6KwDquIZxYxw0GhfUaIrp+W7QeeqyuVTEty/Oit7513jIeAt7eDEG6yPWF&#10;4CzeCRF4JKqh2FvMp8/nJp3FYg711oPrJBvbgH/oQoM0CPpU6gYikJ2Xf5TSknkbrIgnzOrCCiEZ&#10;zzPgNJPyt2nWHTieZ0FygnuiKfy/suzt/t4T2Tb0FOkxoPGNfnz++v3bF4IXyE7vQo1Ja3fvRy+g&#10;mUY9CK/TLw5BDg2tyqq6PKPkAWVQnZbldCSXHyJhGJ+dl5cXFYIwzJiV1XRyluoXz4WcD/E1t5ok&#10;o6EeHy9zCvvbEIfUx5SEG6yS7UoqlR2/3VwrT/aAD73K31j9lzRlSI/9TWdlagRQcEJBRFM7pCCY&#10;LSWgtqhkFn3GNjYhIDjUCfsGQjdg5LIJAmotI2pYSd3QizJ9I7IyKcqzCscJEpsDf8na2PYB2fd2&#10;kGVwbCUR5BZCvAePOsQmcbfiHR5CWezcjhYlnfWf/naf8lEeGKWkR13jVB934Dkl6o1B4VxOqvQI&#10;MTvV2QyfifjjyOY4Ynb62iKjE9xix7KZ8qN6NIW3+gOu4DKhYggMQ+yBv9G5jsO+4RIzvlzmNBS/&#10;g3hr1o6l4oknY5e7aIXML/3MDiokOSj/rJVxVdN+Hfs56/kPZfE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K0i3NsAAAAOAQAADwAAAAAAAAABACAAAAAiAAAAZHJzL2Rvd25yZXYueG1sUEsBAhQA&#10;FAAAAAgAh07iQN/YG/dhAgAAmAQAAA4AAAAAAAAAAQAgAAAAKgEAAGRycy9lMm9Eb2MueG1sUEsF&#10;BgAAAAAGAAYAWQEAAP0FAAAAAA==&#10;" stroked="f" strokeweight="1pt"/>
        </w:pict>
      </w:r>
      <w:r>
        <w:rPr>
          <w:rFonts w:eastAsiaTheme="minorEastAsia" w:hint="eastAsia"/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-847090</wp:posOffset>
            </wp:positionV>
            <wp:extent cx="2054225" cy="504825"/>
            <wp:effectExtent l="0" t="0" r="3175" b="9525"/>
            <wp:wrapSquare wrapText="bothSides"/>
            <wp:docPr id="2" name="图片 2" descr="未命名 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 -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 w:hint="eastAsia"/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-952500</wp:posOffset>
            </wp:positionV>
            <wp:extent cx="1954530" cy="698500"/>
            <wp:effectExtent l="0" t="0" r="0" b="0"/>
            <wp:wrapSquare wrapText="bothSides"/>
            <wp:docPr id="13" name="图片 13" descr="原稿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原稿LOGO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-217805</wp:posOffset>
            </wp:positionV>
            <wp:extent cx="7569835" cy="2642235"/>
            <wp:effectExtent l="0" t="0" r="12065" b="5715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264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6417CA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2564480" behindDoc="0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29210</wp:posOffset>
            </wp:positionV>
            <wp:extent cx="3361690" cy="1318260"/>
            <wp:effectExtent l="19050" t="0" r="0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126B47">
      <w:pPr>
        <w:rPr>
          <w:rFonts w:eastAsiaTheme="minorEastAsia"/>
        </w:rPr>
      </w:pPr>
      <w:r w:rsidRPr="00126B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31" type="#_x0000_t202" style="position:absolute;left:0;text-align:left;margin-left:-78.45pt;margin-top:7.4pt;width:571.85pt;height:277.65pt;z-index:251735040" o:gfxdata="UEsDBAoAAAAAAIdO4kAAAAAAAAAAAAAAAAAEAAAAZHJzL1BLAwQUAAAACACHTuJAMsFAy9kAAAAL&#10;AQAADwAAAGRycy9kb3ducmV2LnhtbE2PwU7DMBBE70j8g7VIXFBrp6IhDXF6qOCABJUIcHfiJUmJ&#10;11HstuHvWU5w29WMZt4U29kN4oRT6D1pSJYKBFLjbU+thve3x0UGIkRD1gyeUMM3BtiWlxeFya0/&#10;0yueqtgKDqGQGw1djGMuZWg6dCYs/YjE2qefnIn8Tq20kzlzuBvkSqlUOtMTN3RmxF2HzVd1dNz7&#10;MGfjR/28OzxVN/Vhtaf+JSOtr68SdQ8i4hz/zPCLz+hQMlPtj2SDGDQsknW6YS8rt7yBHZss5aPW&#10;sL5TCciykP83lD9QSwMEFAAAAAgAh07iQBtUZ6qyAQAAXgMAAA4AAABkcnMvZTJvRG9jLnhtbK1T&#10;TW/bMAy9D9h/EHRf5LpLshhxCnRFdhm2AW1/gCJLtgB9gVJj59+PktO0W29FfZApknrke5S2N5M1&#10;5Cghau9aerWoKJFO+E67vqWPD/sv3yiJibuOG+9kS08y0pvd50/bMTSy9oM3nQSCIC42Y2jpkFJo&#10;GItikJbHhQ/SYVB5sDzhFnrWAR8R3RpWV9WKjR66AF7IGNF7NwfpruArJUX6rVSUiZiWYm+prFDW&#10;Q17ZbsubHngYtDi3wd/RheXaYdEL1B1PnDyBfgNltQAfvUoL4S3zSmkhCwdkc1X9x+Z+4EEWLihO&#10;DBeZ4sfBil/HP0B019I1JY5bHNGDnBK59RNZLbM8Y4gNZt0HzEsT+nHMz/6Izsx6UmDzH/kQjKPQ&#10;p4u4GU2gc12v6q+bJSUCY/Vmfb2uCj57OR4gph/SW5KNlgJOr4jKjz9jwlYw9TklV4ve6G6vjSkb&#10;6A/fDZAjx0nvyzefNWHgs7dMGzHinFrw/sEwjowt3SzrZTnqfAaf6xqXi8hyo87NZGFmAbKVpsN0&#10;VuvguxOK9RRA9wPyKHKxnIRDLFXPFy7fktd7tF8/i9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sFAy9kAAAALAQAADwAAAAAAAAABACAAAAAiAAAAZHJzL2Rvd25yZXYueG1sUEsBAhQAFAAAAAgA&#10;h07iQBtUZ6qyAQAAXgMAAA4AAAAAAAAAAQAgAAAAKAEAAGRycy9lMm9Eb2MueG1sUEsFBgAAAAAG&#10;AAYAWQEAAEwFAAAAAA==&#10;" stroked="f">
            <v:fill opacity="0"/>
            <v:textbox>
              <w:txbxContent>
                <w:p w:rsidR="003529B9" w:rsidRDefault="002F5788">
                  <w:pPr>
                    <w:spacing w:line="720" w:lineRule="auto"/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40"/>
                      <w:szCs w:val="44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0"/>
                      <w:szCs w:val="44"/>
                    </w:rPr>
                    <w:t>通用生产</w:t>
                  </w:r>
                  <w:r w:rsidR="006417CA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0"/>
                      <w:szCs w:val="44"/>
                    </w:rPr>
                    <w:t>学习系列</w:t>
                  </w:r>
                </w:p>
                <w:p w:rsidR="002F5788" w:rsidRPr="002F5788" w:rsidRDefault="002F5788">
                  <w:pPr>
                    <w:spacing w:line="720" w:lineRule="auto"/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72"/>
                      <w:szCs w:val="72"/>
                    </w:rPr>
                  </w:pPr>
                  <w:r w:rsidRPr="002F5788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72"/>
                      <w:szCs w:val="72"/>
                    </w:rPr>
                    <w:t>PMC-生产计划与物料控制</w:t>
                  </w:r>
                </w:p>
                <w:p w:rsidR="003529B9" w:rsidRDefault="006417CA">
                  <w:pPr>
                    <w:spacing w:line="720" w:lineRule="auto"/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46"/>
                      <w:szCs w:val="5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 xml:space="preserve">主 </w:t>
                  </w:r>
                  <w:r w:rsidR="00B13885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>讲：</w:t>
                  </w:r>
                  <w:r w:rsidR="002F5788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>雷卫旭</w:t>
                  </w:r>
                  <w:r w:rsidR="008F0CEA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 xml:space="preserve"> </w:t>
                  </w:r>
                  <w:r w:rsidR="002F5788" w:rsidRPr="002F5788"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>原家乐福全球采购中心采购部经理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595959"/>
                      <w:sz w:val="46"/>
                      <w:szCs w:val="52"/>
                    </w:rPr>
                    <w:t xml:space="preserve">          </w:t>
                  </w:r>
                </w:p>
                <w:p w:rsidR="003529B9" w:rsidRDefault="006417CA">
                  <w:pPr>
                    <w:spacing w:line="720" w:lineRule="auto"/>
                    <w:rPr>
                      <w:rFonts w:ascii="微软雅黑" w:eastAsia="微软雅黑" w:hAnsi="微软雅黑" w:cs="微软雅黑"/>
                      <w:color w:val="595959"/>
                      <w:sz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课程时间/地点：</w:t>
                  </w:r>
                  <w:r w:rsidR="00B13885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5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月</w:t>
                  </w:r>
                  <w:r w:rsidR="002F5788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17-18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日/广州                 课程费用：</w:t>
                  </w:r>
                  <w:r w:rsidR="002F5788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38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00元/人（会员</w:t>
                  </w:r>
                  <w:r w:rsidR="002F5788"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8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color w:val="595959"/>
                      <w:sz w:val="22"/>
                    </w:rPr>
                    <w:t>张票）</w:t>
                  </w:r>
                </w:p>
                <w:p w:rsidR="002F5788" w:rsidRPr="002F5788" w:rsidRDefault="006417CA" w:rsidP="002F5788">
                  <w:pPr>
                    <w:spacing w:line="312" w:lineRule="auto"/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Cs/>
                      <w:color w:val="595959"/>
                      <w:sz w:val="22"/>
                    </w:rPr>
                    <w:t>课程对象：</w:t>
                  </w:r>
                  <w:r w:rsidR="002F5788" w:rsidRPr="002F5788"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</w:rPr>
                    <w:t>生产计划主管/物料计划/</w:t>
                  </w:r>
                  <w:r w:rsidR="002F5788" w:rsidRPr="002F5788">
                    <w:rPr>
                      <w:rFonts w:ascii="微软雅黑" w:eastAsia="微软雅黑" w:hAnsi="微软雅黑" w:cs="微软雅黑" w:hint="eastAsia"/>
                      <w:bCs/>
                      <w:color w:val="595959"/>
                      <w:sz w:val="22"/>
                    </w:rPr>
                    <w:t>采购/</w:t>
                  </w:r>
                  <w:r w:rsidR="002F5788" w:rsidRPr="002F5788"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</w:rPr>
                    <w:t>经理/主管/计划人员/跟单人员、 生产部门/经理/主管/管理人员、</w:t>
                  </w:r>
                  <w:r w:rsidR="002F5788" w:rsidRPr="002F5788">
                    <w:rPr>
                      <w:rFonts w:ascii="微软雅黑" w:eastAsia="微软雅黑" w:hAnsi="微软雅黑" w:cs="微软雅黑" w:hint="eastAsia"/>
                      <w:bCs/>
                      <w:color w:val="595959"/>
                      <w:sz w:val="22"/>
                    </w:rPr>
                    <w:t>销售部门</w:t>
                  </w:r>
                  <w:r w:rsidR="002F5788" w:rsidRPr="002F5788"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</w:rPr>
                    <w:t>/经理/主管/跟单人员</w:t>
                  </w:r>
                  <w:r w:rsidR="002F5788">
                    <w:rPr>
                      <w:rFonts w:ascii="微软雅黑" w:eastAsia="微软雅黑" w:hAnsi="微软雅黑" w:cs="微软雅黑" w:hint="eastAsia"/>
                      <w:bCs/>
                      <w:color w:val="595959"/>
                      <w:sz w:val="22"/>
                    </w:rPr>
                    <w:t>。尤其业务副总经理带领管理干部现场诊断和实作对策效果更佳。</w:t>
                  </w:r>
                </w:p>
                <w:p w:rsidR="00066EE0" w:rsidRPr="00066EE0" w:rsidRDefault="00066EE0" w:rsidP="00066EE0">
                  <w:pPr>
                    <w:spacing w:line="312" w:lineRule="auto"/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</w:rPr>
                  </w:pPr>
                  <w:r w:rsidRPr="00066EE0">
                    <w:rPr>
                      <w:rFonts w:ascii="微软雅黑" w:eastAsia="微软雅黑" w:hAnsi="微软雅黑" w:cs="微软雅黑" w:hint="eastAsia"/>
                      <w:bCs/>
                      <w:color w:val="595959"/>
                      <w:sz w:val="22"/>
                    </w:rPr>
                    <w:t xml:space="preserve">                          </w:t>
                  </w:r>
                </w:p>
                <w:p w:rsidR="003529B9" w:rsidRPr="00066EE0" w:rsidRDefault="003529B9">
                  <w:pPr>
                    <w:spacing w:line="312" w:lineRule="auto"/>
                    <w:rPr>
                      <w:rFonts w:ascii="微软雅黑" w:eastAsia="微软雅黑" w:hAnsi="微软雅黑" w:cs="微软雅黑"/>
                      <w:b/>
                      <w:bCs/>
                      <w:color w:val="595959"/>
                      <w:sz w:val="22"/>
                      <w:szCs w:val="22"/>
                    </w:rPr>
                  </w:pPr>
                </w:p>
                <w:p w:rsidR="003529B9" w:rsidRDefault="003529B9">
                  <w:pPr>
                    <w:spacing w:line="312" w:lineRule="auto"/>
                    <w:rPr>
                      <w:rFonts w:ascii="微软雅黑" w:eastAsia="微软雅黑" w:hAnsi="微软雅黑" w:cs="微软雅黑"/>
                      <w:bCs/>
                      <w:color w:val="595959"/>
                      <w:sz w:val="22"/>
                      <w:lang w:bidi="en-US"/>
                    </w:rPr>
                  </w:pPr>
                </w:p>
              </w:txbxContent>
            </v:textbox>
          </v:shape>
        </w:pict>
      </w: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  <w:bookmarkStart w:id="0" w:name="_GoBack"/>
      <w:bookmarkEnd w:id="0"/>
    </w:p>
    <w:p w:rsidR="003529B9" w:rsidRDefault="00126B47">
      <w:pPr>
        <w:rPr>
          <w:rFonts w:eastAsiaTheme="minorEastAsia"/>
        </w:rPr>
      </w:pPr>
      <w:r w:rsidRPr="00126B47">
        <w:lastRenderedPageBreak/>
        <w:pict>
          <v:rect id="_x0000_s1030" style="position:absolute;left:0;text-align:left;margin-left:-90.15pt;margin-top:-2.7pt;width:159.05pt;height:48.75pt;z-index:251958272;v-text-anchor:middle" o:gfxdata="UEsDBAoAAAAAAIdO4kAAAAAAAAAAAAAAAAAEAAAAZHJzL1BLAwQUAAAACACHTuJAzp6JS9oAAAAK&#10;AQAADwAAAGRycy9kb3ducmV2LnhtbE2Py07DMBBF90j8gzVIbFBrO4W0hDgVqsQChFpoYe/EQxwR&#10;21HsPvh7pivYzWiO7pxbLk+uZwccYxe8AjkVwNA3wXS+VfCxe5osgMWkvdF98KjgByMsq8uLUhcm&#10;HP07HrapZRTiY6EV2JSGgvPYWHQ6TsOAnm5fYXQ60Tq23Iz6SOGu55kQOXe68/TB6gFXFpvv7d4p&#10;WMmhXtuXdW7j5mbzmWdvzfPro1LXV1I8AEt4Sn8wnPVJHSpyqsPem8h6BRO5EDNiabq7BXYmZnMq&#10;Uyu4zyTwquT/K1S/UEsDBBQAAAAIAIdO4kDW652OawIAAKMEAAAOAAAAZHJzL2Uyb0RvYy54bWyt&#10;VEtu2zAQ3RfoHQjuG1mq7SRG5MCIm6JA0ARIi65pirII8FeStpxepkB3PUSPU/QafaSUTz+rolpQ&#10;M5zRvJk3Mzo7P2hF9sIHaU1Ny6MJJcJw20izren7d5cvTigJkZmGKWtETe9EoOfL58/OercQle2s&#10;aoQnCGLConc17WJ0i6IIvBOahSPrhIGxtV6zCNVvi8azHtG1KqrJZF701jfOWy5CwO16MNJljt+2&#10;gsfrtg0iElVT5Bbz6fO5SWexPGOLrWeuk3xMg/1DFppJA9CHUGsWGdl5+UcoLbm3wbbxiFtd2LaV&#10;XOQaUE05+a2a2445kWsBOcE90BT+X1j+dn/jiWxqWs0pMUyjRz8+f/3+7QvBBdjpXVjA6dbd+FEL&#10;EFOph9br9EYR5FDT+XFZns4oucMYzGfl/OVsIFccIuGwl/PJBB2jhMNjNq1Oq+xQPAZyPsTXwmqS&#10;hJp6NC9zyvZXIQIcrvcuCTdYJZtLqVRW/HZzoTzZMzR6/WqCJ8Hjk1/clCE9UqmOcyIMA9cqFpGT&#10;dqAgmC0lTG0xyTz6jG1sQkCkAXvNQjdg5LBDhVpGzLCSuqYnCfgeWZn0mchTOFaQ2Bz4S1I8bA4j&#10;qRvb3KER3g4TGhy/lGDhioV4wzxGEsRhzeI1jlZZFGFHiZLO+k9/u0/+mBRYKekx4ijw4455QYl6&#10;YzBDp+V0mnYiK9PZcQXFP7VsnlrMTl9YkFtioR3PYvKP6l5svdUfsI2rhAoTMxzYA5WjchGH1cM+&#10;c7FaZTfsgWPxytw6noInyoxd7aJtZW56ImpgB+1MCjYhN3bc2rRqT/Xs9fhvW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zp6JS9oAAAAKAQAADwAAAAAAAAABACAAAAAiAAAAZHJzL2Rvd25yZXYu&#10;eG1sUEsBAhQAFAAAAAgAh07iQNbrnY5rAgAAowQAAA4AAAAAAAAAAQAgAAAAKQEAAGRycy9lMm9E&#10;b2MueG1sUEsFBgAAAAAGAAYAWQEAAAYGAAAAAA==&#10;" fillcolor="#de0000" stroked="f" strokeweight="1pt">
            <v:textbox>
              <w:txbxContent>
                <w:p w:rsidR="003529B9" w:rsidRDefault="006417CA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2"/>
                      <w:szCs w:val="52"/>
                    </w:rPr>
                    <w:t>课程概要</w:t>
                  </w:r>
                </w:p>
              </w:txbxContent>
            </v:textbox>
          </v:rect>
        </w:pict>
      </w: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ascii="宋体" w:hAnsi="宋体"/>
          <w:bCs/>
          <w:sz w:val="24"/>
          <w:szCs w:val="24"/>
        </w:rPr>
      </w:pPr>
    </w:p>
    <w:p w:rsidR="003529B9" w:rsidRDefault="003529B9">
      <w:pPr>
        <w:ind w:leftChars="-200" w:left="-420" w:rightChars="-200" w:right="-420"/>
        <w:rPr>
          <w:rFonts w:ascii="微软雅黑" w:eastAsia="微软雅黑" w:hAnsi="微软雅黑" w:cs="微软雅黑"/>
        </w:rPr>
      </w:pP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中小企业生产计划和物料控制（PMC）部门是一个企业“心脏”，掌握着企业生产及物料运作的总调度和命脉，统筹营运资金、物流、信息等动脉，直接涉及影响生产部、生产工程部、采购、货仓、品控部、开发与设计部、设备工程、人力资源及财务成本预算控制等，其制度和流程决定公司盈利成败。因此PMC部门和相关管理层必须充分了解：物料计划、请购、物料调度、物料控制（收、发、退、借、备料等）、生产计划与生产进度控制，并谙熟运用这门管理技术来解决问题，学习PMC课程从计划价值流切入剖析工厂制造成本和缩短制造周期，提高物流过程循环效率（库存、资金的周转率）及客户满意率；为降低或消除物流过程中的非增值活动。</w:t>
      </w:r>
    </w:p>
    <w:p w:rsidR="003529B9" w:rsidRPr="002F5788" w:rsidRDefault="00066EE0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 xml:space="preserve"> </w:t>
      </w:r>
    </w:p>
    <w:p w:rsidR="003529B9" w:rsidRPr="002F5788" w:rsidRDefault="006417CA">
      <w:pPr>
        <w:spacing w:line="360" w:lineRule="auto"/>
        <w:ind w:leftChars="-200" w:left="-420" w:rightChars="-200" w:right="-420"/>
        <w:rPr>
          <w:rFonts w:ascii="微软雅黑" w:eastAsia="微软雅黑" w:hAnsi="微软雅黑" w:cs="新宋体"/>
          <w:b/>
          <w:color w:val="CC0000"/>
          <w:sz w:val="28"/>
          <w:szCs w:val="28"/>
        </w:rPr>
      </w:pPr>
      <w:r w:rsidRPr="002F5788">
        <w:rPr>
          <w:rFonts w:ascii="微软雅黑" w:eastAsia="微软雅黑" w:hAnsi="微软雅黑" w:cs="新宋体" w:hint="eastAsia"/>
          <w:b/>
          <w:color w:val="CC0000"/>
          <w:sz w:val="28"/>
          <w:szCs w:val="28"/>
        </w:rPr>
        <w:t>【课程收益】</w:t>
      </w: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1建立制定完善的生产与物控运作体系</w:t>
      </w: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ab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sym w:font="Wingdings" w:char="F0E0"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提升准时交货和降低库存成本30%</w:t>
      </w: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2预测及制定合理的短、中、长期销售计划</w:t>
      </w: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ab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sym w:font="Wingdings" w:char="F0E0"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达成公司策略管理目标</w:t>
      </w: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 xml:space="preserve">3对自身的生产能力和负荷预先进行详细分析   </w:t>
      </w: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并建立完善产品数据机制</w:t>
      </w: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ab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sym w:font="Wingdings" w:char="F0E0"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协助公司建立产品工程数据</w:t>
      </w: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4生产前期做好完整的生产排程和周生产计划</w:t>
      </w: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ab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sym w:font="Wingdings" w:char="F0E0"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提高备料准确率</w:t>
      </w: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>,</w:t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 xml:space="preserve"> 锁定生产计划不变。</w:t>
      </w: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5配合生产计划做到良好物料损耗控制和备料</w:t>
      </w: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ab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sym w:font="Wingdings" w:char="F0E0"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 xml:space="preserve">完善降低物料损耗机制和停工               </w:t>
      </w: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待料工时</w:t>
      </w:r>
    </w:p>
    <w:p w:rsid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bCs/>
          <w:color w:val="0D0D0D"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6对生产进度及物料进度及时跟进和沟通协调</w:t>
      </w: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ab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sym w:font="Wingdings" w:char="F0E0"/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缩短生产周期</w:t>
      </w:r>
      <w:r w:rsidRPr="002F5788">
        <w:rPr>
          <w:rFonts w:ascii="微软雅黑" w:eastAsia="微软雅黑" w:hAnsi="微软雅黑"/>
          <w:bCs/>
          <w:color w:val="0D0D0D"/>
          <w:sz w:val="24"/>
          <w:szCs w:val="24"/>
        </w:rPr>
        <w:t>,</w:t>
      </w:r>
      <w:r w:rsidRPr="002F5788">
        <w:rPr>
          <w:rFonts w:ascii="微软雅黑" w:eastAsia="微软雅黑" w:hAnsi="微软雅黑" w:hint="eastAsia"/>
          <w:bCs/>
          <w:color w:val="0D0D0D"/>
          <w:sz w:val="24"/>
          <w:szCs w:val="24"/>
        </w:rPr>
        <w:t>提高企业竞争力</w:t>
      </w:r>
    </w:p>
    <w:p w:rsidR="00066EE0" w:rsidRPr="00066EE0" w:rsidRDefault="00066EE0" w:rsidP="00066EE0">
      <w:pPr>
        <w:spacing w:line="360" w:lineRule="auto"/>
        <w:ind w:leftChars="-200" w:left="-420" w:rightChars="-200" w:right="-420"/>
        <w:jc w:val="left"/>
        <w:rPr>
          <w:rFonts w:ascii="微软雅黑" w:eastAsia="微软雅黑" w:hAnsi="微软雅黑" w:cs="微软雅黑"/>
          <w:sz w:val="28"/>
          <w:szCs w:val="28"/>
        </w:rPr>
      </w:pPr>
    </w:p>
    <w:p w:rsidR="003529B9" w:rsidRPr="00066EE0" w:rsidRDefault="00126B47">
      <w:pPr>
        <w:rPr>
          <w:sz w:val="28"/>
          <w:szCs w:val="28"/>
        </w:rPr>
      </w:pPr>
      <w:r>
        <w:rPr>
          <w:sz w:val="28"/>
          <w:szCs w:val="28"/>
        </w:rPr>
        <w:pict>
          <v:rect id="_x0000_s1029" style="position:absolute;left:0;text-align:left;margin-left:-90.15pt;margin-top:-4.95pt;width:166.45pt;height:52.45pt;z-index:252560384;v-text-anchor:middle" o:gfxdata="UEsDBAoAAAAAAIdO4kAAAAAAAAAAAAAAAAAEAAAAZHJzL1BLAwQUAAAACACHTuJAVSyC+tsAAAAK&#10;AQAADwAAAGRycy9kb3ducmV2LnhtbE2Py07DMBBF90j8gzVIbFBrJ6hRE+JUVSUWINSWAnsnHuKo&#10;8TiK3Qd/j7tqdzOaozvnlouz7dkRR985kpBMBTCkxumOWgnfX6+TOTAfFGnVO0IJf+hhUd3flarQ&#10;7kSfeNyFlsUQ8oWSYEIYCs59Y9AqP3UDUrz9utGqENex5XpUpxhue54KkXGrOoofjBpwZbDZ7w5W&#10;wioZ6rV5X2fGb542P1m6bd4+llI+PiTiBVjAc7jCcNGP6lBFp9odSHvWS5gkc/Ec2TjlObALMUsz&#10;YLWEfCaAVyW/rVD9A1BLAwQUAAAACACHTuJAtjEV+lsCAACWBAAADgAAAGRycy9lMm9Eb2MueG1s&#10;rVTbbhMxEH1H4h8sv9PNhjZtV91UUUMRUkUrFcSz4/VmLfmG7WRTfgaJNz6Cz0H8BsfebRouT4g8&#10;ODOeyZyZ4zO5uNxpRbbCB2lNTcujCSXCcNtIs67p+3fXL84oCZGZhilrRE0fRKCX8+fPLnpXiant&#10;rGqEJyhiQtW7mnYxuqooAu+EZuHIOmEQbK3XLML166LxrEd1rYrpZDIreusb5y0XIeB2OQTpPNdv&#10;W8HjbdsGEYmqKXqL+fT5XKWzmF+wau2Z6yQf22D/0IVm0gB0X2rJIiMbL/8opSX3Ntg2HnGrC9u2&#10;kos8A6YpJ79Nc98xJ/IsICe4PU3h/5Xlb7d3nsgGb0eJYRpP9OPz1+/fvpAycdO7UCHl3t350Qsw&#10;06C71uv0jRHILvP5sOdT7CLhuJyW5cvz8oQSjthsNitho0zx9GvnQ3wtrCbJqKnHe2Ua2fYmxCH1&#10;MSWBBatkcy2Vyo5fr66UJ1uGt12+muAzVv8lTRnSY7rpKcKEM2isVSzC1A5TB7OmhKk1xMujz9jG&#10;JgSAsyphL1noBoxcNkGwSssI2Sqpa3qWgB+RlUlRkYU3TpAoHEhLVtytdqiQzJVtHsC9t4Mog+PX&#10;Eng3LMQ75qFC9IvNirc4WmUxhB0tSjrrP/3tPuVDHIhS0kPVGPDjhnlBiXpjIJvz8vg4rUF2jk9O&#10;p3D8YWR1GDEbfWVBLqSB7rKZ8qN6NFtv9Qcs4CKhIsQMB/ZA5ehcxWHbsMJcLBY5DdJ3LN6Ye8dT&#10;8USZsYtNtK3Mj/7EDsSSHIg/y2Zc1LRdh37Oevo7mf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SyC+tsAAAAKAQAADwAAAAAAAAABACAAAAAiAAAAZHJzL2Rvd25yZXYueG1sUEsBAhQAFAAAAAgA&#10;h07iQLYxFfpbAgAAlgQAAA4AAAAAAAAAAQAgAAAAKgEAAGRycy9lMm9Eb2MueG1sUEsFBgAAAAAG&#10;AAYAWQEAAPcFAAAAAA==&#10;" fillcolor="#de0000" stroked="f" strokeweight="1pt">
            <v:textbox>
              <w:txbxContent>
                <w:p w:rsidR="003529B9" w:rsidRDefault="006417CA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2"/>
                      <w:szCs w:val="52"/>
                    </w:rPr>
                    <w:t>课程大纲</w:t>
                  </w:r>
                </w:p>
              </w:txbxContent>
            </v:textbox>
          </v:rect>
        </w:pict>
      </w:r>
    </w:p>
    <w:p w:rsidR="003529B9" w:rsidRPr="00066EE0" w:rsidRDefault="003529B9">
      <w:pPr>
        <w:rPr>
          <w:sz w:val="28"/>
          <w:szCs w:val="28"/>
        </w:rPr>
      </w:pPr>
    </w:p>
    <w:p w:rsidR="003529B9" w:rsidRPr="00066EE0" w:rsidRDefault="003529B9" w:rsidP="00066EE0">
      <w:pPr>
        <w:ind w:rightChars="-200" w:right="-420"/>
        <w:rPr>
          <w:rFonts w:ascii="微软雅黑" w:eastAsia="微软雅黑" w:hAnsi="微软雅黑"/>
          <w:bCs/>
          <w:color w:val="0D0D0D"/>
          <w:sz w:val="28"/>
          <w:szCs w:val="28"/>
        </w:rPr>
        <w:sectPr w:rsidR="003529B9" w:rsidRPr="00066EE0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5788" w:rsidRPr="002F5788" w:rsidRDefault="002F5788" w:rsidP="002F5788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/>
          <w:bCs/>
          <w:sz w:val="24"/>
          <w:szCs w:val="24"/>
        </w:rPr>
        <w:lastRenderedPageBreak/>
        <w:t>前言</w:t>
      </w:r>
      <w:r w:rsidRPr="002F5788">
        <w:rPr>
          <w:rFonts w:ascii="微软雅黑" w:eastAsia="微软雅黑" w:hAnsi="微软雅黑"/>
          <w:b/>
          <w:bCs/>
          <w:sz w:val="24"/>
          <w:szCs w:val="24"/>
        </w:rPr>
        <w:t xml:space="preserve">: 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准时化拉动生产三大定义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 xml:space="preserve">      推动式（</w:t>
      </w:r>
      <w:r w:rsidRPr="002F5788">
        <w:rPr>
          <w:rFonts w:ascii="微软雅黑" w:eastAsia="微软雅黑" w:hAnsi="微软雅黑"/>
          <w:bCs/>
          <w:sz w:val="24"/>
          <w:szCs w:val="24"/>
        </w:rPr>
        <w:t>PUSH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）生产系统与拉动生产的拉动式（</w:t>
      </w:r>
      <w:r w:rsidRPr="002F5788">
        <w:rPr>
          <w:rFonts w:ascii="微软雅黑" w:eastAsia="微软雅黑" w:hAnsi="微软雅黑"/>
          <w:bCs/>
          <w:sz w:val="24"/>
          <w:szCs w:val="24"/>
        </w:rPr>
        <w:t>PULL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）生产系统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华为拉动计划供应链组织架构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 xml:space="preserve">      拉动生产计划的供应链体系结构/实现拉动生产的</w:t>
      </w:r>
      <w:r w:rsidRPr="002F5788">
        <w:rPr>
          <w:rFonts w:ascii="微软雅黑" w:eastAsia="微软雅黑" w:hAnsi="微软雅黑"/>
          <w:bCs/>
          <w:sz w:val="24"/>
          <w:szCs w:val="24"/>
        </w:rPr>
        <w:t>6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大条件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/>
          <w:bCs/>
          <w:sz w:val="24"/>
          <w:szCs w:val="24"/>
        </w:rPr>
        <w:t>第一室</w:t>
      </w:r>
      <w:r w:rsidRPr="002F5788">
        <w:rPr>
          <w:rFonts w:ascii="微软雅黑" w:eastAsia="微软雅黑" w:hAnsi="微软雅黑"/>
          <w:b/>
          <w:bCs/>
          <w:sz w:val="24"/>
          <w:szCs w:val="24"/>
        </w:rPr>
        <w:t>:</w:t>
      </w:r>
      <w:r w:rsidRPr="002F5788">
        <w:rPr>
          <w:rFonts w:ascii="微软雅黑" w:eastAsia="微软雅黑" w:hAnsi="微软雅黑" w:hint="eastAsia"/>
          <w:b/>
          <w:bCs/>
          <w:sz w:val="24"/>
          <w:szCs w:val="24"/>
        </w:rPr>
        <w:t xml:space="preserve"> 拉动计划供应链管理系统----减少全库存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 xml:space="preserve">拉动生産計划三大供应链职能-- 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 xml:space="preserve">多批少量拉动计划生产现场供料三大方法 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拉动计划三Ａ政策六措施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 xml:space="preserve">  </w:t>
      </w:r>
      <w:r w:rsidRPr="002F5788">
        <w:rPr>
          <w:rFonts w:ascii="微软雅黑" w:eastAsia="微软雅黑" w:hAnsi="微软雅黑"/>
          <w:bCs/>
          <w:sz w:val="24"/>
          <w:szCs w:val="24"/>
        </w:rPr>
        <w:t>艾默生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拉动计划推行十二步骤计划表实例解析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西门子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拉动计划流程图</w:t>
      </w:r>
      <w:r w:rsidRPr="002F5788">
        <w:rPr>
          <w:rFonts w:ascii="微软雅黑" w:eastAsia="微软雅黑" w:hAnsi="微软雅黑"/>
          <w:bCs/>
          <w:sz w:val="24"/>
          <w:szCs w:val="24"/>
        </w:rPr>
        <w:t>/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退货流程图解析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江森汽车配件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（雷卫旭辅导）拉动计划推行九大步骤实例分析</w:t>
      </w:r>
      <w:r w:rsidRPr="002F5788">
        <w:rPr>
          <w:rFonts w:ascii="微软雅黑" w:eastAsia="微软雅黑" w:hAnsi="微软雅黑"/>
          <w:bCs/>
          <w:sz w:val="24"/>
          <w:szCs w:val="24"/>
        </w:rPr>
        <w:t>—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/>
          <w:bCs/>
          <w:sz w:val="24"/>
          <w:szCs w:val="24"/>
        </w:rPr>
        <w:t>第二室均衡化拉动生产计划和WIP库存管理-----干掉半成品、减少在制品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1拉动生产计划控制流程七途径</w:t>
      </w:r>
      <w:r w:rsidRPr="002F5788">
        <w:rPr>
          <w:rFonts w:ascii="微软雅黑" w:eastAsia="微软雅黑" w:hAnsi="微软雅黑"/>
          <w:bCs/>
          <w:sz w:val="24"/>
          <w:szCs w:val="24"/>
        </w:rPr>
        <w:t>---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 xml:space="preserve"> 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ABB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拉动式</w:t>
      </w:r>
      <w:r w:rsidRPr="002F5788">
        <w:rPr>
          <w:rFonts w:ascii="微软雅黑" w:eastAsia="微软雅黑" w:hAnsi="微软雅黑"/>
          <w:bCs/>
          <w:sz w:val="24"/>
          <w:szCs w:val="24"/>
        </w:rPr>
        <w:t>(pull)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生产计划控制流程实物图片系列分析</w:t>
      </w:r>
      <w:r w:rsidRPr="002F5788">
        <w:rPr>
          <w:rFonts w:ascii="微软雅黑" w:eastAsia="微软雅黑" w:hAnsi="微软雅黑"/>
          <w:bCs/>
          <w:sz w:val="24"/>
          <w:szCs w:val="24"/>
        </w:rPr>
        <w:t>-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2拉动</w:t>
      </w:r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计划系统建立：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2。1准时化拉动</w:t>
      </w:r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计划系统执行五细则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2．2TAKT及生产工时速度/2U型布局和连续流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lastRenderedPageBreak/>
        <w:t>2.3</w:t>
      </w:r>
      <w:r w:rsidRPr="002F5788">
        <w:rPr>
          <w:rFonts w:ascii="微软雅黑" w:eastAsia="微软雅黑" w:hAnsi="微软雅黑"/>
          <w:bCs/>
          <w:sz w:val="24"/>
          <w:szCs w:val="24"/>
        </w:rPr>
        <w:t>泰科电子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负荷瓶颈</w:t>
      </w:r>
      <w:r w:rsidRPr="002F5788">
        <w:rPr>
          <w:rFonts w:ascii="微软雅黑" w:eastAsia="微软雅黑" w:hAnsi="微软雅黑"/>
          <w:bCs/>
          <w:sz w:val="24"/>
          <w:szCs w:val="24"/>
        </w:rPr>
        <w:t>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能连续流价值分析流程图及说明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 xml:space="preserve">3负荷平衡与均衡计划生产 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4在制半成品(IPK)KANBAN计算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负荷瓶颈库存量设定方法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中航集团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拉动</w:t>
      </w:r>
      <w:bookmarkStart w:id="1" w:name="OLE_LINK1"/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系统负荷瓶颈库存量设定实例分析</w:t>
      </w:r>
      <w:r w:rsidRPr="002F5788">
        <w:rPr>
          <w:rFonts w:ascii="微软雅黑" w:eastAsia="微软雅黑" w:hAnsi="微软雅黑"/>
          <w:bCs/>
          <w:sz w:val="24"/>
          <w:szCs w:val="24"/>
        </w:rPr>
        <w:t>—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离散型</w:t>
      </w:r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模式</w:t>
      </w:r>
      <w:bookmarkEnd w:id="1"/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拉动</w:t>
      </w:r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车间物流供应链的价值分析---</w:t>
      </w:r>
      <w:r w:rsidRPr="002F5788">
        <w:rPr>
          <w:rFonts w:ascii="微软雅黑" w:eastAsia="微软雅黑" w:hAnsi="微软雅黑"/>
          <w:bCs/>
          <w:sz w:val="24"/>
          <w:szCs w:val="24"/>
        </w:rPr>
        <w:t>爱立信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中兴通讯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拉动</w:t>
      </w:r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车间物流供应链价值实例分析</w:t>
      </w:r>
      <w:r w:rsidRPr="002F5788">
        <w:rPr>
          <w:rFonts w:ascii="微软雅黑" w:eastAsia="微软雅黑" w:hAnsi="微软雅黑"/>
          <w:bCs/>
          <w:sz w:val="24"/>
          <w:szCs w:val="24"/>
        </w:rPr>
        <w:t>—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流水线型</w:t>
      </w:r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模式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5拉动</w:t>
      </w:r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计划看板/物料看板数量设计/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飞利浦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均衡化生产计划板（生产广告牌）图片及说明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6湖南博世（</w:t>
      </w:r>
      <w:r w:rsidRPr="002F5788">
        <w:rPr>
          <w:rFonts w:ascii="微软雅黑" w:eastAsia="微软雅黑" w:hAnsi="微软雅黑"/>
          <w:bCs/>
          <w:sz w:val="24"/>
          <w:szCs w:val="24"/>
        </w:rPr>
        <w:t>BOSCH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）均衡化生产计划板（生产广告牌）工作流程分享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7</w:t>
      </w:r>
      <w:r w:rsidRPr="002F5788">
        <w:rPr>
          <w:rFonts w:ascii="微软雅黑" w:eastAsia="微软雅黑" w:hAnsi="微软雅黑"/>
          <w:bCs/>
          <w:sz w:val="24"/>
          <w:szCs w:val="24"/>
        </w:rPr>
        <w:t>武汉烽火科技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（拉动）一周生产计划不能变（生产看板）實例图片及说明分析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8</w:t>
      </w:r>
      <w:r w:rsidRPr="002F5788">
        <w:rPr>
          <w:rFonts w:ascii="微软雅黑" w:eastAsia="微软雅黑" w:hAnsi="微软雅黑"/>
          <w:bCs/>
          <w:sz w:val="24"/>
          <w:szCs w:val="24"/>
        </w:rPr>
        <w:t>南玻集团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三天均衡化拉动生产计划板（生产看板）图片及分析/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南玻集团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每天滚动计划</w:t>
      </w:r>
      <w:r w:rsidRPr="002F5788">
        <w:rPr>
          <w:rFonts w:ascii="微软雅黑" w:eastAsia="微软雅黑" w:hAnsi="微软雅黑"/>
          <w:bCs/>
          <w:sz w:val="24"/>
          <w:szCs w:val="24"/>
        </w:rPr>
        <w:t>(拉动)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表实例分析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9透过准时化拉动</w:t>
      </w:r>
      <w:r w:rsidRPr="002F5788">
        <w:rPr>
          <w:rFonts w:ascii="微软雅黑" w:eastAsia="微软雅黑" w:hAnsi="微软雅黑"/>
          <w:bCs/>
          <w:sz w:val="24"/>
          <w:szCs w:val="24"/>
        </w:rPr>
        <w:t>生产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计划机制解决订单频繁变更三种方法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10</w:t>
      </w:r>
      <w:r w:rsidRPr="002F5788">
        <w:rPr>
          <w:rFonts w:ascii="微软雅黑" w:eastAsia="微软雅黑" w:hAnsi="微软雅黑"/>
          <w:bCs/>
          <w:sz w:val="24"/>
          <w:szCs w:val="24"/>
        </w:rPr>
        <w:t>诺基亚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各部门异常工时/产能损失图案例分析-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11</w:t>
      </w:r>
      <w:r w:rsidRPr="002F5788">
        <w:rPr>
          <w:rFonts w:ascii="微软雅黑" w:eastAsia="微软雅黑" w:hAnsi="微软雅黑"/>
          <w:bCs/>
          <w:sz w:val="24"/>
          <w:szCs w:val="24"/>
        </w:rPr>
        <w:t>华晨宝马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各生产能力效率表/综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lastRenderedPageBreak/>
        <w:t>合效率分析--</w:t>
      </w:r>
      <w:r w:rsidRPr="002F5788">
        <w:rPr>
          <w:rFonts w:ascii="微软雅黑" w:eastAsia="微软雅黑" w:hAnsi="微软雅黑"/>
          <w:bCs/>
          <w:sz w:val="24"/>
          <w:szCs w:val="24"/>
        </w:rPr>
        <w:t>-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 xml:space="preserve">拉动计划事后预防管理 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/>
          <w:bCs/>
          <w:sz w:val="24"/>
          <w:szCs w:val="24"/>
        </w:rPr>
        <w:t>第三室 拉动计划生产和材料管理控制----干掉材料库存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1准时化JIT物流计划流程七步骤</w:t>
      </w:r>
      <w:r w:rsidRPr="002F5788">
        <w:rPr>
          <w:rFonts w:ascii="微软雅黑" w:eastAsia="微软雅黑" w:hAnsi="微软雅黑"/>
          <w:bCs/>
          <w:sz w:val="24"/>
          <w:szCs w:val="24"/>
        </w:rPr>
        <w:t>----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讲师现场诊断/点评</w:t>
      </w:r>
      <w:r w:rsidRPr="002F5788">
        <w:rPr>
          <w:rFonts w:ascii="微软雅黑" w:eastAsia="微软雅黑" w:hAnsi="微软雅黑"/>
          <w:bCs/>
          <w:sz w:val="24"/>
          <w:szCs w:val="24"/>
        </w:rPr>
        <w:t>泰科医疗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公司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产品交期短/物料采购周期长物流计划流程/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扦单、急单、补单/加单/生産計划紧急</w:t>
      </w:r>
      <w:r w:rsidRPr="002F5788">
        <w:rPr>
          <w:rFonts w:ascii="微软雅黑" w:eastAsia="微软雅黑" w:hAnsi="微软雅黑"/>
          <w:bCs/>
          <w:sz w:val="24"/>
          <w:szCs w:val="24"/>
        </w:rPr>
        <w:t>update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物料计划流程解析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采购物料交期跟催监控三张表格/工具：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2内部物流配送管理流程解析--</w:t>
      </w:r>
      <w:r w:rsidRPr="002F5788">
        <w:rPr>
          <w:rFonts w:ascii="微软雅黑" w:eastAsia="微软雅黑" w:hAnsi="微软雅黑"/>
          <w:bCs/>
          <w:sz w:val="24"/>
          <w:szCs w:val="24"/>
        </w:rPr>
        <w:t xml:space="preserve"> Internal logistic management  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雪花啤酒JIT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物料操作指导书解析--</w:t>
      </w:r>
      <w:r w:rsidRPr="002F5788">
        <w:rPr>
          <w:rFonts w:ascii="微软雅黑" w:eastAsia="微软雅黑" w:hAnsi="微软雅黑"/>
          <w:bCs/>
          <w:sz w:val="24"/>
          <w:szCs w:val="24"/>
        </w:rPr>
        <w:t xml:space="preserve"> warehouse management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日立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编制现场物料配送时间段表解析/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TOTO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现场利用电子标签发料实例分析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物流配送过程价值流分析---- KANBAN计算/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在制品补充物料(RIP)KANBAN计算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物料补充时间间隔计算/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在制物料标识及KANBAN卡设计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西门子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物流配送过程价值流分析-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小松挖机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配送系统物料广告牌实物</w:t>
      </w:r>
      <w:r w:rsidRPr="002F5788">
        <w:rPr>
          <w:rFonts w:ascii="微软雅黑" w:eastAsia="微软雅黑" w:hAnsi="微软雅黑"/>
          <w:bCs/>
          <w:sz w:val="24"/>
          <w:szCs w:val="24"/>
        </w:rPr>
        <w:t>/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图片实例分析/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大金空调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现场超市看板请购图片实例分析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华润涂料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现场超市双箱看板请购图片实例分析/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lastRenderedPageBreak/>
        <w:t>欧普照明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三天均衡化请购物料计划板（物料看板）图片及说明分析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3外部供应物流配送管理流程解析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圣戈班Normal Order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/</w:t>
      </w:r>
      <w:r w:rsidRPr="002F5788">
        <w:rPr>
          <w:rFonts w:ascii="微软雅黑" w:eastAsia="微软雅黑" w:hAnsi="微软雅黑"/>
          <w:bCs/>
          <w:sz w:val="24"/>
          <w:szCs w:val="24"/>
        </w:rPr>
        <w:t xml:space="preserve"> 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CONSIGNMENT/VMI/JIT/</w:t>
      </w:r>
      <w:r w:rsidRPr="002F5788">
        <w:rPr>
          <w:rFonts w:ascii="微软雅黑" w:eastAsia="微软雅黑" w:hAnsi="微软雅黑"/>
          <w:bCs/>
          <w:sz w:val="24"/>
          <w:szCs w:val="24"/>
        </w:rPr>
        <w:t>Buffer Control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四种外部供应物流流程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高露洁牙膏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ＪＩＴ供应商物流评审标准解析（SQE）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长沙博世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供应商</w:t>
      </w:r>
      <w:r w:rsidRPr="002F5788">
        <w:rPr>
          <w:rFonts w:ascii="微软雅黑" w:eastAsia="微软雅黑" w:hAnsi="微软雅黑"/>
          <w:bCs/>
          <w:sz w:val="24"/>
          <w:szCs w:val="24"/>
        </w:rPr>
        <w:t>JIT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直送工位管理方法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力劲机械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现场供应商（物料看板）集货配送（</w:t>
      </w:r>
      <w:r w:rsidRPr="002F5788">
        <w:rPr>
          <w:rFonts w:ascii="微软雅黑" w:eastAsia="微软雅黑" w:hAnsi="微软雅黑"/>
          <w:bCs/>
          <w:sz w:val="24"/>
          <w:szCs w:val="24"/>
        </w:rPr>
        <w:t>Milk-Run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）管理方法/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美的公司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供应商驻厂代表配送</w:t>
      </w:r>
      <w:r w:rsidRPr="002F5788">
        <w:rPr>
          <w:rFonts w:ascii="微软雅黑" w:eastAsia="微软雅黑" w:hAnsi="微软雅黑"/>
          <w:bCs/>
          <w:sz w:val="24"/>
          <w:szCs w:val="24"/>
        </w:rPr>
        <w:t>/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退料</w:t>
      </w:r>
      <w:r w:rsidRPr="002F5788">
        <w:rPr>
          <w:rFonts w:ascii="微软雅黑" w:eastAsia="微软雅黑" w:hAnsi="微软雅黑"/>
          <w:bCs/>
          <w:sz w:val="24"/>
          <w:szCs w:val="24"/>
        </w:rPr>
        <w:t>/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换料广告牌实物图片实例分析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供应商管理库存（</w:t>
      </w:r>
      <w:r w:rsidRPr="002F5788">
        <w:rPr>
          <w:rFonts w:ascii="微软雅黑" w:eastAsia="微软雅黑" w:hAnsi="微软雅黑"/>
          <w:bCs/>
          <w:sz w:val="24"/>
          <w:szCs w:val="24"/>
        </w:rPr>
        <w:t>VMI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）</w:t>
      </w:r>
      <w:r w:rsidRPr="002F5788">
        <w:rPr>
          <w:rFonts w:ascii="微软雅黑" w:eastAsia="微软雅黑" w:hAnsi="微软雅黑"/>
          <w:bCs/>
          <w:sz w:val="24"/>
          <w:szCs w:val="24"/>
        </w:rPr>
        <w:t>----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鼓点式交货方式实施七对策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石家庄制药VMI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协议分析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迈瑞医疗VMI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收费实施表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日立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远程控制（</w:t>
      </w:r>
      <w:r w:rsidRPr="002F5788">
        <w:rPr>
          <w:rFonts w:ascii="微软雅黑" w:eastAsia="微软雅黑" w:hAnsi="微软雅黑"/>
          <w:bCs/>
          <w:sz w:val="24"/>
          <w:szCs w:val="24"/>
        </w:rPr>
        <w:t>VMI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）图片分析/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上海电气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销售预测计划和</w:t>
      </w:r>
      <w:r w:rsidRPr="002F5788">
        <w:rPr>
          <w:rFonts w:ascii="微软雅黑" w:eastAsia="微软雅黑" w:hAnsi="微软雅黑"/>
          <w:bCs/>
          <w:sz w:val="24"/>
          <w:szCs w:val="24"/>
        </w:rPr>
        <w:t xml:space="preserve">VMI 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物料计划分析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使用条形码及与供货商进行电子数据交换</w:t>
      </w:r>
      <w:r w:rsidRPr="002F5788">
        <w:rPr>
          <w:rFonts w:ascii="微软雅黑" w:eastAsia="微软雅黑" w:hAnsi="微软雅黑"/>
          <w:bCs/>
          <w:sz w:val="24"/>
          <w:szCs w:val="24"/>
        </w:rPr>
        <w:t>(EDI)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实例展示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美赞臣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电子商务供应链物流系统流程图分析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 w:hint="eastAsia"/>
          <w:bCs/>
          <w:sz w:val="24"/>
          <w:szCs w:val="24"/>
        </w:rPr>
        <w:t>尾声</w:t>
      </w:r>
      <w:r w:rsidRPr="002F5788">
        <w:rPr>
          <w:rFonts w:ascii="微软雅黑" w:eastAsia="微软雅黑" w:hAnsi="微软雅黑"/>
          <w:bCs/>
          <w:sz w:val="24"/>
          <w:szCs w:val="24"/>
        </w:rPr>
        <w:t>:</w:t>
      </w:r>
      <w:r w:rsidRPr="002F5788">
        <w:rPr>
          <w:rFonts w:ascii="微软雅黑" w:eastAsia="微软雅黑" w:hAnsi="微软雅黑" w:hint="eastAsia"/>
          <w:b/>
          <w:bCs/>
          <w:sz w:val="24"/>
          <w:szCs w:val="24"/>
        </w:rPr>
        <w:t>当头棒喝</w:t>
      </w:r>
      <w:r w:rsidRPr="002F5788">
        <w:rPr>
          <w:rFonts w:ascii="微软雅黑" w:eastAsia="微软雅黑" w:hAnsi="微软雅黑"/>
          <w:b/>
          <w:bCs/>
          <w:sz w:val="24"/>
          <w:szCs w:val="24"/>
        </w:rPr>
        <w:t>—</w:t>
      </w:r>
      <w:r w:rsidRPr="002F5788">
        <w:rPr>
          <w:rFonts w:ascii="微软雅黑" w:eastAsia="微软雅黑" w:hAnsi="微软雅黑" w:hint="eastAsia"/>
          <w:b/>
          <w:bCs/>
          <w:sz w:val="24"/>
          <w:szCs w:val="24"/>
        </w:rPr>
        <w:t>捅破窗纸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1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学习</w:t>
      </w:r>
      <w:r w:rsidRPr="002F5788">
        <w:rPr>
          <w:rFonts w:ascii="微软雅黑" w:eastAsia="微软雅黑" w:hAnsi="微软雅黑"/>
          <w:bCs/>
          <w:sz w:val="24"/>
          <w:szCs w:val="24"/>
        </w:rPr>
        <w:t>/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兴奋两天</w:t>
      </w:r>
      <w:r w:rsidRPr="002F5788">
        <w:rPr>
          <w:rFonts w:ascii="微软雅黑" w:eastAsia="微软雅黑" w:hAnsi="微软雅黑"/>
          <w:bCs/>
          <w:sz w:val="24"/>
          <w:szCs w:val="24"/>
        </w:rPr>
        <w:t>,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回到公司后---结合公司实际情况-/</w:t>
      </w:r>
    </w:p>
    <w:p w:rsidR="002F5788" w:rsidRPr="002F5788" w:rsidRDefault="002F5788" w:rsidP="002F5788">
      <w:pPr>
        <w:jc w:val="left"/>
        <w:rPr>
          <w:rFonts w:ascii="微软雅黑" w:eastAsia="微软雅黑" w:hAnsi="微软雅黑"/>
          <w:bCs/>
          <w:sz w:val="24"/>
          <w:szCs w:val="24"/>
        </w:rPr>
      </w:pPr>
      <w:r w:rsidRPr="002F5788">
        <w:rPr>
          <w:rFonts w:ascii="微软雅黑" w:eastAsia="微软雅黑" w:hAnsi="微软雅黑"/>
          <w:bCs/>
          <w:sz w:val="24"/>
          <w:szCs w:val="24"/>
        </w:rPr>
        <w:t>2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通过学员成果发表--体会分享</w:t>
      </w:r>
      <w:r w:rsidRPr="002F5788">
        <w:rPr>
          <w:rFonts w:ascii="微软雅黑" w:eastAsia="微软雅黑" w:hAnsi="微软雅黑"/>
          <w:bCs/>
          <w:sz w:val="24"/>
          <w:szCs w:val="24"/>
        </w:rPr>
        <w:t>/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经验回顾</w:t>
      </w:r>
      <w:r w:rsidRPr="002F5788">
        <w:rPr>
          <w:rFonts w:ascii="微软雅黑" w:eastAsia="微软雅黑" w:hAnsi="微软雅黑"/>
          <w:bCs/>
          <w:sz w:val="24"/>
          <w:szCs w:val="24"/>
        </w:rPr>
        <w:t>/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讲师点评/</w:t>
      </w:r>
    </w:p>
    <w:p w:rsidR="000E3784" w:rsidRPr="002F5788" w:rsidRDefault="002F5788" w:rsidP="002F5788">
      <w:pPr>
        <w:jc w:val="left"/>
        <w:rPr>
          <w:rFonts w:ascii="微软雅黑" w:eastAsia="微软雅黑" w:hAnsi="微软雅黑"/>
          <w:b/>
          <w:sz w:val="20"/>
          <w:szCs w:val="20"/>
        </w:rPr>
        <w:sectPr w:rsidR="000E3784" w:rsidRPr="002F5788" w:rsidSect="00066EE0">
          <w:type w:val="continuous"/>
          <w:pgSz w:w="11906" w:h="16838"/>
          <w:pgMar w:top="1440" w:right="1558" w:bottom="1440" w:left="1797" w:header="851" w:footer="992" w:gutter="0"/>
          <w:cols w:num="2" w:space="568"/>
          <w:docGrid w:linePitch="312"/>
        </w:sectPr>
      </w:pPr>
      <w:r w:rsidRPr="002F5788">
        <w:rPr>
          <w:rFonts w:ascii="微软雅黑" w:eastAsia="微软雅黑" w:hAnsi="微软雅黑"/>
          <w:bCs/>
          <w:sz w:val="24"/>
          <w:szCs w:val="24"/>
        </w:rPr>
        <w:t xml:space="preserve">3 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实践</w:t>
      </w:r>
      <w:r w:rsidRPr="002F5788">
        <w:rPr>
          <w:rFonts w:ascii="微软雅黑" w:eastAsia="微软雅黑" w:hAnsi="微软雅黑"/>
          <w:bCs/>
          <w:sz w:val="24"/>
          <w:szCs w:val="24"/>
        </w:rPr>
        <w:t>/</w:t>
      </w:r>
      <w:r w:rsidRPr="002F5788">
        <w:rPr>
          <w:rFonts w:ascii="微软雅黑" w:eastAsia="微软雅黑" w:hAnsi="微软雅黑" w:hint="eastAsia"/>
          <w:bCs/>
          <w:sz w:val="24"/>
          <w:szCs w:val="24"/>
        </w:rPr>
        <w:t>活用所学五步骤</w:t>
      </w:r>
      <w:r w:rsidRPr="002F5788">
        <w:rPr>
          <w:rFonts w:ascii="微软雅黑" w:eastAsia="微软雅黑" w:hAnsi="微软雅黑"/>
          <w:bCs/>
          <w:sz w:val="24"/>
          <w:szCs w:val="24"/>
        </w:rPr>
        <w:t xml:space="preserve"> </w:t>
      </w:r>
      <w:r w:rsidRPr="002F5788">
        <w:rPr>
          <w:rFonts w:ascii="微软雅黑" w:eastAsia="微软雅黑" w:hAnsi="微软雅黑"/>
          <w:bCs/>
          <w:sz w:val="20"/>
          <w:szCs w:val="20"/>
        </w:rPr>
        <w:t xml:space="preserve"> </w:t>
      </w:r>
    </w:p>
    <w:p w:rsidR="000E3784" w:rsidRPr="00066EE0" w:rsidRDefault="000E3784" w:rsidP="000E3784">
      <w:pPr>
        <w:jc w:val="left"/>
        <w:rPr>
          <w:rFonts w:ascii="微软雅黑" w:eastAsia="微软雅黑" w:hAnsi="微软雅黑"/>
          <w:b/>
          <w:sz w:val="28"/>
          <w:szCs w:val="28"/>
        </w:rPr>
      </w:pPr>
      <w:r w:rsidRPr="00066EE0">
        <w:rPr>
          <w:rFonts w:ascii="微软雅黑" w:eastAsia="微软雅黑" w:hAnsi="微软雅黑"/>
          <w:b/>
          <w:sz w:val="28"/>
          <w:szCs w:val="28"/>
        </w:rPr>
        <w:lastRenderedPageBreak/>
        <w:t xml:space="preserve"> </w:t>
      </w:r>
    </w:p>
    <w:p w:rsidR="000E3784" w:rsidRPr="000E3784" w:rsidRDefault="000E3784" w:rsidP="000E3784">
      <w:pPr>
        <w:jc w:val="left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256857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</w:rPr>
        <w:drawing>
          <wp:anchor distT="0" distB="0" distL="114300" distR="114300" simplePos="0" relativeHeight="25256755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szCs w:val="30"/>
        </w:rPr>
        <w:drawing>
          <wp:anchor distT="0" distB="0" distL="114300" distR="114300" simplePos="0" relativeHeight="25256652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10233660</wp:posOffset>
            </wp:positionV>
            <wp:extent cx="7572375" cy="467995"/>
            <wp:effectExtent l="19050" t="0" r="9525" b="0"/>
            <wp:wrapNone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784" w:rsidRDefault="000E3784"/>
    <w:p w:rsidR="002F5788" w:rsidRDefault="002F5788"/>
    <w:p w:rsidR="002F5788" w:rsidRDefault="002F5788"/>
    <w:p w:rsidR="002F5788" w:rsidRPr="00413C4E" w:rsidRDefault="002F5788"/>
    <w:p w:rsidR="002F5788" w:rsidRDefault="002F5788"/>
    <w:p w:rsidR="000E3784" w:rsidRDefault="000E3784"/>
    <w:p w:rsidR="003529B9" w:rsidRDefault="00126B47">
      <w:r>
        <w:pict>
          <v:rect id="矩形 1" o:spid="_x0000_s1028" style="position:absolute;left:0;text-align:left;margin-left:-89.4pt;margin-top:-7.45pt;width:166.45pt;height:52.45pt;z-index:252561408;v-text-anchor:middle" o:gfxdata="UEsDBAoAAAAAAIdO4kAAAAAAAAAAAAAAAAAEAAAAZHJzL1BLAwQUAAAACACHTuJAyZxRGNsAAAAL&#10;AQAADwAAAGRycy9kb3ducmV2LnhtbE2PzU7DMBCE70i8g7VIXFBruyppG+JUqBIHEGqhhbsTL3FE&#10;vI5i94e3xznBbUc7mvmmWF9cx044hNaTAjkVwJBqb1pqFHwcniZLYCFqMrrzhAp+MMC6vL4qdG78&#10;md7xtI8NSyEUcq3AxtjnnIfaotNh6nuk9Pvyg9MxyaHhZtDnFO46PhMi4063lBqs7nFjsf7eH52C&#10;jeyrrX3ZZjbs7naf2eytfn59VOr2RooHYBEv8c8MI35ChzIxVf5IJrBOwUQulok9jtd8BWy03M8l&#10;sErBSgjgZcH/byh/AVBLAwQUAAAACACHTuJAKue9bVsCAACWBAAADgAAAGRycy9lMm9Eb2MueG1s&#10;rVTLbtswELwX6D8QvDey3MRJhMiBETdFgaAJkBY90xRlEeCrJG05/ZkCvfUj+jlFf6NDSnHcx6mo&#10;D/Sudj3DHc364nKnFdkKH6Q1NS2PJpQIw20jzbqm799dvzijJERmGqasETV9EIFezp8/u+hdJaa2&#10;s6oRngDEhKp3Ne1idFVRBN4JzcKRdcKg2FqvWUTq10XjWQ90rYrpZDIreusb5y0XIeDpcijSecZv&#10;W8HjbdsGEYmqKe4W8+nzuUpnMb9g1doz10k+XoP9wy00kwake6gli4xsvPwDSkvubbBtPOJWF7Zt&#10;JRd5BkxTTn6b5r5jTuRZIE5we5nC/4Plb7d3nsimpieUGKbxin58/vr92xdSJm16Fyq03Ls7P2YB&#10;YRp013qdvjEC2WU9H/Z6il0kHA+nZfnyvAQwR202m5WIAVM8/dr5EF8Lq0kKaurxvrKMbHsT4tD6&#10;2JLIglWyuZZK5cSvV1fKky3Du12+muAzov/Spgzp4czpKcqEM3isVSwi1A5TB7OmhKk1zMujz9zG&#10;JgaQsypxL1noBo4MmyhYpWWEbZXUNT1LxI/MyqSqyMYbJ0gSDqKlKO5WOyCkcGWbB2jv7WDK4Pi1&#10;BN8NC/GOebgQ98VmxVscrbIYwo4RJZ31n/72PPXDHKhS0sPVGPDjhnlBiXpjYJvz8vg4rUFOjk9O&#10;p0j8YWV1WDEbfWUhbokddjyHqT+qx7D1Vn/AAi4SK0rMcHAPUo7JVRy2DSvMxWKR22B9x+KNuXc8&#10;gSfJjF1som1lfulP6sAsKYH5s23GRU3bdZjnrqe/k/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ZxRGNsAAAALAQAADwAAAAAAAAABACAAAAAiAAAAZHJzL2Rvd25yZXYueG1sUEsBAhQAFAAAAAgA&#10;h07iQCrnvW1bAgAAlgQAAA4AAAAAAAAAAQAgAAAAKgEAAGRycy9lMm9Eb2MueG1sUEsFBgAAAAAG&#10;AAYAWQEAAPcFAAAAAA==&#10;" fillcolor="#de0000" stroked="f" strokeweight="1pt">
            <v:textbox>
              <w:txbxContent>
                <w:p w:rsidR="003529B9" w:rsidRDefault="006417CA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color w:val="FFFFFF" w:themeColor="background1"/>
                      <w:sz w:val="52"/>
                      <w:szCs w:val="52"/>
                    </w:rPr>
                    <w:t>讲师介绍</w:t>
                  </w:r>
                </w:p>
              </w:txbxContent>
            </v:textbox>
          </v:rect>
        </w:pict>
      </w:r>
    </w:p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126B47">
      <w:r>
        <w:pict>
          <v:shape id="文本框 2" o:spid="_x0000_s1027" type="#_x0000_t202" style="position:absolute;left:0;text-align:left;margin-left:157.45pt;margin-top:1.4pt;width:307.85pt;height:210.95pt;z-index:-251635713" o:gfxdata="UEsDBAoAAAAAAIdO4kAAAAAAAAAAAAAAAAAEAAAAZHJzL1BLAwQUAAAACACHTuJANwLfW9gAAAAK&#10;AQAADwAAAGRycy9kb3ducmV2LnhtbE2PwW6DMBBE75X6D9ZW6qVqDAmEQDCRWqlVr0nzAQveAApe&#10;I+yE5O/rntrjaEYzb8rdzQziSpPrLSuIFxEI4sbqnlsFx++P1w0I55E1DpZJwZ0c7KrHhxILbWfe&#10;0/XgWxFK2BWooPN+LKR0TUcG3cKOxME72cmgD3JqpZ5wDuVmkMsoWkuDPYeFDkd676g5Hy5Gwelr&#10;fknzuf70x2yfrN+wz2p7V+r5KY62IDzd/F8YfvEDOlSBqbYX1k4MClbLVUD3wUhjECGQJ3EKolaQ&#10;ZJscZFXK/xeqH1BLAwQUAAAACACHTuJAobpB5LYBAABCAwAADgAAAGRycy9lMm9Eb2MueG1srVLN&#10;bhMxEL4j9R0s34k3SQNhlU0lWoULAqSWB3C89q4l/2nsZjcvAG/AiQt3nivP0bGTpi3cEHvw2uPP&#10;38z3zayuRmvITkLU3jV0OqkokU74VruuoV/vNq+XlMTEXcuNd7Khexnp1fri1WoItZz53ptWAkES&#10;F+shNLRPKdSMRdFLy+PEB+nwUnmwPOEROtYCH5DdGjarqjds8NAG8ELGiNGb4yVdF36lpEiflYoy&#10;EdNQrC2VFcq6zStbr3jdAQ+9Fqcy+D9UYbl2mPRMdcMTJ/eg/6KyWoCPXqWJ8JZ5pbSQRQOqmVZ/&#10;qLnteZBFC5oTw9mm+P9oxafdFyC6xd6hPY5b7NHhx/fDz9+HX9/ILPszhFgj7DYgMI3v/YjYx3jE&#10;YJY9KrD5j4II3iPV/uyuHBMRGLycXy7m1YISgXfTt8t5tSz+s6fnAWL6IL0ledNQwPYVV/nuY0xY&#10;CkIfITlb9Ea3G21MOUC3vTZAdhxbvSlfrhKfvIAZR4aGvlvMFoXZ+fz+iDMu88gyNad8WftRY96l&#10;cTueDNn6do9+3AfQXY+lFkdYBmGjStbTUOVJeH7G/fPRX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wLfW9gAAAAKAQAADwAAAAAAAAABACAAAAAiAAAAZHJzL2Rvd25yZXYueG1sUEsBAhQAFAAA&#10;AAgAh07iQKG6QeS2AQAAQgMAAA4AAAAAAAAAAQAgAAAAJwEAAGRycy9lMm9Eb2MueG1sUEsFBgAA&#10;AAAGAAYAWQEAAE8FAAAAAA==&#10;" stroked="f">
            <v:textbox>
              <w:txbxContent>
                <w:p w:rsidR="000E3784" w:rsidRDefault="002F5788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C00000"/>
                      <w:sz w:val="48"/>
                      <w:szCs w:val="48"/>
                    </w:rPr>
                    <w:t>雷卫旭</w:t>
                  </w:r>
                </w:p>
                <w:p w:rsidR="003529B9" w:rsidRPr="000E3784" w:rsidRDefault="006417CA">
                  <w:pPr>
                    <w:spacing w:line="276" w:lineRule="auto"/>
                    <w:rPr>
                      <w:rFonts w:ascii="微软雅黑" w:eastAsia="微软雅黑" w:hAnsi="微软雅黑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C00000"/>
                      <w:sz w:val="28"/>
                      <w:szCs w:val="28"/>
                    </w:rPr>
                    <w:t>——</w:t>
                  </w:r>
                  <w:r w:rsidR="0069534A" w:rsidRPr="0069534A">
                    <w:rPr>
                      <w:rFonts w:ascii="微软雅黑" w:eastAsia="微软雅黑" w:hAnsi="微软雅黑" w:hint="eastAsia"/>
                      <w:b/>
                      <w:bCs/>
                      <w:color w:val="C00000"/>
                      <w:sz w:val="28"/>
                      <w:szCs w:val="28"/>
                    </w:rPr>
                    <w:t>原家乐福全球采购中心采购部经理</w:t>
                  </w:r>
                </w:p>
                <w:p w:rsidR="002F5788" w:rsidRPr="002F5788" w:rsidRDefault="002F5788" w:rsidP="000E3784">
                  <w:pPr>
                    <w:widowControl/>
                    <w:kinsoku w:val="0"/>
                    <w:jc w:val="left"/>
                    <w:textAlignment w:val="baseline"/>
                    <w:rPr>
                      <w:rFonts w:ascii="微软雅黑" w:eastAsia="微软雅黑" w:hAnsi="微软雅黑"/>
                      <w:bCs/>
                      <w:color w:val="000000" w:themeColor="text1"/>
                      <w:spacing w:val="16"/>
                      <w:sz w:val="24"/>
                      <w:szCs w:val="24"/>
                    </w:rPr>
                  </w:pPr>
                  <w:r w:rsidRPr="002F5788">
                    <w:rPr>
                      <w:rFonts w:ascii="微软雅黑" w:eastAsia="微软雅黑" w:hAnsi="微软雅黑"/>
                      <w:bCs/>
                      <w:color w:val="000000"/>
                      <w:spacing w:val="16"/>
                      <w:sz w:val="24"/>
                      <w:szCs w:val="24"/>
                    </w:rPr>
                    <w:t>香港理工大学</w:t>
                  </w:r>
                  <w:r w:rsidRPr="002F5788">
                    <w:rPr>
                      <w:rFonts w:ascii="微软雅黑" w:eastAsia="微软雅黑" w:hAnsi="微软雅黑"/>
                      <w:bCs/>
                      <w:color w:val="000000" w:themeColor="text1"/>
                      <w:spacing w:val="16"/>
                      <w:sz w:val="24"/>
                      <w:szCs w:val="24"/>
                    </w:rPr>
                    <w:t>MBA</w:t>
                  </w:r>
                </w:p>
                <w:p w:rsidR="002F5788" w:rsidRPr="002F5788" w:rsidRDefault="002F5788" w:rsidP="000E3784">
                  <w:pPr>
                    <w:widowControl/>
                    <w:kinsoku w:val="0"/>
                    <w:jc w:val="left"/>
                    <w:textAlignment w:val="baseline"/>
                    <w:rPr>
                      <w:rFonts w:ascii="微软雅黑" w:eastAsia="微软雅黑" w:hAnsi="微软雅黑"/>
                      <w:bCs/>
                      <w:color w:val="000000" w:themeColor="text1"/>
                      <w:spacing w:val="16"/>
                      <w:sz w:val="24"/>
                      <w:szCs w:val="24"/>
                    </w:rPr>
                  </w:pPr>
                  <w:r w:rsidRPr="002F5788">
                    <w:rPr>
                      <w:rFonts w:ascii="微软雅黑" w:eastAsia="微软雅黑" w:hAnsi="微软雅黑"/>
                      <w:bCs/>
                      <w:color w:val="000000"/>
                      <w:spacing w:val="16"/>
                      <w:sz w:val="24"/>
                      <w:szCs w:val="24"/>
                    </w:rPr>
                    <w:t>香港生产力促进局和香港工业署</w:t>
                  </w:r>
                  <w:r w:rsidRPr="002F5788">
                    <w:rPr>
                      <w:rFonts w:ascii="微软雅黑" w:eastAsia="微软雅黑" w:hAnsi="微软雅黑"/>
                      <w:bCs/>
                      <w:color w:val="000000" w:themeColor="text1"/>
                      <w:spacing w:val="16"/>
                      <w:sz w:val="24"/>
                      <w:szCs w:val="24"/>
                    </w:rPr>
                    <w:t>特约讲师</w:t>
                  </w:r>
                </w:p>
                <w:p w:rsidR="002F5788" w:rsidRPr="002F5788" w:rsidRDefault="002F5788" w:rsidP="000E3784">
                  <w:pPr>
                    <w:widowControl/>
                    <w:kinsoku w:val="0"/>
                    <w:jc w:val="left"/>
                    <w:textAlignment w:val="baseline"/>
                    <w:rPr>
                      <w:rFonts w:ascii="微软雅黑" w:eastAsia="微软雅黑" w:hAnsi="微软雅黑"/>
                      <w:bCs/>
                      <w:color w:val="000000" w:themeColor="text1"/>
                      <w:spacing w:val="16"/>
                      <w:sz w:val="24"/>
                      <w:szCs w:val="24"/>
                    </w:rPr>
                  </w:pPr>
                  <w:r w:rsidRPr="002F5788">
                    <w:rPr>
                      <w:rFonts w:ascii="微软雅黑" w:eastAsia="微软雅黑" w:hAnsi="微软雅黑"/>
                      <w:bCs/>
                      <w:color w:val="000000"/>
                      <w:spacing w:val="16"/>
                      <w:sz w:val="24"/>
                      <w:szCs w:val="24"/>
                    </w:rPr>
                    <w:t>美国管理学会(AMA)</w:t>
                  </w:r>
                  <w:r w:rsidRPr="002F5788">
                    <w:rPr>
                      <w:rFonts w:ascii="微软雅黑" w:eastAsia="微软雅黑" w:hAnsi="微软雅黑"/>
                      <w:bCs/>
                      <w:color w:val="000000" w:themeColor="text1"/>
                      <w:spacing w:val="16"/>
                      <w:sz w:val="24"/>
                      <w:szCs w:val="24"/>
                    </w:rPr>
                    <w:t>授权专业培训师</w:t>
                  </w:r>
                </w:p>
                <w:p w:rsidR="000E3784" w:rsidRPr="002F5788" w:rsidRDefault="002F5788" w:rsidP="000E3784">
                  <w:pPr>
                    <w:widowControl/>
                    <w:kinsoku w:val="0"/>
                    <w:jc w:val="left"/>
                    <w:textAlignment w:val="baseline"/>
                    <w:rPr>
                      <w:rFonts w:ascii="微软雅黑" w:eastAsia="微软雅黑" w:hAnsi="微软雅黑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2F5788">
                    <w:rPr>
                      <w:rFonts w:ascii="微软雅黑" w:eastAsia="微软雅黑" w:hAnsi="微软雅黑"/>
                      <w:bCs/>
                      <w:color w:val="000000"/>
                      <w:spacing w:val="16"/>
                      <w:sz w:val="24"/>
                      <w:szCs w:val="24"/>
                    </w:rPr>
                    <w:t>清华大学/北京大学/浙江大学/上海交大/中山大学EMBA班特邀实战型讲师</w:t>
                  </w:r>
                </w:p>
                <w:p w:rsidR="000E3784" w:rsidRPr="000E3784" w:rsidRDefault="000E3784" w:rsidP="000E3784">
                  <w:pPr>
                    <w:widowControl/>
                    <w:kinsoku w:val="0"/>
                    <w:jc w:val="left"/>
                    <w:textAlignment w:val="baseline"/>
                    <w:rPr>
                      <w:rFonts w:ascii="微软雅黑" w:eastAsia="微软雅黑" w:hAnsi="微软雅黑" w:cs="宋体"/>
                      <w:kern w:val="0"/>
                      <w:sz w:val="24"/>
                      <w:szCs w:val="24"/>
                    </w:rPr>
                  </w:pPr>
                </w:p>
                <w:p w:rsidR="003529B9" w:rsidRPr="000E3784" w:rsidRDefault="003529B9">
                  <w:pPr>
                    <w:spacing w:line="360" w:lineRule="auto"/>
                    <w:rPr>
                      <w:rFonts w:ascii="微软雅黑" w:eastAsia="微软雅黑" w:hAnsi="微软雅黑"/>
                    </w:rPr>
                  </w:pPr>
                </w:p>
              </w:txbxContent>
            </v:textbox>
          </v:shape>
        </w:pict>
      </w:r>
    </w:p>
    <w:p w:rsidR="003529B9" w:rsidRDefault="000E3784">
      <w:r>
        <w:rPr>
          <w:noProof/>
        </w:rPr>
        <w:drawing>
          <wp:anchor distT="0" distB="0" distL="114300" distR="114300" simplePos="0" relativeHeight="25256960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33655</wp:posOffset>
            </wp:positionV>
            <wp:extent cx="1538605" cy="2158365"/>
            <wp:effectExtent l="19050" t="0" r="4445" b="0"/>
            <wp:wrapTight wrapText="bothSides">
              <wp:wrapPolygon edited="0">
                <wp:start x="-267" y="0"/>
                <wp:lineTo x="-267" y="21352"/>
                <wp:lineTo x="21662" y="21352"/>
                <wp:lineTo x="21662" y="0"/>
                <wp:lineTo x="-267" y="0"/>
              </wp:wrapPolygon>
            </wp:wrapTight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/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3529B9" w:rsidRDefault="003529B9">
      <w:pPr>
        <w:rPr>
          <w:rFonts w:eastAsiaTheme="minorEastAsia"/>
        </w:rPr>
      </w:pPr>
    </w:p>
    <w:p w:rsidR="000E3784" w:rsidRDefault="000E3784" w:rsidP="0069534A">
      <w:pPr>
        <w:ind w:rightChars="-200" w:right="-420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</w:p>
    <w:p w:rsidR="003529B9" w:rsidRDefault="000E3784">
      <w:pPr>
        <w:ind w:leftChars="-200" w:left="-420" w:rightChars="-200" w:right="-420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授课风格</w:t>
      </w:r>
      <w:r w:rsidR="006417CA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：</w:t>
      </w:r>
    </w:p>
    <w:p w:rsidR="002F5788" w:rsidRPr="002F5788" w:rsidRDefault="002F5788" w:rsidP="002F5788">
      <w:pPr>
        <w:ind w:leftChars="-200" w:left="-420" w:rightChars="-200" w:right="-420"/>
        <w:rPr>
          <w:rFonts w:ascii="微软雅黑" w:eastAsia="微软雅黑" w:hAnsi="微软雅黑"/>
          <w:sz w:val="22"/>
          <w:szCs w:val="22"/>
        </w:rPr>
      </w:pPr>
      <w:r w:rsidRPr="002F5788">
        <w:rPr>
          <w:rFonts w:ascii="微软雅黑" w:eastAsia="微软雅黑" w:hAnsi="微软雅黑" w:hint="eastAsia"/>
          <w:sz w:val="22"/>
          <w:szCs w:val="22"/>
        </w:rPr>
        <w:t>“</w:t>
      </w:r>
      <w:r w:rsidRPr="002F5788">
        <w:rPr>
          <w:rFonts w:ascii="微软雅黑" w:eastAsia="微软雅黑" w:hAnsi="微软雅黑"/>
          <w:sz w:val="22"/>
          <w:szCs w:val="22"/>
        </w:rPr>
        <w:t>60/40</w:t>
      </w:r>
      <w:r w:rsidRPr="002F5788">
        <w:rPr>
          <w:rFonts w:ascii="微软雅黑" w:eastAsia="微软雅黑" w:hAnsi="微软雅黑" w:hint="eastAsia"/>
          <w:sz w:val="22"/>
          <w:szCs w:val="22"/>
        </w:rPr>
        <w:t>”时间原则</w:t>
      </w:r>
      <w:r w:rsidRPr="002F5788">
        <w:rPr>
          <w:rFonts w:ascii="微软雅黑" w:eastAsia="微软雅黑" w:hAnsi="微软雅黑"/>
          <w:sz w:val="22"/>
          <w:szCs w:val="22"/>
        </w:rPr>
        <w:t>(</w:t>
      </w:r>
      <w:r w:rsidRPr="002F5788">
        <w:rPr>
          <w:rFonts w:ascii="微软雅黑" w:eastAsia="微软雅黑" w:hAnsi="微软雅黑" w:hint="eastAsia"/>
          <w:sz w:val="22"/>
          <w:szCs w:val="22"/>
        </w:rPr>
        <w:t>讲师</w:t>
      </w:r>
      <w:r w:rsidRPr="002F5788">
        <w:rPr>
          <w:rFonts w:ascii="微软雅黑" w:eastAsia="微软雅黑" w:hAnsi="微软雅黑"/>
          <w:sz w:val="22"/>
          <w:szCs w:val="22"/>
        </w:rPr>
        <w:t>40%,</w:t>
      </w:r>
      <w:r w:rsidRPr="002F5788">
        <w:rPr>
          <w:rFonts w:ascii="微软雅黑" w:eastAsia="微软雅黑" w:hAnsi="微软雅黑" w:hint="eastAsia"/>
          <w:sz w:val="22"/>
          <w:szCs w:val="22"/>
        </w:rPr>
        <w:t>学员</w:t>
      </w:r>
      <w:r w:rsidRPr="002F5788">
        <w:rPr>
          <w:rFonts w:ascii="微软雅黑" w:eastAsia="微软雅黑" w:hAnsi="微软雅黑"/>
          <w:sz w:val="22"/>
          <w:szCs w:val="22"/>
        </w:rPr>
        <w:t>60%)</w:t>
      </w:r>
      <w:r w:rsidRPr="002F5788">
        <w:rPr>
          <w:rFonts w:ascii="微软雅黑" w:eastAsia="微软雅黑" w:hAnsi="微软雅黑" w:hint="eastAsia"/>
          <w:sz w:val="22"/>
          <w:szCs w:val="22"/>
        </w:rPr>
        <w:t>、小组讨论</w:t>
      </w:r>
      <w:r w:rsidRPr="002F5788">
        <w:rPr>
          <w:rFonts w:ascii="微软雅黑" w:eastAsia="微软雅黑" w:hAnsi="微软雅黑"/>
          <w:sz w:val="22"/>
          <w:szCs w:val="22"/>
        </w:rPr>
        <w:t>/</w:t>
      </w:r>
      <w:r w:rsidRPr="002F5788">
        <w:rPr>
          <w:rFonts w:ascii="微软雅黑" w:eastAsia="微软雅黑" w:hAnsi="微软雅黑" w:hint="eastAsia"/>
          <w:sz w:val="22"/>
          <w:szCs w:val="22"/>
        </w:rPr>
        <w:t>发表、管理电影分享</w:t>
      </w:r>
      <w:r w:rsidRPr="002F5788">
        <w:rPr>
          <w:rFonts w:ascii="微软雅黑" w:eastAsia="微软雅黑" w:hAnsi="微软雅黑"/>
          <w:sz w:val="22"/>
          <w:szCs w:val="22"/>
        </w:rPr>
        <w:t>/</w:t>
      </w:r>
      <w:r w:rsidRPr="002F5788">
        <w:rPr>
          <w:rFonts w:ascii="微软雅黑" w:eastAsia="微软雅黑" w:hAnsi="微软雅黑" w:hint="eastAsia"/>
          <w:sz w:val="22"/>
          <w:szCs w:val="22"/>
        </w:rPr>
        <w:t>研讨、案例分析、情景仿真、自带企业资料现场诊断和实作对策、游戏分享、学员与学员、讲师互动相辅而成、少讲理论多讲实践经</w:t>
      </w:r>
      <w:r w:rsidRPr="002F5788">
        <w:rPr>
          <w:rFonts w:ascii="微软雅黑" w:eastAsia="微软雅黑" w:hAnsi="微软雅黑"/>
          <w:sz w:val="22"/>
          <w:szCs w:val="22"/>
        </w:rPr>
        <w:t>验</w:t>
      </w:r>
      <w:r w:rsidRPr="002F5788">
        <w:rPr>
          <w:rFonts w:ascii="微软雅黑" w:eastAsia="微软雅黑" w:hAnsi="微软雅黑" w:hint="eastAsia"/>
          <w:sz w:val="22"/>
          <w:szCs w:val="22"/>
        </w:rPr>
        <w:t>，要求学员课堂结合本公司实际情况量身订做提出问题（可在课堂打断讲师思路），不是纯粹填鸭灌输</w:t>
      </w:r>
      <w:r w:rsidRPr="002F5788">
        <w:rPr>
          <w:rFonts w:ascii="微软雅黑" w:eastAsia="微软雅黑" w:hAnsi="微软雅黑"/>
          <w:sz w:val="22"/>
          <w:szCs w:val="22"/>
        </w:rPr>
        <w:t>,</w:t>
      </w:r>
      <w:r w:rsidRPr="002F5788">
        <w:rPr>
          <w:rFonts w:ascii="微软雅黑" w:eastAsia="微软雅黑" w:hAnsi="微软雅黑" w:hint="eastAsia"/>
          <w:sz w:val="22"/>
          <w:szCs w:val="22"/>
        </w:rPr>
        <w:t>也不是研究客观案例</w:t>
      </w:r>
      <w:r w:rsidRPr="002F5788">
        <w:rPr>
          <w:rFonts w:ascii="微软雅黑" w:eastAsia="微软雅黑" w:hAnsi="微软雅黑"/>
          <w:sz w:val="22"/>
          <w:szCs w:val="22"/>
        </w:rPr>
        <w:t>.</w:t>
      </w:r>
      <w:r w:rsidRPr="002F5788">
        <w:rPr>
          <w:rFonts w:ascii="微软雅黑" w:eastAsia="微软雅黑" w:hAnsi="微软雅黑" w:hint="eastAsia"/>
          <w:sz w:val="22"/>
          <w:szCs w:val="22"/>
        </w:rPr>
        <w:t>而是让学员体验执行过程</w:t>
      </w:r>
      <w:r w:rsidRPr="002F5788">
        <w:rPr>
          <w:rFonts w:ascii="微软雅黑" w:eastAsia="微软雅黑" w:hAnsi="微软雅黑"/>
          <w:sz w:val="22"/>
          <w:szCs w:val="22"/>
        </w:rPr>
        <w:t>,</w:t>
      </w:r>
      <w:r w:rsidRPr="002F5788">
        <w:rPr>
          <w:rFonts w:ascii="微软雅黑" w:eastAsia="微软雅黑" w:hAnsi="微软雅黑" w:hint="eastAsia"/>
          <w:sz w:val="22"/>
          <w:szCs w:val="22"/>
        </w:rPr>
        <w:t>关注现实事例</w:t>
      </w:r>
      <w:r w:rsidRPr="002F5788">
        <w:rPr>
          <w:rFonts w:ascii="微软雅黑" w:eastAsia="微软雅黑" w:hAnsi="微软雅黑"/>
          <w:sz w:val="22"/>
          <w:szCs w:val="22"/>
        </w:rPr>
        <w:t>.</w:t>
      </w:r>
      <w:r w:rsidRPr="002F5788">
        <w:rPr>
          <w:rFonts w:ascii="微软雅黑" w:eastAsia="微软雅黑" w:hAnsi="微软雅黑" w:hint="eastAsia"/>
          <w:sz w:val="22"/>
          <w:szCs w:val="22"/>
        </w:rPr>
        <w:t xml:space="preserve"> 面对面</w:t>
      </w:r>
      <w:smartTag w:uri="urn:schemas-microsoft-com:office:smarttags" w:element="PersonName">
        <w:smartTagPr>
          <w:attr w:name="ProductID" w:val="向"/>
        </w:smartTagPr>
        <w:r w:rsidRPr="002F5788">
          <w:rPr>
            <w:rFonts w:ascii="微软雅黑" w:eastAsia="微软雅黑" w:hAnsi="微软雅黑" w:hint="eastAsia"/>
            <w:sz w:val="22"/>
            <w:szCs w:val="22"/>
          </w:rPr>
          <w:t>向</w:t>
        </w:r>
      </w:smartTag>
      <w:r w:rsidRPr="002F5788">
        <w:rPr>
          <w:rFonts w:ascii="微软雅黑" w:eastAsia="微软雅黑" w:hAnsi="微软雅黑" w:hint="eastAsia"/>
          <w:sz w:val="22"/>
          <w:szCs w:val="22"/>
        </w:rPr>
        <w:t>老师提出公司问题，老师需要提成解决问题措施/方案。请同学先在公司开会收集问题。带问题来，带方案走</w:t>
      </w:r>
      <w:r w:rsidR="00413C4E">
        <w:rPr>
          <w:rFonts w:ascii="微软雅黑" w:eastAsia="微软雅黑" w:hAnsi="微软雅黑" w:hint="eastAsia"/>
          <w:sz w:val="22"/>
          <w:szCs w:val="22"/>
        </w:rPr>
        <w:t>。</w:t>
      </w:r>
    </w:p>
    <w:p w:rsidR="003529B9" w:rsidRPr="000E3784" w:rsidRDefault="003529B9" w:rsidP="0069534A">
      <w:pPr>
        <w:ind w:rightChars="-200" w:right="-420"/>
        <w:rPr>
          <w:rFonts w:ascii="微软雅黑" w:eastAsia="微软雅黑" w:hAnsi="微软雅黑"/>
          <w:sz w:val="24"/>
          <w:szCs w:val="24"/>
        </w:rPr>
      </w:pPr>
    </w:p>
    <w:p w:rsidR="003529B9" w:rsidRDefault="006417CA" w:rsidP="0069534A">
      <w:pPr>
        <w:ind w:leftChars="-200" w:left="-420" w:rightChars="-200" w:right="-420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r w:rsidRPr="000E3784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服务客户</w:t>
      </w:r>
      <w:r w:rsidR="000E3784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：</w:t>
      </w:r>
    </w:p>
    <w:p w:rsidR="000E3784" w:rsidRPr="0069534A" w:rsidRDefault="0069534A" w:rsidP="0069534A">
      <w:pPr>
        <w:ind w:leftChars="-200" w:left="-420" w:rightChars="-200" w:right="-420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r w:rsidRPr="0069534A">
        <w:rPr>
          <w:rFonts w:ascii="微软雅黑" w:eastAsia="微软雅黑" w:hAnsi="微软雅黑"/>
          <w:bCs/>
          <w:color w:val="000000" w:themeColor="text1"/>
          <w:spacing w:val="16"/>
          <w:sz w:val="22"/>
          <w:szCs w:val="22"/>
        </w:rPr>
        <w:t>中国移动。中石油/中海油/中石化。中国北京联通。美的空调.联想、南方电网。深圳核电站。长江三峡电站。大唐电信。白沙集团。广东中烟。湖南中烟。湖北中烟（武汉卷烟厂）。云南红河集团.中集集团.粤电集团、通用电气（GE），株州南车时代.中航集团.哈气集团</w:t>
      </w:r>
      <w:r w:rsidRPr="0069534A">
        <w:rPr>
          <w:rFonts w:ascii="微软雅黑" w:eastAsia="微软雅黑" w:hAnsi="微软雅黑"/>
          <w:color w:val="000000" w:themeColor="text1"/>
          <w:spacing w:val="16"/>
          <w:sz w:val="22"/>
          <w:szCs w:val="22"/>
        </w:rPr>
        <w:t>。</w:t>
      </w:r>
      <w:r w:rsidRPr="0069534A">
        <w:rPr>
          <w:rFonts w:ascii="微软雅黑" w:eastAsia="微软雅黑" w:hAnsi="微软雅黑"/>
          <w:bCs/>
          <w:color w:val="000000" w:themeColor="text1"/>
          <w:spacing w:val="16"/>
          <w:sz w:val="22"/>
          <w:szCs w:val="22"/>
        </w:rPr>
        <w:t>东方电气集团。东方电机。西门子机车.南车电机.中铁轨道系统.青岛四方.上海电气。西门子汽轮机。武汉汽轮发电机厂、杭州汽轮发电机厂。施耐德电气.阿海法电气。中国电子科技集团（军工）。上海日立/日立电梯.上海松下半导体.索尼.西安杨森制药、石家庄制药。苏州/上海西门子.伟创力/ 捷普科技.庞巴迪机车。圣戈班。河南思念食品。龙大食品集团．南京巴斯夫。拜尔。杭州/长沙博世。香港长实集团.东莞伟易达集团、加拿大北电.泰科电子/卡西欧电子、康明斯。广州辉门汽车配件。四维尔汽车配件/江森汽车配件/弗吉亚汽车配件</w:t>
      </w:r>
      <w:r>
        <w:rPr>
          <w:rFonts w:ascii="微软雅黑" w:eastAsia="微软雅黑" w:hAnsi="微软雅黑" w:hint="eastAsia"/>
          <w:bCs/>
          <w:color w:val="000000" w:themeColor="text1"/>
          <w:spacing w:val="16"/>
          <w:sz w:val="22"/>
          <w:szCs w:val="22"/>
        </w:rPr>
        <w:t>等。</w:t>
      </w:r>
      <w:r w:rsidR="006417CA">
        <w:rPr>
          <w:rFonts w:ascii="微软雅黑" w:eastAsia="微软雅黑" w:hAnsi="微软雅黑" w:hint="eastAsia"/>
          <w:b/>
          <w:bCs/>
          <w:color w:val="404040"/>
          <w:sz w:val="28"/>
          <w:szCs w:val="28"/>
        </w:rPr>
        <w:t xml:space="preserve"> </w:t>
      </w:r>
    </w:p>
    <w:p w:rsidR="003529B9" w:rsidRDefault="006417CA">
      <w:pPr>
        <w:ind w:leftChars="-200" w:left="-420" w:rightChars="-200" w:right="-420"/>
        <w:jc w:val="center"/>
        <w:rPr>
          <w:rFonts w:ascii="微软雅黑" w:eastAsia="微软雅黑" w:hAnsi="微软雅黑"/>
          <w:b/>
          <w:bCs/>
          <w:color w:val="40404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404040"/>
          <w:sz w:val="28"/>
          <w:szCs w:val="28"/>
        </w:rPr>
        <w:lastRenderedPageBreak/>
        <w:t>《催款策略与应收帐款管理》报名表</w:t>
      </w:r>
    </w:p>
    <w:p w:rsidR="003529B9" w:rsidRDefault="006417CA">
      <w:pPr>
        <w:spacing w:line="360" w:lineRule="exact"/>
        <w:rPr>
          <w:rFonts w:ascii="微软雅黑" w:eastAsia="微软雅黑" w:hAnsi="微软雅黑"/>
          <w:color w:val="C0000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C00000"/>
          <w:sz w:val="18"/>
          <w:szCs w:val="18"/>
        </w:rPr>
        <w:t>填好下表后邮箱至：                         联系方式：</w:t>
      </w:r>
    </w:p>
    <w:tbl>
      <w:tblPr>
        <w:tblW w:w="8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004"/>
        <w:gridCol w:w="1454"/>
        <w:gridCol w:w="1800"/>
        <w:gridCol w:w="2553"/>
      </w:tblGrid>
      <w:tr w:rsidR="003529B9">
        <w:trPr>
          <w:trHeight w:val="551"/>
        </w:trPr>
        <w:tc>
          <w:tcPr>
            <w:tcW w:w="1418" w:type="dxa"/>
          </w:tcPr>
          <w:p w:rsidR="003529B9" w:rsidRDefault="006417CA">
            <w:pPr>
              <w:spacing w:line="400" w:lineRule="exact"/>
              <w:jc w:val="center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单位名称</w:t>
            </w:r>
          </w:p>
        </w:tc>
        <w:tc>
          <w:tcPr>
            <w:tcW w:w="2458" w:type="dxa"/>
            <w:gridSpan w:val="2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53" w:type="dxa"/>
            <w:gridSpan w:val="2"/>
          </w:tcPr>
          <w:p w:rsidR="003529B9" w:rsidRDefault="006417CA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企业类型： □外资 □台资 □港资 □民营 □其它</w:t>
            </w:r>
          </w:p>
        </w:tc>
      </w:tr>
      <w:tr w:rsidR="003529B9">
        <w:trPr>
          <w:trHeight w:val="468"/>
        </w:trPr>
        <w:tc>
          <w:tcPr>
            <w:tcW w:w="1418" w:type="dxa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 系 人</w:t>
            </w:r>
          </w:p>
        </w:tc>
        <w:tc>
          <w:tcPr>
            <w:tcW w:w="2458" w:type="dxa"/>
            <w:gridSpan w:val="2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3529B9" w:rsidRDefault="006417CA">
            <w:pPr>
              <w:spacing w:line="400" w:lineRule="exact"/>
              <w:jc w:val="center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  <w:r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  <w:t>公司地址</w:t>
            </w:r>
          </w:p>
        </w:tc>
        <w:tc>
          <w:tcPr>
            <w:tcW w:w="2553" w:type="dxa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</w:tr>
      <w:tr w:rsidR="003529B9">
        <w:trPr>
          <w:trHeight w:val="468"/>
        </w:trPr>
        <w:tc>
          <w:tcPr>
            <w:tcW w:w="1418" w:type="dxa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2458" w:type="dxa"/>
            <w:gridSpan w:val="2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3529B9" w:rsidRDefault="006417CA">
            <w:pPr>
              <w:spacing w:line="400" w:lineRule="exact"/>
              <w:jc w:val="center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  <w:r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  <w:t>E-mail</w:t>
            </w:r>
          </w:p>
        </w:tc>
        <w:tc>
          <w:tcPr>
            <w:tcW w:w="2553" w:type="dxa"/>
          </w:tcPr>
          <w:p w:rsidR="003529B9" w:rsidRDefault="003529B9">
            <w:pPr>
              <w:spacing w:line="400" w:lineRule="exact"/>
              <w:rPr>
                <w:rStyle w:val="15"/>
                <w:rFonts w:ascii="微软雅黑" w:eastAsia="微软雅黑" w:hAnsi="微软雅黑"/>
                <w:b w:val="0"/>
                <w:bCs w:val="0"/>
                <w:sz w:val="18"/>
                <w:szCs w:val="18"/>
              </w:rPr>
            </w:pPr>
          </w:p>
        </w:tc>
      </w:tr>
      <w:tr w:rsidR="003529B9">
        <w:trPr>
          <w:trHeight w:val="465"/>
        </w:trPr>
        <w:tc>
          <w:tcPr>
            <w:tcW w:w="1418" w:type="dxa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参会人数</w:t>
            </w:r>
          </w:p>
        </w:tc>
        <w:tc>
          <w:tcPr>
            <w:tcW w:w="2458" w:type="dxa"/>
            <w:gridSpan w:val="2"/>
          </w:tcPr>
          <w:p w:rsidR="003529B9" w:rsidRDefault="006417CA">
            <w:pPr>
              <w:spacing w:line="400" w:lineRule="exact"/>
              <w:ind w:firstLineChars="250" w:firstLine="45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人</w:t>
            </w:r>
          </w:p>
        </w:tc>
        <w:tc>
          <w:tcPr>
            <w:tcW w:w="1800" w:type="dxa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参会费用</w:t>
            </w:r>
          </w:p>
        </w:tc>
        <w:tc>
          <w:tcPr>
            <w:tcW w:w="2553" w:type="dxa"/>
          </w:tcPr>
          <w:p w:rsidR="003529B9" w:rsidRDefault="006417CA">
            <w:pPr>
              <w:spacing w:line="400" w:lineRule="exac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￥_______元</w:t>
            </w:r>
          </w:p>
        </w:tc>
      </w:tr>
      <w:tr w:rsidR="003529B9">
        <w:trPr>
          <w:trHeight w:val="1405"/>
        </w:trPr>
        <w:tc>
          <w:tcPr>
            <w:tcW w:w="1418" w:type="dxa"/>
            <w:vAlign w:val="center"/>
          </w:tcPr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请将款项</w:t>
            </w:r>
          </w:p>
          <w:p w:rsidR="003529B9" w:rsidRDefault="006417CA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汇至指定帐号</w:t>
            </w:r>
          </w:p>
        </w:tc>
        <w:tc>
          <w:tcPr>
            <w:tcW w:w="6811" w:type="dxa"/>
            <w:gridSpan w:val="4"/>
          </w:tcPr>
          <w:p w:rsidR="003529B9" w:rsidRDefault="006417CA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户  名：广州中智光华教育科技有限公司</w:t>
            </w:r>
          </w:p>
          <w:p w:rsidR="003529B9" w:rsidRDefault="006417CA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开户行：中国建设银行广州琶洲支行</w:t>
            </w:r>
          </w:p>
          <w:p w:rsidR="003529B9" w:rsidRDefault="006417CA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账  号：4400 1101 4740 5250 0736</w:t>
            </w:r>
          </w:p>
        </w:tc>
      </w:tr>
      <w:tr w:rsidR="003529B9">
        <w:trPr>
          <w:trHeight w:val="375"/>
        </w:trPr>
        <w:tc>
          <w:tcPr>
            <w:tcW w:w="1418" w:type="dxa"/>
            <w:vMerge w:val="restart"/>
          </w:tcPr>
          <w:p w:rsidR="003529B9" w:rsidRDefault="003529B9">
            <w:pPr>
              <w:widowControl/>
              <w:jc w:val="left"/>
              <w:rPr>
                <w:sz w:val="18"/>
                <w:szCs w:val="18"/>
              </w:rPr>
            </w:pPr>
          </w:p>
          <w:p w:rsidR="003529B9" w:rsidRDefault="006417C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参会学员</w:t>
            </w:r>
          </w:p>
        </w:tc>
        <w:tc>
          <w:tcPr>
            <w:tcW w:w="1004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4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  <w:sz w:val="18"/>
                <w:szCs w:val="18"/>
              </w:rPr>
            </w:pPr>
          </w:p>
        </w:tc>
      </w:tr>
      <w:tr w:rsidR="003529B9">
        <w:trPr>
          <w:trHeight w:val="267"/>
        </w:trPr>
        <w:tc>
          <w:tcPr>
            <w:tcW w:w="1418" w:type="dxa"/>
            <w:vMerge/>
          </w:tcPr>
          <w:p w:rsidR="003529B9" w:rsidRDefault="003529B9">
            <w:pPr>
              <w:widowControl/>
              <w:jc w:val="left"/>
            </w:pPr>
          </w:p>
        </w:tc>
        <w:tc>
          <w:tcPr>
            <w:tcW w:w="1004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  <w:tc>
          <w:tcPr>
            <w:tcW w:w="1454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  <w:tc>
          <w:tcPr>
            <w:tcW w:w="1800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</w:rPr>
            </w:pPr>
          </w:p>
        </w:tc>
        <w:tc>
          <w:tcPr>
            <w:tcW w:w="2553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</w:tr>
      <w:tr w:rsidR="003529B9">
        <w:trPr>
          <w:trHeight w:val="356"/>
        </w:trPr>
        <w:tc>
          <w:tcPr>
            <w:tcW w:w="1418" w:type="dxa"/>
            <w:vMerge/>
          </w:tcPr>
          <w:p w:rsidR="003529B9" w:rsidRDefault="003529B9">
            <w:pPr>
              <w:widowControl/>
              <w:jc w:val="left"/>
            </w:pPr>
          </w:p>
        </w:tc>
        <w:tc>
          <w:tcPr>
            <w:tcW w:w="1004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  <w:tc>
          <w:tcPr>
            <w:tcW w:w="1454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  <w:tc>
          <w:tcPr>
            <w:tcW w:w="1800" w:type="dxa"/>
          </w:tcPr>
          <w:p w:rsidR="003529B9" w:rsidRDefault="003529B9">
            <w:pPr>
              <w:jc w:val="center"/>
              <w:rPr>
                <w:rStyle w:val="15"/>
                <w:b w:val="0"/>
                <w:bCs w:val="0"/>
              </w:rPr>
            </w:pPr>
          </w:p>
        </w:tc>
        <w:tc>
          <w:tcPr>
            <w:tcW w:w="2553" w:type="dxa"/>
          </w:tcPr>
          <w:p w:rsidR="003529B9" w:rsidRDefault="003529B9">
            <w:pPr>
              <w:rPr>
                <w:rStyle w:val="15"/>
                <w:b w:val="0"/>
                <w:bCs w:val="0"/>
              </w:rPr>
            </w:pPr>
          </w:p>
        </w:tc>
      </w:tr>
    </w:tbl>
    <w:p w:rsidR="003529B9" w:rsidRDefault="003529B9"/>
    <w:p w:rsidR="003529B9" w:rsidRDefault="003529B9"/>
    <w:p w:rsidR="003529B9" w:rsidRDefault="003529B9"/>
    <w:tbl>
      <w:tblPr>
        <w:tblW w:w="8195" w:type="dxa"/>
        <w:tblInd w:w="135" w:type="dxa"/>
        <w:tblLayout w:type="fixed"/>
        <w:tblLook w:val="04A0"/>
      </w:tblPr>
      <w:tblGrid>
        <w:gridCol w:w="1391"/>
        <w:gridCol w:w="1276"/>
        <w:gridCol w:w="1984"/>
        <w:gridCol w:w="1701"/>
        <w:gridCol w:w="1843"/>
      </w:tblGrid>
      <w:tr w:rsidR="003529B9">
        <w:trPr>
          <w:trHeight w:val="364"/>
        </w:trPr>
        <w:tc>
          <w:tcPr>
            <w:tcW w:w="8195" w:type="dxa"/>
            <w:gridSpan w:val="5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0" w:lineRule="atLeast"/>
              <w:jc w:val="center"/>
              <w:rPr>
                <w:rFonts w:ascii="微软雅黑" w:eastAsia="微软雅黑" w:hAnsi="微软雅黑"/>
                <w:b/>
                <w:bCs/>
                <w:color w:val="C00000"/>
                <w:spacing w:val="28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C00000"/>
                <w:spacing w:val="28"/>
                <w:sz w:val="28"/>
                <w:szCs w:val="28"/>
              </w:rPr>
              <w:t>2018时代光华学习卡价格表</w:t>
            </w:r>
          </w:p>
        </w:tc>
      </w:tr>
      <w:tr w:rsidR="003529B9">
        <w:trPr>
          <w:trHeight w:val="287"/>
        </w:trPr>
        <w:tc>
          <w:tcPr>
            <w:tcW w:w="139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会员系列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pacing w:val="28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pacing w:val="28"/>
                <w:sz w:val="18"/>
                <w:szCs w:val="18"/>
              </w:rPr>
              <w:t>价格(元)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ind w:firstLineChars="147" w:firstLine="347"/>
              <w:jc w:val="center"/>
              <w:rPr>
                <w:rFonts w:ascii="微软雅黑" w:eastAsia="微软雅黑" w:hAnsi="微软雅黑"/>
                <w:b/>
                <w:bCs/>
                <w:spacing w:val="28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pacing w:val="28"/>
                <w:sz w:val="18"/>
                <w:szCs w:val="18"/>
              </w:rPr>
              <w:t>数量(张)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spacing w:line="40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平均价格（元/张）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集团系列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皇冠卡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￥288，800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至尊卡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￥158，800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120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翡翠卡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￥118，800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157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公司系列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金钻卡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￥94，800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190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钻石卡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￥70，800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214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白金卡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￥59，800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240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 w:val="restart"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团队系列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￥46，800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275</w:t>
            </w:r>
          </w:p>
        </w:tc>
      </w:tr>
      <w:tr w:rsidR="003529B9">
        <w:trPr>
          <w:cantSplit/>
          <w:trHeight w:val="287"/>
        </w:trPr>
        <w:tc>
          <w:tcPr>
            <w:tcW w:w="1391" w:type="dxa"/>
            <w:vMerge/>
            <w:tcBorders>
              <w:top w:val="nil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3529B9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银卡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￥32，800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328</w:t>
            </w:r>
          </w:p>
        </w:tc>
      </w:tr>
      <w:tr w:rsidR="003529B9">
        <w:trPr>
          <w:cantSplit/>
          <w:trHeight w:val="2594"/>
        </w:trPr>
        <w:tc>
          <w:tcPr>
            <w:tcW w:w="8195" w:type="dxa"/>
            <w:gridSpan w:val="5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529B9" w:rsidRDefault="006417CA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kern w:val="0"/>
                <w:sz w:val="18"/>
                <w:szCs w:val="18"/>
              </w:rPr>
              <w:t>说 明: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成功购买时代光华学习卡的企业，即成为时代光华的VIP会员单位；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时代光华学习卡会员均可参加广州、深圳、东莞、佛山、杭州五地课程；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企业参加课程学习所产生的食宿、交通、差旅等费用自理；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时代光华学习卡会员可免费参加时代光华沙龙活动；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产品手册内公开课程项目均可匹配企业以内训学习形式另行采购；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会员单位购买时代光华E-learning网络学习产品可享受优惠；</w:t>
            </w:r>
          </w:p>
          <w:p w:rsidR="003529B9" w:rsidRDefault="006417CA">
            <w:pPr>
              <w:widowControl/>
              <w:numPr>
                <w:ilvl w:val="0"/>
                <w:numId w:val="1"/>
              </w:numPr>
              <w:overflowPunct/>
              <w:spacing w:line="360" w:lineRule="exact"/>
              <w:ind w:left="845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学习卡使用所有解释权归中智光华教育集团所有。</w:t>
            </w:r>
          </w:p>
        </w:tc>
      </w:tr>
    </w:tbl>
    <w:p w:rsidR="003529B9" w:rsidRDefault="003529B9">
      <w:pPr>
        <w:rPr>
          <w:rFonts w:eastAsiaTheme="minorEastAsia"/>
        </w:rPr>
      </w:pPr>
    </w:p>
    <w:sectPr w:rsidR="003529B9" w:rsidSect="003529B9">
      <w:type w:val="continuous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14" w:rsidRDefault="00E82C14" w:rsidP="003529B9">
      <w:r>
        <w:separator/>
      </w:r>
    </w:p>
  </w:endnote>
  <w:endnote w:type="continuationSeparator" w:id="0">
    <w:p w:rsidR="00E82C14" w:rsidRDefault="00E82C14" w:rsidP="00352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B9" w:rsidRDefault="006417CA">
    <w:pPr>
      <w:widowControl/>
      <w:jc w:val="left"/>
    </w:pPr>
    <w:r>
      <w:rPr>
        <w:rFonts w:eastAsiaTheme="minorEastAsia" w:hint="eastAsia"/>
        <w:noProof/>
      </w:rPr>
      <w:drawing>
        <wp:anchor distT="0" distB="0" distL="114300" distR="114300" simplePos="0" relativeHeight="251926528" behindDoc="0" locked="0" layoutInCell="1" allowOverlap="1">
          <wp:simplePos x="0" y="0"/>
          <wp:positionH relativeFrom="column">
            <wp:posOffset>5335270</wp:posOffset>
          </wp:positionH>
          <wp:positionV relativeFrom="paragraph">
            <wp:posOffset>-274955</wp:posOffset>
          </wp:positionV>
          <wp:extent cx="972185" cy="972185"/>
          <wp:effectExtent l="0" t="0" r="18415" b="18415"/>
          <wp:wrapSquare wrapText="bothSides"/>
          <wp:docPr id="3" name="图片 3" descr="b8fe2071f7d38208f31af11c8039aa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8fe2071f7d38208f31af11c8039aa3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185" cy="97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29B9" w:rsidRDefault="006417CA">
    <w:pPr>
      <w:pStyle w:val="a4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448310</wp:posOffset>
          </wp:positionV>
          <wp:extent cx="7587615" cy="307975"/>
          <wp:effectExtent l="19050" t="0" r="0" b="0"/>
          <wp:wrapNone/>
          <wp:docPr id="27" name="图片 7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7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7537" cy="3105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14" w:rsidRDefault="00E82C14" w:rsidP="003529B9">
      <w:r>
        <w:separator/>
      </w:r>
    </w:p>
  </w:footnote>
  <w:footnote w:type="continuationSeparator" w:id="0">
    <w:p w:rsidR="00E82C14" w:rsidRDefault="00E82C14" w:rsidP="00352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B9" w:rsidRDefault="006417CA">
    <w:pPr>
      <w:widowControl/>
      <w:jc w:val="left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-536575</wp:posOffset>
          </wp:positionV>
          <wp:extent cx="5609590" cy="514985"/>
          <wp:effectExtent l="0" t="0" r="10160" b="18415"/>
          <wp:wrapNone/>
          <wp:docPr id="29" name="图片 8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8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9590" cy="5149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:rsidR="003529B9" w:rsidRDefault="006417CA">
    <w:pPr>
      <w:pStyle w:val="a5"/>
    </w:pPr>
    <w:r>
      <w:rPr>
        <w:rFonts w:eastAsiaTheme="minorEastAsia" w:hint="eastAsia"/>
        <w:noProof/>
      </w:rPr>
      <w:drawing>
        <wp:anchor distT="0" distB="0" distL="114300" distR="114300" simplePos="0" relativeHeight="25184768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-668020</wp:posOffset>
          </wp:positionV>
          <wp:extent cx="1954530" cy="441325"/>
          <wp:effectExtent l="0" t="0" r="0" b="16510"/>
          <wp:wrapSquare wrapText="bothSides"/>
          <wp:docPr id="21" name="图片 21" descr="原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原稿LOGO"/>
                  <pic:cNvPicPr>
                    <a:picLocks noChangeAspect="1"/>
                  </pic:cNvPicPr>
                </pic:nvPicPr>
                <pic:blipFill>
                  <a:blip r:embed="rId2"/>
                  <a:srcRect t="20455" b="16364"/>
                  <a:stretch>
                    <a:fillRect/>
                  </a:stretch>
                </pic:blipFill>
                <pic:spPr>
                  <a:xfrm>
                    <a:off x="0" y="0"/>
                    <a:ext cx="195453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6B47" w:rsidRPr="00126B47">
      <w:rPr>
        <w:sz w:val="21"/>
      </w:rPr>
      <w:pict>
        <v:rect id="_x0000_s2049" style="position:absolute;left:0;text-align:left;margin-left:-89.5pt;margin-top:-54.6pt;width:154.6pt;height:41pt;z-index:251683840;mso-position-horizontal-relative:text;mso-position-vertical-relative:text;v-text-anchor:middle" o:gfxdata="UEsDBAoAAAAAAIdO4kAAAAAAAAAAAAAAAAAEAAAAZHJzL1BLAwQUAAAACACHTuJAU572ZtsAAAAN&#10;AQAADwAAAGRycy9kb3ducmV2LnhtbE2PT0vEMBDF74LfIYzgRXaTtmDd2nTBBS+CiFXUY7YZ27LN&#10;pDTZf9/e6cm9vZl5vPm9cn1ygzjgFHpPGpKlAoHUeNtTq+Hz43nxACJEQ9YMnlDDGQOsq+ur0hTW&#10;H+kdD3VsBYdQKIyGLsaxkDI0HToTln5E4tuvn5yJPE6ttJM5crgbZKrUvXSmJ/7QmRE3HTa7eu80&#10;ZElCX+3mdfedv2TjW3iq85+7s9a3N4l6BBHxFP/NMOMzOlTMtPV7skEMGhZJvuIycVZqlYKYPZli&#10;seVVmqcgq1Jetqj+AFBLAwQUAAAACACHTuJAkecDTmUCAACvBAAADgAAAGRycy9lMm9Eb2MueG1s&#10;rVTbjtMwEH1H4h8sv9Okod1L1XRVtSpCKmylBfHsOnZjyfYY2226/AwSb3wEn4P4DcZOt7tcnhCK&#10;5Mx4JnM5cybTm6PR5CB8UGBrOhyUlAjLoVF2V9P371YvrigJkdmGabCipvci0JvZ82fTzk1EBS3o&#10;RniCQWyYdK6mbYxuUhSBt8KwMAAnLBoleMMiqn5XNJ51GN3ooirLi6ID3zgPXISAt8veSGc5vpSC&#10;x1spg4hE1xRri/n0+dyms5hN2WTnmWsVP5XB/qEKw5TFpOdQSxYZ2Xv1RyijuIcAMg44mAKkVFzk&#10;HrCbYflbN3ctcyL3guAEd4Yp/L+w/O1h44lqalpVlFhmcEY/Pn/9/u0LwQtEp3Nhgk53buNPWkAx&#10;tXqU3qQ3NkGOGdH7M6LiGAnHy+H1xctRhcBztI2r8rLMkBePXzsf4isBhiShph4nloFkh3WImBFd&#10;H1xSsgBaNSuldVb8brvQnhwYTndVpSd/q/fmDTT99fW4POcMvX8O+ksgbUmHxVapPMIZ8lBqFlE0&#10;DpEJdkcJ0zskOI8+Z7CQasjkSdUtWWj7dDlszyqjIlJbK1PTK6zhXIW2qXaRyXnqMYHcw5qkLTT3&#10;OBQPPVuD4yuFSdYsxA3zSE8sElcu3uIhNWDlcJIoacF/+tt98kfWoJWSDumOXX3cMy8o0a8t8ul6&#10;OBql/cjKaHyZZuafWrZPLXZvFoCYD3G5Hc9i8o/6QZQezAfczHnKiiZmOebu8Tspi9ivIe42F/N5&#10;dsOdcCyu7Z3jKXjCycJ8H0GqzIVHdHCGScGtyNM8bXBau6d69nr8z8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Oe9mbbAAAADQEAAA8AAAAAAAAAAQAgAAAAIgAAAGRycy9kb3ducmV2LnhtbFBL&#10;AQIUABQAAAAIAIdO4kCR5wNOZQIAAK8EAAAOAAAAAAAAAAEAIAAAACoBAABkcnMvZTJvRG9jLnht&#10;bFBLBQYAAAAABgAGAFkBAAABBgAAAAA=&#10;" fillcolor="#e6e6e6" stroked="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5F9A"/>
    <w:multiLevelType w:val="multilevel"/>
    <w:tmpl w:val="1A6C5F9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0938C6"/>
    <w:rsid w:val="0001490A"/>
    <w:rsid w:val="00066EE0"/>
    <w:rsid w:val="000A1A73"/>
    <w:rsid w:val="000C3949"/>
    <w:rsid w:val="000E3784"/>
    <w:rsid w:val="00126B47"/>
    <w:rsid w:val="001A1BCA"/>
    <w:rsid w:val="002C5841"/>
    <w:rsid w:val="002D205F"/>
    <w:rsid w:val="002F5788"/>
    <w:rsid w:val="003529B9"/>
    <w:rsid w:val="003D12B4"/>
    <w:rsid w:val="003F73CE"/>
    <w:rsid w:val="00413C4E"/>
    <w:rsid w:val="00420849"/>
    <w:rsid w:val="004505AD"/>
    <w:rsid w:val="004C1AAF"/>
    <w:rsid w:val="0050598E"/>
    <w:rsid w:val="005556ED"/>
    <w:rsid w:val="005716D8"/>
    <w:rsid w:val="005D6ECE"/>
    <w:rsid w:val="006417CA"/>
    <w:rsid w:val="00663907"/>
    <w:rsid w:val="0069534A"/>
    <w:rsid w:val="00767171"/>
    <w:rsid w:val="00802E49"/>
    <w:rsid w:val="00817482"/>
    <w:rsid w:val="008F0CEA"/>
    <w:rsid w:val="008F30D9"/>
    <w:rsid w:val="009332A9"/>
    <w:rsid w:val="009A21DF"/>
    <w:rsid w:val="00A21E9E"/>
    <w:rsid w:val="00A23ECC"/>
    <w:rsid w:val="00AD1237"/>
    <w:rsid w:val="00B13885"/>
    <w:rsid w:val="00B64ADA"/>
    <w:rsid w:val="00C2140B"/>
    <w:rsid w:val="00C26281"/>
    <w:rsid w:val="00C2712E"/>
    <w:rsid w:val="00CC4D32"/>
    <w:rsid w:val="00CD6BF3"/>
    <w:rsid w:val="00D23097"/>
    <w:rsid w:val="00D254B9"/>
    <w:rsid w:val="00D66D2B"/>
    <w:rsid w:val="00D8605F"/>
    <w:rsid w:val="00DB20BF"/>
    <w:rsid w:val="00DC0A24"/>
    <w:rsid w:val="00DD7194"/>
    <w:rsid w:val="00DE2684"/>
    <w:rsid w:val="00E82C14"/>
    <w:rsid w:val="00EC74C2"/>
    <w:rsid w:val="00F569DC"/>
    <w:rsid w:val="00F71DB3"/>
    <w:rsid w:val="00FD683E"/>
    <w:rsid w:val="1F2F6C9D"/>
    <w:rsid w:val="27426885"/>
    <w:rsid w:val="313701CC"/>
    <w:rsid w:val="35397F8C"/>
    <w:rsid w:val="42596E01"/>
    <w:rsid w:val="4A26395D"/>
    <w:rsid w:val="50B846FC"/>
    <w:rsid w:val="51AA13A5"/>
    <w:rsid w:val="62AE0867"/>
    <w:rsid w:val="6B5C39B1"/>
    <w:rsid w:val="6D0938C6"/>
    <w:rsid w:val="6E195B2E"/>
    <w:rsid w:val="78FE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9B9"/>
    <w:pPr>
      <w:widowControl w:val="0"/>
      <w:overflowPunct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529B9"/>
    <w:rPr>
      <w:sz w:val="18"/>
      <w:szCs w:val="18"/>
    </w:rPr>
  </w:style>
  <w:style w:type="paragraph" w:styleId="a4">
    <w:name w:val="footer"/>
    <w:basedOn w:val="a"/>
    <w:qFormat/>
    <w:rsid w:val="003529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529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3529B9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table" w:styleId="a7">
    <w:name w:val="Table Grid"/>
    <w:basedOn w:val="a1"/>
    <w:qFormat/>
    <w:rsid w:val="003529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qFormat/>
    <w:rsid w:val="003529B9"/>
    <w:pPr>
      <w:ind w:firstLineChars="200" w:firstLine="420"/>
    </w:pPr>
    <w:rPr>
      <w:rFonts w:ascii="Calibri" w:hAnsi="Calibri"/>
      <w:szCs w:val="24"/>
    </w:rPr>
  </w:style>
  <w:style w:type="character" w:customStyle="1" w:styleId="Char">
    <w:name w:val="批注框文本 Char"/>
    <w:basedOn w:val="a0"/>
    <w:link w:val="a3"/>
    <w:qFormat/>
    <w:rsid w:val="003529B9"/>
    <w:rPr>
      <w:kern w:val="2"/>
      <w:sz w:val="18"/>
      <w:szCs w:val="18"/>
    </w:rPr>
  </w:style>
  <w:style w:type="character" w:customStyle="1" w:styleId="15">
    <w:name w:val="15"/>
    <w:basedOn w:val="a0"/>
    <w:qFormat/>
    <w:rsid w:val="003529B9"/>
    <w:rPr>
      <w:b/>
      <w:bCs/>
    </w:rPr>
  </w:style>
  <w:style w:type="paragraph" w:customStyle="1" w:styleId="1">
    <w:name w:val="列出段落1"/>
    <w:basedOn w:val="a"/>
    <w:uiPriority w:val="99"/>
    <w:unhideWhenUsed/>
    <w:qFormat/>
    <w:rsid w:val="003529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67102-87ED-41FE-AF03-BE406E55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540</Words>
  <Characters>3079</Characters>
  <Application>Microsoft Office Word</Application>
  <DocSecurity>0</DocSecurity>
  <Lines>25</Lines>
  <Paragraphs>7</Paragraphs>
  <ScaleCrop>false</ScaleCrop>
  <Company>china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2017-07-11T07:33:00Z</dcterms:created>
  <dcterms:modified xsi:type="dcterms:W3CDTF">2018-01-04T02:37:00Z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