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管理者成长地图：绩效执行与制度落地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管理者成长地图：绩效执行与制度落地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5.25-26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5.25-26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狄振鹏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  <w:lang w:val="zh-CN" w:eastAsia="zh-CN"/>
        </w:rPr>
        <w:t>游戏计分卡GSC绩效管理创始人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）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企业高管、中层骨干 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了解常见的管理低效现象，分析其原因和对策思路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掌握绩效执行系统架构的九大模块和工具应用技巧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掌握推动绩效车轮滚动的六大步骤和四大关键领域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掌握企业降本增效、激发潜能和客户满意的策略技巧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掌握制度建设、用规则机制来让企业无为而治的技巧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掌握制定科学的管理制度、让制度进行落地生根的方法</w:t>
      </w: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7462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一、企业低效的困境与绩效执行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企业低效现象与原因分析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目前低效困境的对策思路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提升绩效的四大关键领域：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降本增效、激发潜能、客户满意、制度规则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绩效执行系统的架构（9大工具）</w:t>
      </w:r>
    </w:p>
    <w:p>
      <w:pPr>
        <w:numPr>
          <w:ilvl w:val="0"/>
          <w:numId w:val="0"/>
        </w:numPr>
        <w:ind w:left="420" w:leftChars="20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企业战略与年度经营计划，部门年度计划，个人目标与承诺，企业月度计划，部门月度计划，个人月度计划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部门周计划（周检查），个人周计划（周检查），个人日计划（日检查）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绩效车轮的六个步骤（6个流程）</w:t>
      </w:r>
    </w:p>
    <w:p>
      <w:pPr>
        <w:ind w:left="420" w:leftChars="20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绩效目标，计划措施，执行落实，检查反馈，奖罚激励，持续改善</w:t>
      </w:r>
    </w:p>
    <w:p>
      <w:pPr>
        <w:ind w:left="359" w:leftChars="171" w:firstLine="105" w:firstLineChars="5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二、 降本增效——人人都是经营者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降本增效的绩效目标拟定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降低成本的策略与实用措施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业绩倍增的策略与实战措施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降本增效的执行落实与检查反馈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降本增效的奖罚激励政策与机制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降本增效的持续改善与精益求精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三、激发潜能——员工的潜能无限的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相信潜能的巨大力量，有理性也要有激情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员工的能力是逼出来的，不逼哪里会来潜能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潜能力量的三要素：梦想、利益关联、创新氛围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塑造激发员工潜能的创新氛围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激发潜能的创新方法论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四、 客户满意——整体协同让客户满意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内部客户与业务流程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二线支援一线，一线服务客户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跨部门的沟通协作，为什么就那么难？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推倒部门墙，建立玻璃房，信息共享、步调一致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用绩效车轮转动客户满意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五、 制度规则——基础管理制度化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管理靠能人、人情还是制度？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好制度才能培育好企业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制度的权威性及合理性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制度的表率、平等与特权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建立企业制度的竞争优势</w:t>
      </w:r>
    </w:p>
    <w:p>
      <w:pPr>
        <w:ind w:left="359" w:leftChars="171" w:firstLine="105" w:firstLineChars="5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六、如何科学设计制度？——制度流程规范化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针对关键问题集思广益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防止制度与法律冲突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制度拟订的要素要求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制度设计的规范流程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保持制度创新的活力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七、如何管理团队组织？——职责流程清晰化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制度化的行权、用权、授权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岗位的核心职责是基础，人才的选、育、用、留制度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流程改善与顽疾处理，渐进原则与热炉原则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流程改善与顽疾处理，协同配合模糊时怎么办？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如何激发自我驱动力与内在驱动力？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八、 运用游戏思维执行制度——让制度落地生根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人们喜欢快乐的游戏却讨厌上班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游戏化思维与游戏机制设计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GSC游戏计分卡运用：制度落地生根， 激发员工活力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绩效游戏的特点、作用与价值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GSC绩效系统的实践应用案例分享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结语：绩效倍增靠执行，员工企业来共赢！</w:t>
      </w:r>
    </w:p>
    <w:p>
      <w:pPr>
        <w:jc w:val="left"/>
        <w:rPr>
          <w:rFonts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295275</wp:posOffset>
                </wp:positionV>
                <wp:extent cx="3810000" cy="21431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狄振鹏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 w:eastAsia="zh-CN"/>
                              </w:rPr>
                              <w:t xml:space="preserve">游戏计分卡GSC绩效管理创始人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3.7pt;margin-top:23.25pt;height:168.75pt;width:300pt;z-index:251658240;mso-width-relative:page;mso-height-relative:page;" fillcolor="#FFFFFF" filled="t" stroked="f" coordsize="21600,21600" o:gfxdata="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xJjH9oAAAAKAQAADwAAAAAAAAABACAAAAAiAAAAZHJzL2Rvd25yZXYueG1sUEsB&#10;AhQAFAAAAAgAh07iQIyPzd/zAQAA5QMAAA4AAAAAAAAAAQAgAAAAKQEAAGRycy9lMm9Eb2MueG1s&#10;UEsFBgAAAAAGAAYAWQEAAI4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狄振鹏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 w:eastAsia="zh-CN"/>
                        </w:rPr>
                        <w:t xml:space="preserve">游戏计分卡GSC绩效管理创始人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876425" cy="2357120"/>
            <wp:effectExtent l="3810" t="3810" r="5715" b="20320"/>
            <wp:docPr id="1" name="图片 1" descr="F:\2018年\杭州公开课\5月\狄振鹏\照片01.jpg照片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2018年\杭州公开课\5月\狄振鹏\照片01.jpg照片0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571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tabs>
          <w:tab w:val="center" w:pos="5233"/>
        </w:tabs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中国科学院特聘研究员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工商管理博士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中层管理技能训练师，活力盟科技CEO。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曾获2004年人力资源年度“中国十大杰出培训师”奖，2005年中国企业十大最具魅力培训师称号，《中层经理核心技能》课程获2009年中国管理培训十佳品牌课程，2012年畅销书、2013畅销光盘《制度才是真正的老板》、2015年畅销书和光盘《绩效考核应该这样做》作者。</w:t>
      </w: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spacing w:line="360" w:lineRule="auto"/>
        <w:ind w:right="241" w:rightChars="115" w:firstLine="630" w:firstLineChars="30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-SA"/>
        </w:rPr>
        <w:t>课程实用、实战、有效、指导性强，加上训练风格活泼开放，互动参与，游戏演练，幽默有趣，符合成人特点，给中高管理人员很大的启发，效果卓著，深受好评。</w:t>
      </w: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spacing w:line="360" w:lineRule="auto"/>
        <w:ind w:right="241" w:rightChars="115" w:firstLine="630" w:firstLineChars="300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-SA"/>
        </w:rPr>
        <w:t>狄老师曾咨询辅导和培训服务过的中外企业达500多家，其中常年培训和辅导的部分企业有：富士康科技集团、夏普中国、三菱重工、远东集团、建设银行广东分行、杭州联合银行等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2日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周六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《智慧母亲必修课--有效亲子沟通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》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color w:val="7F7F7F" w:themeColor="background1" w:themeShade="8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张慈恩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2"/>
          <w:szCs w:val="22"/>
          <w:lang w:eastAsia="zh-CN"/>
        </w:rPr>
        <w:t>（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2"/>
          <w:szCs w:val="22"/>
        </w:rPr>
        <w:t>幸福情感导师、资深亲子教育专家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2"/>
          <w:szCs w:val="22"/>
          <w:lang w:eastAsia="zh-CN"/>
        </w:rPr>
        <w:t>）</w:t>
      </w:r>
    </w:p>
    <w:p>
      <w:pPr>
        <w:spacing w:line="360" w:lineRule="auto"/>
        <w:ind w:firstLine="440" w:firstLineChars="200"/>
        <w:rPr>
          <w:rFonts w:hint="eastAsia" w:ascii="微软雅黑" w:hAnsi="微软雅黑" w:eastAsia="微软雅黑" w:cs="微软雅黑"/>
          <w:bCs/>
          <w:color w:val="7F7F7F" w:themeColor="background1" w:themeShade="80"/>
          <w:sz w:val="22"/>
          <w:szCs w:val="22"/>
          <w:lang w:eastAsia="zh-CN"/>
        </w:rPr>
      </w:pPr>
    </w:p>
    <w:p>
      <w:pPr>
        <w:spacing w:line="360" w:lineRule="auto"/>
        <w:ind w:firstLine="440" w:firstLineChars="200"/>
        <w:rPr>
          <w:rFonts w:hint="eastAsia" w:ascii="微软雅黑" w:hAnsi="微软雅黑" w:eastAsia="微软雅黑" w:cs="微软雅黑"/>
          <w:bCs/>
          <w:color w:val="7F7F7F" w:themeColor="background1" w:themeShade="80"/>
          <w:sz w:val="22"/>
          <w:szCs w:val="22"/>
          <w:lang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Cs/>
          <w:color w:val="7F7F7F" w:themeColor="background1" w:themeShade="80"/>
          <w:sz w:val="22"/>
          <w:szCs w:val="22"/>
          <w:lang w:eastAsia="zh-CN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bookmarkStart w:id="0" w:name="_GoBack"/>
      <w:bookmarkEnd w:id="0"/>
      <w:r>
        <w:drawing>
          <wp:inline distT="0" distB="0" distL="114300" distR="114300">
            <wp:extent cx="6125210" cy="5652135"/>
            <wp:effectExtent l="0" t="0" r="1270" b="1905"/>
            <wp:docPr id="6120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2">
    <w:nsid w:val="5AAB7853"/>
    <w:multiLevelType w:val="singleLevel"/>
    <w:tmpl w:val="5AAB7853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3">
    <w:nsid w:val="5AB0AE28"/>
    <w:multiLevelType w:val="singleLevel"/>
    <w:tmpl w:val="5AB0AE28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4412C6F"/>
    <w:rsid w:val="07F23F62"/>
    <w:rsid w:val="087C606A"/>
    <w:rsid w:val="08CC176A"/>
    <w:rsid w:val="09B502C2"/>
    <w:rsid w:val="12C6169E"/>
    <w:rsid w:val="139E3E24"/>
    <w:rsid w:val="1445327A"/>
    <w:rsid w:val="14547BAE"/>
    <w:rsid w:val="145F1596"/>
    <w:rsid w:val="14EC2BB1"/>
    <w:rsid w:val="157C3E5D"/>
    <w:rsid w:val="191363F3"/>
    <w:rsid w:val="19775620"/>
    <w:rsid w:val="1CB974E3"/>
    <w:rsid w:val="1DC56A4D"/>
    <w:rsid w:val="1E59101B"/>
    <w:rsid w:val="1EA4381C"/>
    <w:rsid w:val="1ECD7371"/>
    <w:rsid w:val="1FC854A4"/>
    <w:rsid w:val="20447A3F"/>
    <w:rsid w:val="215D0D9C"/>
    <w:rsid w:val="22003B30"/>
    <w:rsid w:val="247A3A18"/>
    <w:rsid w:val="27944D9A"/>
    <w:rsid w:val="28DA3E5B"/>
    <w:rsid w:val="296E6C93"/>
    <w:rsid w:val="29A67B31"/>
    <w:rsid w:val="29F140A6"/>
    <w:rsid w:val="2A965048"/>
    <w:rsid w:val="2AAF257C"/>
    <w:rsid w:val="2EE73107"/>
    <w:rsid w:val="30030816"/>
    <w:rsid w:val="314A552F"/>
    <w:rsid w:val="319B0FA4"/>
    <w:rsid w:val="31F2543F"/>
    <w:rsid w:val="32155F4C"/>
    <w:rsid w:val="327148E0"/>
    <w:rsid w:val="34BE1F89"/>
    <w:rsid w:val="3604677F"/>
    <w:rsid w:val="360556FB"/>
    <w:rsid w:val="38CF2F29"/>
    <w:rsid w:val="38D15604"/>
    <w:rsid w:val="394225DF"/>
    <w:rsid w:val="398E0DAE"/>
    <w:rsid w:val="39D7514A"/>
    <w:rsid w:val="3A056318"/>
    <w:rsid w:val="3B781713"/>
    <w:rsid w:val="3BD52FAE"/>
    <w:rsid w:val="3CD67196"/>
    <w:rsid w:val="3D117005"/>
    <w:rsid w:val="3D141BE5"/>
    <w:rsid w:val="3D1E55B7"/>
    <w:rsid w:val="3DE17E7F"/>
    <w:rsid w:val="3E9C360A"/>
    <w:rsid w:val="3F126BE0"/>
    <w:rsid w:val="406C6CD0"/>
    <w:rsid w:val="44EB4048"/>
    <w:rsid w:val="46A56284"/>
    <w:rsid w:val="476668EB"/>
    <w:rsid w:val="48141E0C"/>
    <w:rsid w:val="48300B3D"/>
    <w:rsid w:val="48BC5177"/>
    <w:rsid w:val="49395D27"/>
    <w:rsid w:val="495D2240"/>
    <w:rsid w:val="49E91280"/>
    <w:rsid w:val="4A142266"/>
    <w:rsid w:val="4A184561"/>
    <w:rsid w:val="4A820A3B"/>
    <w:rsid w:val="4B950932"/>
    <w:rsid w:val="4C9546CC"/>
    <w:rsid w:val="4C984069"/>
    <w:rsid w:val="51DF34BB"/>
    <w:rsid w:val="538E3A2B"/>
    <w:rsid w:val="539156FF"/>
    <w:rsid w:val="54984945"/>
    <w:rsid w:val="55E8015C"/>
    <w:rsid w:val="57E24D15"/>
    <w:rsid w:val="58C96D67"/>
    <w:rsid w:val="591431D0"/>
    <w:rsid w:val="5C8276CC"/>
    <w:rsid w:val="5CC97B96"/>
    <w:rsid w:val="5DBB052B"/>
    <w:rsid w:val="5F5B3296"/>
    <w:rsid w:val="5FD5341C"/>
    <w:rsid w:val="5FE23114"/>
    <w:rsid w:val="6232481E"/>
    <w:rsid w:val="62A12E12"/>
    <w:rsid w:val="654B1D62"/>
    <w:rsid w:val="67891D66"/>
    <w:rsid w:val="686B5634"/>
    <w:rsid w:val="6964373A"/>
    <w:rsid w:val="6AF32913"/>
    <w:rsid w:val="6C92060F"/>
    <w:rsid w:val="6CCE3329"/>
    <w:rsid w:val="6E150956"/>
    <w:rsid w:val="70490B2B"/>
    <w:rsid w:val="70C70EEE"/>
    <w:rsid w:val="718476F9"/>
    <w:rsid w:val="729C5D67"/>
    <w:rsid w:val="74722205"/>
    <w:rsid w:val="74CB33EF"/>
    <w:rsid w:val="74DE1AB1"/>
    <w:rsid w:val="756F7A8C"/>
    <w:rsid w:val="77E26D16"/>
    <w:rsid w:val="78CF032E"/>
    <w:rsid w:val="790911C0"/>
    <w:rsid w:val="7A655B99"/>
    <w:rsid w:val="7A991C3D"/>
    <w:rsid w:val="7AB46CD4"/>
    <w:rsid w:val="7B3E2787"/>
    <w:rsid w:val="7C4E3BCF"/>
    <w:rsid w:val="7C701A04"/>
    <w:rsid w:val="7D4D466B"/>
    <w:rsid w:val="7FA14F43"/>
    <w:rsid w:val="7FD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幼圆" w:eastAsia="幼圆" w:cs="幼圆" w:hAnsiTheme="minorHAnsi"/>
      <w:color w:val="000000"/>
      <w:sz w:val="24"/>
      <w:szCs w:val="24"/>
      <w:lang w:val="en-US" w:eastAsia="zh-CN" w:bidi="ar-SA"/>
    </w:rPr>
  </w:style>
  <w:style w:type="paragraph" w:customStyle="1" w:styleId="43">
    <w:name w:val="缺省文本"/>
    <w:basedOn w:val="1"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ScaleCrop>false</ScaleCrop>
  <LinksUpToDate>false</LinksUpToDate>
  <CharactersWithSpaces>1121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拉儿</cp:lastModifiedBy>
  <cp:lastPrinted>2015-07-07T09:25:00Z</cp:lastPrinted>
  <dcterms:modified xsi:type="dcterms:W3CDTF">2018-03-29T06:05:57Z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