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项目风险管理与控制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项目风险管理与控制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7.13-14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7.13-14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陈刚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（原联想中国区项目总监）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项目经理、项目实施人员、中高层管理者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了解风险管理在项目管理中的关系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 识别项目中的风险和机会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风险分析工具和方法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针对风险分析采取相应措施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分析和评价风险和机会，并在计划和实施阶段有效管理相应的风险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 制定并实施适当的措施以减小风险和降低损失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 监督并控制风险和机会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5" w:type="default"/>
          <w:footerReference r:id="rId6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73094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PHp72QAAAAoBAAAPAAAAAAAAAAEAIAAAACIAAABkcnMvZG93bnJldi54bWxQSwECFAAUAAAA&#10;CACHTuJAJRM0Y+0BAACdAwAADgAAAAAAAAABACAAAAAo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黑体"/>
          <w:b/>
          <w:szCs w:val="21"/>
        </w:rPr>
        <w:t xml:space="preserve">项目风险管理概述 </w:t>
      </w:r>
    </w:p>
    <w:p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区分技术与管理</w:t>
      </w:r>
    </w:p>
    <w:p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项目的特点与挑战</w:t>
      </w:r>
    </w:p>
    <w:p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风险的案例与风险管理的案例</w:t>
      </w:r>
    </w:p>
    <w:p>
      <w:pPr>
        <w:numPr>
          <w:ilvl w:val="0"/>
          <w:numId w:val="6"/>
        </w:numPr>
        <w:ind w:left="360" w:leftChars="0" w:hanging="36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项目风险管理的流程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宋体" w:hAnsi="宋体"/>
          <w:b/>
          <w:szCs w:val="21"/>
        </w:rPr>
      </w:pPr>
      <w:r>
        <w:rPr>
          <w:rFonts w:hint="eastAsia" w:ascii="黑体"/>
          <w:b/>
          <w:szCs w:val="21"/>
        </w:rPr>
        <w:t>规划项目风险管理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风险的术语：承受度、喜好度、效用函数</w:t>
      </w:r>
      <w:r>
        <w:rPr>
          <w:szCs w:val="21"/>
        </w:rPr>
        <w:t>…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项目风险管理计划的内容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示例</w:t>
      </w:r>
    </w:p>
    <w:p>
      <w:pPr>
        <w:numPr>
          <w:ilvl w:val="0"/>
          <w:numId w:val="7"/>
        </w:numPr>
        <w:ind w:left="360" w:leftChars="0" w:hanging="36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案例演练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识别项目风险</w:t>
      </w:r>
    </w:p>
    <w:p>
      <w:pPr>
        <w:numPr>
          <w:ilvl w:val="0"/>
          <w:numId w:val="8"/>
        </w:numPr>
        <w:rPr>
          <w:rFonts w:hint="eastAsia"/>
          <w:szCs w:val="21"/>
        </w:rPr>
      </w:pPr>
      <w:r>
        <w:rPr>
          <w:rFonts w:hint="eastAsia"/>
          <w:szCs w:val="21"/>
        </w:rPr>
        <w:t>风险识别的程序化、非程序化方法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参与者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项目风险的来源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分析：按来源分类的项目风险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风险分解结构RBS的作用</w:t>
      </w:r>
    </w:p>
    <w:p>
      <w:pPr>
        <w:numPr>
          <w:ilvl w:val="0"/>
          <w:numId w:val="8"/>
        </w:numPr>
        <w:rPr>
          <w:rFonts w:hint="eastAsia"/>
          <w:szCs w:val="21"/>
        </w:rPr>
      </w:pPr>
      <w:r>
        <w:rPr>
          <w:rFonts w:hint="eastAsia"/>
          <w:szCs w:val="21"/>
        </w:rPr>
        <w:t>工具：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识别项目风险的工具与技巧：假设分析、影响图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搜集信息技术、鱼骨图、SWOT分析</w:t>
      </w:r>
    </w:p>
    <w:p>
      <w:pPr>
        <w:tabs>
          <w:tab w:val="left" w:pos="1270"/>
        </w:tabs>
        <w:rPr>
          <w:szCs w:val="21"/>
        </w:rPr>
      </w:pPr>
      <w:r>
        <w:rPr>
          <w:rFonts w:hint="eastAsia"/>
          <w:szCs w:val="21"/>
        </w:rPr>
        <w:t>9、风险登记册模板介绍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10、案例演练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实施定性与定量项目风险分析</w:t>
      </w:r>
    </w:p>
    <w:p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定性与定量的概念与目的</w:t>
      </w:r>
    </w:p>
    <w:p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定性分析程序</w:t>
      </w:r>
    </w:p>
    <w:p>
      <w:pPr>
        <w:ind w:left="315" w:hanging="315" w:hangingChars="150"/>
        <w:rPr>
          <w:szCs w:val="21"/>
        </w:rPr>
      </w:pPr>
      <w:r>
        <w:rPr>
          <w:rFonts w:hint="eastAsia"/>
          <w:szCs w:val="21"/>
        </w:rPr>
        <w:t>3、如何对项目中风险发生的可能性、风险发生对企业造成的影响、风险处理方法的效果进行评分</w:t>
      </w:r>
    </w:p>
    <w:p>
      <w:pPr>
        <w:numPr>
          <w:ilvl w:val="0"/>
          <w:numId w:val="0"/>
        </w:numPr>
        <w:ind w:leftChars="0"/>
        <w:rPr>
          <w:szCs w:val="21"/>
        </w:rPr>
      </w:pPr>
      <w:r>
        <w:rPr>
          <w:rFonts w:hint="eastAsia"/>
          <w:szCs w:val="21"/>
          <w:lang w:val="en-US" w:eastAsia="zh-CN"/>
        </w:rPr>
        <w:t>4、</w:t>
      </w:r>
      <w:r>
        <w:rPr>
          <w:rFonts w:hint="eastAsia"/>
          <w:szCs w:val="21"/>
        </w:rPr>
        <w:t>实施定性风险分析的工具与技巧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风险评估矩阵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风险紧迫性评估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项目风险优先级排序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待观察风险清单</w:t>
      </w:r>
    </w:p>
    <w:p>
      <w:pPr>
        <w:numPr>
          <w:ilvl w:val="0"/>
          <w:numId w:val="0"/>
        </w:numPr>
        <w:ind w:leftChars="0"/>
        <w:rPr>
          <w:szCs w:val="21"/>
        </w:rPr>
      </w:pPr>
      <w:r>
        <w:rPr>
          <w:rFonts w:hint="eastAsia"/>
          <w:szCs w:val="21"/>
          <w:lang w:val="en-US" w:eastAsia="zh-CN"/>
        </w:rPr>
        <w:t>9、</w:t>
      </w:r>
      <w:r>
        <w:rPr>
          <w:rFonts w:hint="eastAsia"/>
          <w:szCs w:val="21"/>
        </w:rPr>
        <w:t>实施定量风险分析程序</w:t>
      </w:r>
    </w:p>
    <w:p>
      <w:pPr>
        <w:tabs>
          <w:tab w:val="left" w:pos="1152"/>
          <w:tab w:val="left" w:pos="1270"/>
        </w:tabs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</w:rPr>
        <w:t>、定量分析案分析的工具与技巧</w:t>
      </w:r>
    </w:p>
    <w:p>
      <w:pPr>
        <w:tabs>
          <w:tab w:val="left" w:pos="1152"/>
          <w:tab w:val="left" w:pos="1270"/>
        </w:tabs>
        <w:ind w:left="420" w:hanging="420" w:hangingChars="20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、敏感性分析、三点估算、正态分布、决策树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、案例演练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黑体"/>
          <w:b/>
          <w:szCs w:val="21"/>
        </w:rPr>
      </w:pPr>
      <w:r>
        <w:rPr>
          <w:rFonts w:hint="eastAsia" w:ascii="黑体"/>
          <w:b/>
          <w:szCs w:val="21"/>
        </w:rPr>
        <w:t xml:space="preserve">规划项目风险应对策略及措施 </w:t>
      </w:r>
    </w:p>
    <w:p>
      <w:pPr>
        <w:tabs>
          <w:tab w:val="left" w:pos="1152"/>
          <w:tab w:val="left" w:pos="1265"/>
        </w:tabs>
        <w:rPr>
          <w:rFonts w:hint="eastAsia"/>
          <w:szCs w:val="21"/>
        </w:rPr>
      </w:pPr>
      <w:r>
        <w:rPr>
          <w:rFonts w:hint="eastAsia"/>
          <w:szCs w:val="21"/>
        </w:rPr>
        <w:t>1、应对的交付物：方案、职责、资源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2、项目风险处理策略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3、消极风险或者威胁的应对策略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4、积极风险或者机会的应对策略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5、应急应对策略、弹回计划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6、分组练习：制定案例项目的风险应对策略及措施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7、项目成本预算与风险管理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8、管理储备金与应急储备金的作用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9、案例演练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黑体"/>
          <w:b/>
          <w:szCs w:val="21"/>
        </w:rPr>
      </w:pPr>
      <w:r>
        <w:rPr>
          <w:rFonts w:hint="eastAsia" w:ascii="黑体"/>
          <w:b/>
          <w:szCs w:val="21"/>
        </w:rPr>
        <w:t>风险监控过程</w:t>
      </w:r>
    </w:p>
    <w:p>
      <w:pPr>
        <w:tabs>
          <w:tab w:val="left" w:pos="1152"/>
          <w:tab w:val="left" w:pos="1265"/>
        </w:tabs>
        <w:rPr>
          <w:rFonts w:hint="eastAsia"/>
          <w:szCs w:val="21"/>
        </w:rPr>
      </w:pPr>
      <w:r>
        <w:rPr>
          <w:rFonts w:hint="eastAsia"/>
          <w:szCs w:val="21"/>
        </w:rPr>
        <w:t>1、风险监控工作的载体</w:t>
      </w:r>
    </w:p>
    <w:p>
      <w:pPr>
        <w:tabs>
          <w:tab w:val="left" w:pos="1152"/>
          <w:tab w:val="left" w:pos="1265"/>
        </w:tabs>
        <w:ind w:left="315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>2、适用于风险监控的工具技术：挣值、行为标准、进度绩效监控、技术绩效测度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3、如何选择工具</w:t>
      </w:r>
    </w:p>
    <w:p>
      <w:pPr>
        <w:tabs>
          <w:tab w:val="left" w:pos="1152"/>
          <w:tab w:val="left" w:pos="1265"/>
        </w:tabs>
        <w:rPr>
          <w:szCs w:val="21"/>
        </w:rPr>
      </w:pPr>
      <w:r>
        <w:rPr>
          <w:rFonts w:hint="eastAsia"/>
          <w:szCs w:val="21"/>
        </w:rPr>
        <w:t>4、经验教训的应用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5、风险中的依赖关系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hint="eastAsia" w:ascii="黑体"/>
          <w:b/>
          <w:szCs w:val="21"/>
        </w:rPr>
      </w:pPr>
      <w:r>
        <w:rPr>
          <w:rFonts w:hint="eastAsia" w:ascii="黑体"/>
          <w:b/>
          <w:szCs w:val="21"/>
        </w:rPr>
        <w:t>课程总结</w:t>
      </w:r>
    </w:p>
    <w:p>
      <w:pPr>
        <w:numPr>
          <w:ilvl w:val="0"/>
          <w:numId w:val="5"/>
        </w:numPr>
        <w:snapToGrid w:val="0"/>
        <w:ind w:left="420" w:leftChars="0" w:hanging="420" w:firstLineChars="0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352425</wp:posOffset>
                </wp:positionV>
                <wp:extent cx="3810000" cy="15716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57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陈刚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原联想中国区项目总监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7.75pt;height:123.75pt;width:300pt;z-index:251658240;mso-width-relative:page;mso-height-relative:page;" fillcolor="#FFFFFF" filled="t" stroked="f" coordsize="21600,21600" o:gfxdata="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trTY2QAAAAoBAAAPAAAAAAAAAAEAIAAAACIAAABkcnMvZG93bnJldi54bWxQSwEC&#10;FAAUAAAACACHTuJA0QzX1vMBAADlAwAADgAAAAAAAAABACAAAAAoAQAAZHJzL2Uyb0RvYy54bWxQ&#10;SwUGAAAAAAYABgBZAQAAj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陈刚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原联想中国区项目总监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37055" cy="2198370"/>
            <wp:effectExtent l="3810" t="3810" r="6985" b="7620"/>
            <wp:docPr id="1" name="图片 1" descr="F:\2018年\杭州公开课\7月\陈刚\陈刚.jpg陈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2018年\杭州公开课\7月\陈刚\陈刚.jpg陈刚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1983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高级工程师、PMP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清华大学EMBA、北京大学经济学院-EMBA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企业院校：博世(中国)有限公司培训中心、北京经济管理干部学院、航天三院培训中心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目前为多家企业长期担任管理顾问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tabs>
          <w:tab w:val="center" w:pos="5233"/>
        </w:tabs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授课风格</w:t>
      </w:r>
    </w:p>
    <w:p>
      <w:pPr>
        <w:tabs>
          <w:tab w:val="center" w:pos="5233"/>
        </w:tabs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  <w:lang w:eastAsia="zh-CN"/>
        </w:rPr>
        <w:t>陈老师授课</w:t>
      </w: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</w:rPr>
        <w:t>逻辑思维清晰连贯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  <w:lang w:eastAsia="zh-CN"/>
        </w:rPr>
        <w:t>、</w:t>
      </w: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</w:rPr>
        <w:t>表达流畅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  <w:lang w:val="en-US" w:eastAsia="zh-CN"/>
        </w:rPr>
        <w:t>,富有</w:t>
      </w: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</w:rPr>
        <w:t>激情、有丰富实践功底、风格朴实、表达清晰易懂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shd w:val="clear" w:fill="FAFAFA"/>
          <w:lang w:eastAsia="zh-CN"/>
        </w:rPr>
        <w:t>。</w:t>
      </w:r>
    </w:p>
    <w:p>
      <w:pPr>
        <w:tabs>
          <w:tab w:val="center" w:pos="5233"/>
        </w:tabs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部分企业：联想集团公司、</w:t>
      </w:r>
      <w:r>
        <w:rPr>
          <w:rFonts w:hint="eastAsia"/>
        </w:rPr>
        <w:t>中软总公司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中石油大庆油田A1/A2项目部</w:t>
      </w:r>
      <w:r>
        <w:rPr>
          <w:rFonts w:hint="eastAsia"/>
          <w:lang w:eastAsia="zh-CN"/>
        </w:rPr>
        <w:t>、武汉东湖开发区管委会、中石油大庆油田服务公司、</w:t>
      </w:r>
      <w:r>
        <w:rPr>
          <w:rFonts w:hint="eastAsia"/>
        </w:rPr>
        <w:t>中国联通</w:t>
      </w:r>
      <w:r>
        <w:rPr>
          <w:rFonts w:hint="eastAsia"/>
          <w:lang w:eastAsia="zh-CN"/>
        </w:rPr>
        <w:t>、工商银行工发中心(珠海)、深圳招商证券、广州电信集团公司、太平洋保险-上海公司、中国普天研究院、中国航天三院310所、中信政券、IBM（北京、上海）、交通银行总行、三星中国-LED、一汽富维、南京马自达研发中心、石化盈科上海分公司、安斯泰来治药、一汽大众:产品管理部、上海贝尔-阿尔卡特、NEC软件、奔驰汽车、上海大众公司、西门子(北京)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、中达电通、汇丰银行、埃森哲中国、维斯塔斯风电Vestas、阿尔卡特-朗讯、史丹利.百得五金工具、一汽富维、巴德医疗-中国(Band)……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20、21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《谈判路线图》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李力刚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（搜狐网营销与谈判顾问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  <w:r>
        <w:drawing>
          <wp:inline distT="0" distB="0" distL="114300" distR="114300">
            <wp:extent cx="6562090" cy="5730240"/>
            <wp:effectExtent l="0" t="0" r="6350" b="0"/>
            <wp:docPr id="405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4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95104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37b912wAAAAwB&#10;AAAPAAAAAAAAAAEAIAAAACIAAABkcnMvZG93bnJldi54bWxQSwECFAAUAAAACACHTuJA/9J/SBgC&#10;AAAyBAAADgAAAAAAAAABACAAAAAqAQAAZHJzL2Uyb0RvYy54bWxQSwUGAAAAAAYABgBZAQAAtAUA&#10;AAAA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A86"/>
    <w:multiLevelType w:val="multilevel"/>
    <w:tmpl w:val="2CE87A8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5D078E"/>
    <w:multiLevelType w:val="multilevel"/>
    <w:tmpl w:val="385D078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">
    <w:nsid w:val="47181D24"/>
    <w:multiLevelType w:val="multilevel"/>
    <w:tmpl w:val="47181D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5">
    <w:nsid w:val="5ACF26D0"/>
    <w:multiLevelType w:val="singleLevel"/>
    <w:tmpl w:val="5ACF26D0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5AFA8950"/>
    <w:multiLevelType w:val="singleLevel"/>
    <w:tmpl w:val="5AFA8950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7">
    <w:nsid w:val="5B9A59BF"/>
    <w:multiLevelType w:val="multilevel"/>
    <w:tmpl w:val="5B9A59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C4C67"/>
    <w:rsid w:val="030A11A1"/>
    <w:rsid w:val="03973530"/>
    <w:rsid w:val="04412C6F"/>
    <w:rsid w:val="07F23F62"/>
    <w:rsid w:val="087C606A"/>
    <w:rsid w:val="08CC176A"/>
    <w:rsid w:val="09B502C2"/>
    <w:rsid w:val="10316F33"/>
    <w:rsid w:val="12C6169E"/>
    <w:rsid w:val="1445327A"/>
    <w:rsid w:val="14547BAE"/>
    <w:rsid w:val="14EC2BB1"/>
    <w:rsid w:val="157C3E5D"/>
    <w:rsid w:val="15A44B29"/>
    <w:rsid w:val="174D0753"/>
    <w:rsid w:val="19775620"/>
    <w:rsid w:val="1BA103FC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BF5D3B"/>
    <w:rsid w:val="29F140A6"/>
    <w:rsid w:val="2A965048"/>
    <w:rsid w:val="2BD918A8"/>
    <w:rsid w:val="2C3441F9"/>
    <w:rsid w:val="2EE73107"/>
    <w:rsid w:val="314A552F"/>
    <w:rsid w:val="319B0FA4"/>
    <w:rsid w:val="31EF62D0"/>
    <w:rsid w:val="31F2543F"/>
    <w:rsid w:val="32155F4C"/>
    <w:rsid w:val="327148E0"/>
    <w:rsid w:val="34BE1F89"/>
    <w:rsid w:val="360556FB"/>
    <w:rsid w:val="38CF2F29"/>
    <w:rsid w:val="398E0DAE"/>
    <w:rsid w:val="3A056318"/>
    <w:rsid w:val="3A851647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27D3D7F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4E0D7F90"/>
    <w:rsid w:val="51DF34BB"/>
    <w:rsid w:val="538E3A2B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1A13D88"/>
    <w:rsid w:val="6232481E"/>
    <w:rsid w:val="654B1D62"/>
    <w:rsid w:val="668462C6"/>
    <w:rsid w:val="67891D66"/>
    <w:rsid w:val="686B5634"/>
    <w:rsid w:val="6964373A"/>
    <w:rsid w:val="6AF32913"/>
    <w:rsid w:val="6C92060F"/>
    <w:rsid w:val="6CCE3329"/>
    <w:rsid w:val="6D101E37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7E87FDF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2018-05-31T06:38:56Z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