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会计准则的最新变化和企业盈余管理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会计准则的最新变化和企业盈余管理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7.13-14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7.13-14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汤婧平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（会计师、注册会计师、北京大学EMBA 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董事长、总经理，财务总监、会计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掌握金融工具确认与计量的变化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掌握金融资产转移的处理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掌握套期会计处理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掌握持有待售的非流动资产、处置组和终止经营的处理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掌握金融工具列表的变化与处理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掌握收入会计准则的变化与处理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掌握利润管理的思路与方法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szCs w:val="21"/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5" w:type="default"/>
          <w:footerReference r:id="rId6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808768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PHp72QAAAAoBAAAPAAAAAAAAAAEAIAAAACIAAABkcnMvZG93bnJldi54bWxQSwECFAAUAAAA&#10;CACHTuJAJRM0Y+0BAACdAwAADgAAAAAAAAABACAAAAAo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szCs w:val="21"/>
          <w:u w:val="none"/>
          <w:lang w:val="en-US" w:eastAsia="zh-CN"/>
        </w:rPr>
      </w:pPr>
      <w:bookmarkStart w:id="2" w:name="_GoBack"/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  <w:u w:val="none"/>
          <w:lang w:val="en-US" w:eastAsia="zh-CN"/>
        </w:rPr>
        <w:t>模块一：新会计准则政策变化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  <w:t>企业会计准则第22号——金融工具确认和计量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第一章</w:t>
      </w:r>
      <w:r>
        <w:rPr>
          <w:rFonts w:hint="eastAsia" w:ascii="宋体" w:hAnsi="宋体" w:eastAsia="宋体" w:cs="宋体"/>
          <w:szCs w:val="21"/>
          <w:u w:val="none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u w:val="none"/>
        </w:rPr>
        <w:t>第二章金融工具的确认和终止确认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eastAsia="宋体" w:cs="宋体"/>
          <w:szCs w:val="21"/>
          <w:u w:val="none"/>
        </w:rPr>
        <w:t>第三章金融资产的分类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eastAsia="宋体" w:cs="宋体"/>
          <w:szCs w:val="21"/>
          <w:u w:val="none"/>
        </w:rPr>
        <w:t>第四章金融负债的分类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eastAsia="宋体" w:cs="宋体"/>
          <w:szCs w:val="21"/>
          <w:u w:val="none"/>
        </w:rPr>
        <w:t>第五章嵌入衍生工具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eastAsia="宋体" w:cs="宋体"/>
          <w:szCs w:val="21"/>
          <w:u w:val="none"/>
        </w:rPr>
        <w:t>第六章金融工具的重分类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eastAsia="宋体" w:cs="宋体"/>
          <w:szCs w:val="21"/>
          <w:u w:val="none"/>
        </w:rPr>
        <w:t>第七章金融工具的计量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bookmarkStart w:id="0" w:name="OLE_LINK2"/>
      <w:r>
        <w:rPr>
          <w:rFonts w:hint="eastAsia" w:ascii="宋体" w:hAnsi="宋体" w:eastAsia="宋体" w:cs="宋体"/>
          <w:szCs w:val="21"/>
          <w:u w:val="none"/>
        </w:rPr>
        <w:t>第八章金融工具的减值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eastAsia="宋体" w:cs="宋体"/>
          <w:szCs w:val="21"/>
          <w:u w:val="none"/>
        </w:rPr>
        <w:t>第九章利得和损失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bookmarkStart w:id="1" w:name="OLE_LINK29"/>
      <w:r>
        <w:rPr>
          <w:rFonts w:hint="eastAsia" w:ascii="宋体" w:hAnsi="宋体" w:eastAsia="宋体" w:cs="宋体"/>
          <w:szCs w:val="21"/>
          <w:u w:val="none"/>
        </w:rPr>
        <w:t>第十章衔接规定</w:t>
      </w:r>
      <w:bookmarkEnd w:id="1"/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  <w:t>企业会计准则第23号——金融资产转移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第一章</w:t>
      </w:r>
      <w:r>
        <w:rPr>
          <w:rFonts w:hint="eastAsia" w:ascii="宋体" w:hAnsi="宋体" w:eastAsia="宋体" w:cs="宋体"/>
          <w:szCs w:val="21"/>
          <w:u w:val="none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第二章</w:t>
      </w:r>
      <w:r>
        <w:rPr>
          <w:rFonts w:hint="eastAsia" w:ascii="宋体" w:hAnsi="宋体" w:eastAsia="宋体" w:cs="宋体"/>
          <w:szCs w:val="21"/>
          <w:u w:val="none"/>
        </w:rPr>
        <w:t>金融资产终止确认的一般原则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第三章</w:t>
      </w:r>
      <w:r>
        <w:rPr>
          <w:rFonts w:hint="eastAsia" w:ascii="宋体" w:hAnsi="宋体" w:eastAsia="宋体" w:cs="宋体"/>
          <w:szCs w:val="21"/>
          <w:u w:val="none"/>
        </w:rPr>
        <w:t>金融资产转移的情形及其终止确认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第四章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满足终止确认条件的金融资产转移的</w:t>
      </w:r>
      <w:r>
        <w:rPr>
          <w:rFonts w:hint="eastAsia" w:ascii="宋体" w:hAnsi="宋体" w:cs="宋体"/>
          <w:szCs w:val="21"/>
          <w:u w:val="none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会计处理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第五章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继续确认被转移金融资产的会计处理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第六章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继续涉入被转移金融资产的会计处理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7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第七章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向转入方提供非现金担保物的会计处理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第八章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 xml:space="preserve"> 衔接规定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  <w:t>企业会计准则第24号——套期会计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第一章</w:t>
      </w:r>
      <w:r>
        <w:rPr>
          <w:rFonts w:hint="eastAsia" w:ascii="宋体" w:hAnsi="宋体" w:eastAsia="宋体" w:cs="宋体"/>
          <w:szCs w:val="21"/>
          <w:u w:val="none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第二章</w:t>
      </w:r>
      <w:r>
        <w:rPr>
          <w:rFonts w:hint="eastAsia" w:ascii="宋体" w:hAnsi="宋体" w:eastAsia="宋体" w:cs="宋体"/>
          <w:szCs w:val="21"/>
          <w:u w:val="none"/>
        </w:rPr>
        <w:t>套期工具和被套期项目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第三章</w:t>
      </w:r>
      <w:r>
        <w:rPr>
          <w:rFonts w:hint="eastAsia" w:ascii="宋体" w:hAnsi="宋体" w:eastAsia="宋体" w:cs="宋体"/>
          <w:szCs w:val="21"/>
          <w:u w:val="none"/>
        </w:rPr>
        <w:t>套期关系评估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第四章</w:t>
      </w:r>
      <w:r>
        <w:rPr>
          <w:rFonts w:hint="eastAsia" w:ascii="宋体" w:hAnsi="宋体" w:eastAsia="宋体" w:cs="宋体"/>
          <w:szCs w:val="21"/>
          <w:u w:val="none"/>
        </w:rPr>
        <w:t>确认和计量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第五章</w:t>
      </w:r>
      <w:r>
        <w:rPr>
          <w:rFonts w:hint="eastAsia" w:ascii="宋体" w:hAnsi="宋体" w:eastAsia="宋体" w:cs="宋体"/>
          <w:szCs w:val="21"/>
          <w:u w:val="none"/>
        </w:rPr>
        <w:t>信用风险敞口的公允价值选择权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u w:val="none"/>
        </w:rPr>
        <w:t>第六章衔接规定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  <w:t>企业会计准则第42号——持有待售的非流动资产、处置组和终止经营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第一章</w:t>
      </w:r>
      <w:r>
        <w:rPr>
          <w:rFonts w:hint="eastAsia" w:ascii="宋体" w:hAnsi="宋体" w:eastAsia="宋体" w:cs="宋体"/>
          <w:szCs w:val="21"/>
          <w:u w:val="none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第二章</w:t>
      </w:r>
      <w:r>
        <w:rPr>
          <w:rFonts w:hint="eastAsia" w:ascii="宋体" w:hAnsi="宋体" w:eastAsia="宋体" w:cs="宋体"/>
          <w:szCs w:val="21"/>
          <w:u w:val="none"/>
        </w:rPr>
        <w:t>持有待售的非流动资产或处置组的分</w:t>
      </w:r>
      <w:r>
        <w:rPr>
          <w:rFonts w:hint="eastAsia" w:ascii="宋体" w:hAnsi="宋体" w:cs="宋体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none"/>
        </w:rPr>
        <w:t>类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第三章</w:t>
      </w:r>
      <w:r>
        <w:rPr>
          <w:rFonts w:hint="eastAsia" w:ascii="宋体" w:hAnsi="宋体" w:eastAsia="宋体" w:cs="宋体"/>
          <w:szCs w:val="21"/>
          <w:u w:val="none"/>
        </w:rPr>
        <w:t>持有待售的非流动资产或处置组的计量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u w:val="none"/>
        </w:rPr>
        <w:t>第四章列报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  <w:t>企业会计准则第37号——金融工具列报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第一章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第二章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金融负债和权益工具的区分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第三章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特殊金融工具的区分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第四章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收益和库存股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第五章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金融资产和金融负债的抵销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第六章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金融工具对财务状况和经营成果影响的列报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第七章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与金融工具相关的风险披露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u w:val="none"/>
          <w:lang w:val="en-US" w:eastAsia="zh-CN"/>
        </w:rPr>
        <w:t>企业会计准则第14号——收入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第一章</w:t>
      </w:r>
      <w:r>
        <w:rPr>
          <w:rFonts w:hint="eastAsia" w:ascii="宋体" w:hAnsi="宋体" w:eastAsia="宋体" w:cs="宋体"/>
          <w:szCs w:val="21"/>
          <w:u w:val="none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第二章</w:t>
      </w:r>
      <w:r>
        <w:rPr>
          <w:rFonts w:hint="eastAsia" w:ascii="宋体" w:hAnsi="宋体" w:eastAsia="宋体" w:cs="宋体"/>
          <w:szCs w:val="21"/>
          <w:u w:val="none"/>
        </w:rPr>
        <w:t>确认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第三章</w:t>
      </w:r>
      <w:r>
        <w:rPr>
          <w:rFonts w:hint="eastAsia" w:ascii="宋体" w:hAnsi="宋体" w:eastAsia="宋体" w:cs="宋体"/>
          <w:szCs w:val="21"/>
          <w:u w:val="none"/>
        </w:rPr>
        <w:t>计量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第四章</w:t>
      </w:r>
      <w:r>
        <w:rPr>
          <w:rFonts w:hint="eastAsia" w:ascii="宋体" w:hAnsi="宋体" w:eastAsia="宋体" w:cs="宋体"/>
          <w:szCs w:val="21"/>
          <w:u w:val="none"/>
        </w:rPr>
        <w:t>合同成本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第五章</w:t>
      </w:r>
      <w:r>
        <w:rPr>
          <w:rFonts w:hint="eastAsia" w:ascii="宋体" w:hAnsi="宋体" w:eastAsia="宋体" w:cs="宋体"/>
          <w:szCs w:val="21"/>
          <w:u w:val="none"/>
        </w:rPr>
        <w:t>特定交易的会计处理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第六章</w:t>
      </w:r>
      <w:r>
        <w:rPr>
          <w:rFonts w:hint="eastAsia" w:ascii="宋体" w:hAnsi="宋体" w:eastAsia="宋体" w:cs="宋体"/>
          <w:szCs w:val="21"/>
          <w:u w:val="none"/>
        </w:rPr>
        <w:t>列报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cs="宋体"/>
          <w:szCs w:val="21"/>
          <w:u w:val="none"/>
          <w:lang w:val="en-US" w:eastAsia="zh-CN"/>
        </w:rPr>
        <w:t>第七章</w:t>
      </w:r>
      <w:r>
        <w:rPr>
          <w:rFonts w:hint="eastAsia" w:ascii="宋体" w:hAnsi="宋体" w:eastAsia="宋体" w:cs="宋体"/>
          <w:szCs w:val="21"/>
          <w:u w:val="none"/>
        </w:rPr>
        <w:t>衔接规定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7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szCs w:val="21"/>
          <w:u w:val="none"/>
          <w:lang w:val="en-US" w:eastAsia="zh-CN"/>
        </w:rPr>
        <w:t>模块二 企业盈余管理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企业的盈利能力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          （1）销售净利率分析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          （2）资产净利率分析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 xml:space="preserve">           （3）权益净利率分析</w:t>
      </w:r>
    </w:p>
    <w:p>
      <w:pPr>
        <w:numPr>
          <w:ilvl w:val="0"/>
          <w:numId w:val="0"/>
        </w:numPr>
        <w:spacing w:line="360" w:lineRule="auto"/>
        <w:ind w:firstLine="1260" w:firstLineChars="6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（4）杜邦分析体系的应用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7" w:firstLineChars="0"/>
        <w:jc w:val="left"/>
        <w:textAlignment w:val="auto"/>
        <w:outlineLvl w:val="9"/>
        <w:rPr>
          <w:rFonts w:hint="eastAsia" w:ascii="宋体" w:hAnsi="宋体" w:eastAsia="宋体" w:cs="宋体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企业盈利能力管理</w:t>
      </w:r>
    </w:p>
    <w:p>
      <w:pPr>
        <w:numPr>
          <w:ilvl w:val="0"/>
          <w:numId w:val="0"/>
        </w:numPr>
        <w:spacing w:line="360" w:lineRule="auto"/>
        <w:ind w:firstLine="1050" w:firstLineChars="5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（1）收入结构的分析</w:t>
      </w:r>
    </w:p>
    <w:p>
      <w:pPr>
        <w:numPr>
          <w:ilvl w:val="0"/>
          <w:numId w:val="0"/>
        </w:numPr>
        <w:spacing w:line="360" w:lineRule="auto"/>
        <w:ind w:firstLine="1050" w:firstLineChars="5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（2）成本结构的分析</w:t>
      </w:r>
    </w:p>
    <w:p>
      <w:pPr>
        <w:numPr>
          <w:ilvl w:val="0"/>
          <w:numId w:val="0"/>
        </w:numPr>
        <w:spacing w:line="360" w:lineRule="auto"/>
        <w:ind w:firstLine="1050" w:firstLineChars="5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（3）费用结构的分析</w:t>
      </w:r>
    </w:p>
    <w:p>
      <w:pPr>
        <w:numPr>
          <w:ilvl w:val="0"/>
          <w:numId w:val="0"/>
        </w:numPr>
        <w:spacing w:line="360" w:lineRule="auto"/>
        <w:ind w:firstLine="1050" w:firstLineChars="5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（4）产品毛利结构分析</w:t>
      </w:r>
    </w:p>
    <w:p>
      <w:pPr>
        <w:numPr>
          <w:ilvl w:val="0"/>
          <w:numId w:val="0"/>
        </w:numPr>
        <w:spacing w:line="360" w:lineRule="auto"/>
        <w:ind w:firstLine="1050" w:firstLineChars="500"/>
        <w:jc w:val="left"/>
        <w:rPr>
          <w:rFonts w:hint="eastAsia" w:ascii="宋体" w:hAnsi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（5）实现企业盈利的根本点在哪里？</w:t>
      </w:r>
    </w:p>
    <w:p>
      <w:pPr>
        <w:spacing w:line="360" w:lineRule="auto"/>
        <w:jc w:val="left"/>
        <w:rPr>
          <w:rFonts w:ascii="宋体" w:hAnsi="宋体"/>
          <w:b/>
          <w:bCs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bookmarkEnd w:id="2"/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304800</wp:posOffset>
                </wp:positionV>
                <wp:extent cx="3810000" cy="15716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57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汤婧平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 xml:space="preserve">会计师、注册会计师、北京大学EMBA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5.2pt;margin-top:24pt;height:123.75pt;width:300pt;z-index:251658240;mso-width-relative:page;mso-height-relative:page;" fillcolor="#FFFFFF" filled="t" stroked="f" coordsize="21600,21600" o:gfxdata="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d0cDdoAAAAKAQAADwAAAAAAAAABACAAAAAiAAAAZHJzL2Rvd25yZXYueG1sUEsB&#10;AhQAFAAAAAgAh07iQNEM19b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汤婧平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 xml:space="preserve">会计师、注册会计师、北京大学EMBA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08505" cy="2282190"/>
            <wp:effectExtent l="3810" t="3810" r="6985" b="19050"/>
            <wp:docPr id="1" name="图片 1" descr="C:\Users\Administrator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png图片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浙江中科商学院访问教授 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中国管理科学研究院 专家委员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曾任上市公司财务总监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曾任和君咨询   合伙人</w:t>
      </w:r>
    </w:p>
    <w:p>
      <w:pPr>
        <w:tabs>
          <w:tab w:val="center" w:pos="5233"/>
        </w:tabs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授课风格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幽默风趣，亲和力强，实战性、实用性、不懂财务也能听懂财务课程。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课程设计前通过故事引入课程主题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课程设计为知识体系+实践案例+操作工具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课程形式为讲授+提问+互动</w:t>
      </w:r>
    </w:p>
    <w:p>
      <w:pPr>
        <w:tabs>
          <w:tab w:val="left" w:pos="5220"/>
        </w:tabs>
        <w:snapToGrid w:val="0"/>
        <w:spacing w:line="264" w:lineRule="auto"/>
        <w:rPr>
          <w:rFonts w:hint="eastAsia" w:ascii="宋体" w:hAnsi="宋体" w:eastAsia="宋体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中国移动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中国联通、国家电网</w:t>
      </w:r>
      <w:r>
        <w:rPr>
          <w:rFonts w:hint="eastAsia" w:ascii="宋体" w:hAnsi="宋体" w:cs="宋体"/>
          <w:szCs w:val="21"/>
          <w:lang w:eastAsia="zh-CN"/>
        </w:rPr>
        <w:t>、海信集团、华迪集团、航天信息股份有限公司、南车集团、鲁州集团、中国兵装集团、福耀玻璃、美的集团、西门子冰箱、美泰格集团、风华高科股份有限公司、亿利集团、工商银行、中国银行、中国农行、中国银行、浦东发展银行、华夏银行、银河科技、玄极科技股份有限公司、沈阳银贝壳、江苏赛威电器、巴可科技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20、21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《建立于战略目标一致的绩效体系》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江源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（原华为全球人力资源专家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562090" cy="5730240"/>
            <wp:effectExtent l="0" t="0" r="6350" b="0"/>
            <wp:docPr id="405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4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772928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37b912wAAAAwB&#10;AAAPAAAAAAAAAAEAIAAAACIAAABkcnMvZG93bnJldi54bWxQSwECFAAUAAAACACHTuJA/9J/SBgC&#10;AAAyBAAADgAAAAAAAAABACAAAAAqAQAAZHJzL2Uyb0RvYy54bWxQSwUGAAAAAAYABgBZAQAAtAUA&#10;AAAA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AB2590"/>
    <w:multiLevelType w:val="singleLevel"/>
    <w:tmpl w:val="5AAB2590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AB25DF"/>
    <w:multiLevelType w:val="singleLevel"/>
    <w:tmpl w:val="5AAB25D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5ACF26D0"/>
    <w:multiLevelType w:val="singleLevel"/>
    <w:tmpl w:val="5ACF26D0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5ADE9435"/>
    <w:multiLevelType w:val="singleLevel"/>
    <w:tmpl w:val="5ADE9435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3E2423"/>
    <w:rsid w:val="03973530"/>
    <w:rsid w:val="04412C6F"/>
    <w:rsid w:val="07F23F62"/>
    <w:rsid w:val="087C606A"/>
    <w:rsid w:val="08CC176A"/>
    <w:rsid w:val="09B502C2"/>
    <w:rsid w:val="10316F33"/>
    <w:rsid w:val="12C6169E"/>
    <w:rsid w:val="138238BF"/>
    <w:rsid w:val="1445327A"/>
    <w:rsid w:val="14547BAE"/>
    <w:rsid w:val="14EC2BB1"/>
    <w:rsid w:val="157C3E5D"/>
    <w:rsid w:val="174D0753"/>
    <w:rsid w:val="19775620"/>
    <w:rsid w:val="1A370D75"/>
    <w:rsid w:val="1BA103FC"/>
    <w:rsid w:val="1BC3147C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D74268"/>
    <w:rsid w:val="29F140A6"/>
    <w:rsid w:val="2A965048"/>
    <w:rsid w:val="2BD918A8"/>
    <w:rsid w:val="2EE73107"/>
    <w:rsid w:val="314A552F"/>
    <w:rsid w:val="319B0FA4"/>
    <w:rsid w:val="31EF62D0"/>
    <w:rsid w:val="31F2543F"/>
    <w:rsid w:val="32155F4C"/>
    <w:rsid w:val="327148E0"/>
    <w:rsid w:val="34BE1F89"/>
    <w:rsid w:val="360556FB"/>
    <w:rsid w:val="38CF2F29"/>
    <w:rsid w:val="398E0DAE"/>
    <w:rsid w:val="3A056318"/>
    <w:rsid w:val="3A8C26E5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27D3D7F"/>
    <w:rsid w:val="44EB4048"/>
    <w:rsid w:val="455903B9"/>
    <w:rsid w:val="45781F2B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4E0D7F90"/>
    <w:rsid w:val="50C033D0"/>
    <w:rsid w:val="51DF34BB"/>
    <w:rsid w:val="538E3A2B"/>
    <w:rsid w:val="54984945"/>
    <w:rsid w:val="551F151F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1A13D88"/>
    <w:rsid w:val="6232481E"/>
    <w:rsid w:val="654B1D62"/>
    <w:rsid w:val="668462C6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7E87FDF"/>
    <w:rsid w:val="78CF032E"/>
    <w:rsid w:val="790911C0"/>
    <w:rsid w:val="79621879"/>
    <w:rsid w:val="7A655B99"/>
    <w:rsid w:val="7A991C3D"/>
    <w:rsid w:val="7AB46CD4"/>
    <w:rsid w:val="7B3E2787"/>
    <w:rsid w:val="7C4E3BCF"/>
    <w:rsid w:val="7C701A04"/>
    <w:rsid w:val="7CE84B15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2018-07-10T06:12:05Z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