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26670</wp:posOffset>
            </wp:positionV>
            <wp:extent cx="3359150" cy="1323975"/>
            <wp:effectExtent l="0" t="0" r="12700" b="952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277.6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通用管理学习系列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64"/>
                      <w:szCs w:val="6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64"/>
                      <w:szCs w:val="64"/>
                    </w:rPr>
                    <w:t>管理者成长地图：员工激励与部署培育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讲：谢玉雄       原富士康集团IE学院资深经理       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课程时间/地点：8月17-18日/东莞             课程费用：2800元/人（会员6张票）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课程对象：部门经理级以上（下属员工5人以上）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eastAsiaTheme="minorEastAsia"/>
        </w:rPr>
      </w:pPr>
    </w:p>
    <w:p/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1、让管理者了解自己的职位角色，建立良好的责任意识和工作使命感；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2、提高管理者有效激励下属，正确处理跟下属的关系，学会带人带心的激励技巧；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</w:rPr>
        <w:t>3、掌握培育下属的方法，提高下属的能力，使自己充分授权给下属，从而达到下属有机会得到锻炼和提升能力的机会，管理者自己工作轻松而有效率的目的。</w:t>
      </w:r>
    </w:p>
    <w:p>
      <w:r>
        <w:pict>
          <v:rect id="_x0000_s1029" o:spid="_x0000_s1029" o:spt="1" style="position:absolute;left:0pt;margin-left:-90.15pt;margin-top:12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/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微软雅黑" w:hAnsi="微软雅黑" w:eastAsia="微软雅黑" w:cs="微软雅黑"/>
          <w:bCs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第一单元：管理者的角色认知与职责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管理者的角色与职责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管理者的工作心态与工作的责任感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管理者在组织管理的位置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管理者在组织中的执行力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管理者应具备的技能要求和价值观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组织管理的五项原则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思考题：管理者在角色认知和角色转换中会遇到哪些问题？</w:t>
      </w:r>
    </w:p>
    <w:p>
      <w:pPr>
        <w:pStyle w:val="1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案例：在管理者眼里陈明如何做到从【能用】、【有用】到【好用】的？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第二单元：人本管理的激励理论及其应用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改善员工行为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掌握员工需求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案例：员工王小英的工作沮丧和需求分析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激励的原理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管理者看待员工的6个忌讳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管理者对激励的认知10个测试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现代激励的11个基本理论（公平、挫折、归因、强化、成就需要、双因素、马斯洛需要层次论等）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如何将激励基本理论运用在管理者的日常工作中？</w:t>
      </w:r>
    </w:p>
    <w:p>
      <w:pPr>
        <w:pStyle w:val="14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案例：员工调薪之后反而有人离职、常常不愿加班，哪些理论在起作用？如何解决这些问题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第三单元：工作中有效激励下属的策略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员工精神激励技巧十二招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针对不同的员工，如何使用不同的激励技巧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如何使用【三明治】激励法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案例：员工迟到了，如何批评效果最好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视频案例：管理者的一分钟激励技巧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视频案例：部属的工作表现每况愈下，如何激励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什么是负激励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负激励对部属的利弊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部属激励的6项原则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激励的五种力量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管理者常犯的5种错误激励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案例：海尔的激励机制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80、90后员工的心理分析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如何激励80、90后员工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如何留住80、90后员工</w:t>
      </w:r>
    </w:p>
    <w:p>
      <w:pPr>
        <w:pStyle w:val="14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管理者留住员工的3大事项，8大技巧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第四单元：建立基于岗位胜任力的下属培育体系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下属培养的三大体系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下属培育的四大意义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下属培育的六大误区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岗位职责的描述方法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案例：岗位说明书的内容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岗位的胜任能力要求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如何识别岗位应该具备的胜任能力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岗位的专业知识、岗位技能、核心能力三个围度的定义与要求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部属现有专业知识、岗位技能、核心能力的盘点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识别部属的知识、技能、能力差距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建立岗位一体化的成长通道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岗位分层分级的一体化成长通道中，每一个层级应该具备什么能力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分层分级的课程体系建立</w:t>
      </w:r>
    </w:p>
    <w:p>
      <w:pPr>
        <w:pStyle w:val="14"/>
        <w:widowControl/>
        <w:numPr>
          <w:ilvl w:val="0"/>
          <w:numId w:val="4"/>
        </w:numPr>
        <w:shd w:val="clear" w:color="auto" w:fill="FFFFFF"/>
        <w:adjustRightInd w:val="0"/>
        <w:snapToGrid w:val="0"/>
        <w:spacing w:line="360" w:lineRule="auto"/>
        <w:ind w:firstLineChars="0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案例：世界500强的分层分级的课程体系研习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第五单元：部属培育的各项特性掌握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1. 各类型部属培育的原则与目标 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2. 企业对员工培训的盲点 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3. 不同类型的部属的培训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4. 培育部属的最佳时机 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5. 一般员工的能力发展阶段 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6. 如何掌握有效学习曲线 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7. 一般主管常犯的培育误区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第六单元：部属培育的系统方法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1．部属训练需求的分析与掌握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2．掌握培育的要点→如何实施OJT面谈×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3．人才的四种类型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4．人才培养的四大维度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5．如何拟订OJT训练计划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6．制定计划的技能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7．可能出错的地方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8．其它所需要的技能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9．具体展开训练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10．训练成效追踪与评估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11．阶段性培训的工作重点</w:t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12.案例：世界500强富士康的培育方法介绍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第七单元：部属培育的八大技巧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1. 给予课题、赋予头衔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2. 工作指派与轮岗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3. 善用会议和公司活动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4. 成功的读书会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5. 活用个人面谈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6. 机会教育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7. 启发式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8. 沙盘推演法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第八单元：指导的方法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1. 以工作为导向的指导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2. 以部属发展为导向的指导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3. 指导的GROW 模 式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  3.1 Goal 目标  3.2 Reality真实情况  3.3 Option 选择  3.4 Wrap-up 结论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4. 采用GROW 模式时20个有用的问题例子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b/>
          <w:color w:val="000000"/>
          <w:kern w:val="0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</w:rPr>
        <w:t>第九单元：工作教导的方法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1. 工作教导应有的理念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2. 传统的教导有哪些缺失（案例演练）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3. 正确的工作教导的四阶段法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4. 教导前的准备事项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5. 工作分解表的制作方法（用企业实际案例分析）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6. 冗长的工作教导原则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7. 感觉的教导原则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8. 吵杂环境中的教导原则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9. 工作教导的成效评价表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10. 工作教导对工厂现场会有哪些效果？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hAnsi="微软雅黑" w:eastAsia="微软雅黑" w:cs="微软雅黑"/>
          <w:color w:val="000000"/>
          <w:kern w:val="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hd w:val="clear" w:color="auto" w:fill="FFFFFF"/>
        </w:rPr>
        <w:t>11. 案例：理者的对新进人员教导不足引起的问题</w:t>
      </w:r>
    </w:p>
    <w:p>
      <w:pPr>
        <w:pStyle w:val="5"/>
        <w:shd w:val="clear" w:color="auto" w:fill="FFFFFF"/>
        <w:spacing w:beforeAutospacing="0" w:afterAutospacing="0" w:line="480" w:lineRule="exact"/>
        <w:outlineLvl w:val="2"/>
        <w:rPr>
          <w:rFonts w:hint="default"/>
        </w:rPr>
      </w:pPr>
      <w:r>
        <w:rPr>
          <w:rFonts w:hint="default"/>
        </w:rPr>
        <w:pict>
          <v:rect id="矩形 1" o:spid="_x0000_s1027" o:spt="1" style="position:absolute;left:0pt;margin-left:-94.35pt;margin-top:11.8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>
      <w:pPr>
        <w:pStyle w:val="5"/>
        <w:shd w:val="clear" w:color="auto" w:fill="FFFFFF"/>
        <w:spacing w:beforeAutospacing="0" w:afterAutospacing="0" w:line="480" w:lineRule="exact"/>
        <w:outlineLvl w:val="2"/>
        <w:rPr>
          <w:rFonts w:hint="default"/>
        </w:rPr>
      </w:pPr>
    </w:p>
    <w:p/>
    <w:p>
      <w:r>
        <w:pict>
          <v:shape id="文本框 2" o:spid="_x0000_s1028" o:spt="202" type="#_x0000_t202" style="position:absolute;left:0pt;margin-left:129.9pt;margin-top:5.45pt;height:299.95pt;width:354.7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4"/>
                      <w:szCs w:val="44"/>
                    </w:rPr>
                    <w:t>谢玉雄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  <w:t>——原富士康集团IE学院资深经理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 xml:space="preserve">   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曾服务于世界</w:t>
                  </w:r>
                  <w:r>
                    <w:rPr>
                      <w:rFonts w:ascii="微软雅黑" w:hAnsi="微软雅黑" w:eastAsia="微软雅黑"/>
                    </w:rPr>
                    <w:t>500</w:t>
                  </w:r>
                  <w:r>
                    <w:rPr>
                      <w:rFonts w:hint="eastAsia" w:ascii="微软雅黑" w:hAnsi="微软雅黑" w:eastAsia="微软雅黑"/>
                    </w:rPr>
                    <w:t>强</w:t>
                  </w:r>
                  <w:r>
                    <w:rPr>
                      <w:rFonts w:ascii="微软雅黑" w:hAnsi="微软雅黑" w:eastAsia="微软雅黑"/>
                    </w:rPr>
                    <w:t>FOXCONN</w:t>
                  </w:r>
                  <w:r>
                    <w:rPr>
                      <w:rFonts w:hint="eastAsia" w:ascii="微软雅黑" w:hAnsi="微软雅黑" w:eastAsia="微软雅黑"/>
                    </w:rPr>
                    <w:t>、</w:t>
                  </w:r>
                  <w:r>
                    <w:rPr>
                      <w:rFonts w:ascii="微软雅黑" w:hAnsi="微软雅黑" w:eastAsia="微软雅黑"/>
                    </w:rPr>
                    <w:t>TDK</w:t>
                  </w:r>
                  <w:r>
                    <w:rPr>
                      <w:rFonts w:hint="eastAsia" w:ascii="微软雅黑" w:hAnsi="微软雅黑" w:eastAsia="微软雅黑"/>
                    </w:rPr>
                    <w:t>集团公司;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历任人力资源经理、总监、副总、学院院长职务;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授课方式多元化，采用MBA管理案例教学的模式;</w:t>
                  </w:r>
                </w:p>
                <w:p>
                  <w:pPr>
                    <w:pStyle w:val="13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/>
                    <w:jc w:val="left"/>
                    <w:rPr>
                      <w:rFonts w:hint="default"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连续</w:t>
                  </w:r>
                  <w:r>
                    <w:rPr>
                      <w:rFonts w:hint="default" w:ascii="微软雅黑" w:hAnsi="微软雅黑" w:eastAsia="微软雅黑"/>
                      <w:szCs w:val="21"/>
                    </w:rPr>
                    <w:t>8</w:t>
                  </w:r>
                  <w:r>
                    <w:rPr>
                      <w:rFonts w:ascii="微软雅黑" w:hAnsi="微软雅黑" w:eastAsia="微软雅黑"/>
                      <w:szCs w:val="21"/>
                    </w:rPr>
                    <w:t>年每年授课250天以上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</w:rPr>
                    <w:t>清华大学、北京大学、浙江大学、厦门大学MBA、华中科技大学 总裁班特聘讲师；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</w:rPr>
                    <w:t>南京师大、东北师范大学、武汉大学、哈尔滨工业大学、四川大学、西安交大、青岛海洋大学【高级经理人实战研修班】特聘讲师；</w:t>
                  </w:r>
                </w:p>
                <w:p>
                  <w:pPr>
                    <w:pStyle w:val="14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360" w:lineRule="auto"/>
                    <w:ind w:left="0" w:firstLine="0" w:firstLineChars="0"/>
                    <w:jc w:val="left"/>
                    <w:rPr>
                      <w:rFonts w:ascii="微软雅黑" w:hAnsi="微软雅黑" w:eastAsia="微软雅黑"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</w:rPr>
                    <w:t>HR咨询式辅导培训落地专家。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154305</wp:posOffset>
            </wp:positionV>
            <wp:extent cx="2110740" cy="2668270"/>
            <wp:effectExtent l="19050" t="0" r="381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授课风格</w:t>
      </w:r>
    </w:p>
    <w:p>
      <w:pPr>
        <w:pStyle w:val="5"/>
        <w:adjustRightInd w:val="0"/>
        <w:snapToGrid w:val="0"/>
        <w:spacing w:beforeAutospacing="0" w:afterAutospacing="0" w:line="360" w:lineRule="auto"/>
        <w:rPr>
          <w:rFonts w:hint="default" w:ascii="微软雅黑" w:hAnsi="微软雅黑" w:eastAsia="微软雅黑"/>
          <w:kern w:val="2"/>
          <w:sz w:val="21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专业：系统讲授+标杆案例+学员演练+互动答疑</w:t>
      </w:r>
    </w:p>
    <w:p>
      <w:pPr>
        <w:pStyle w:val="5"/>
        <w:adjustRightInd w:val="0"/>
        <w:snapToGrid w:val="0"/>
        <w:spacing w:beforeAutospacing="0" w:afterAutospacing="0" w:line="360" w:lineRule="auto"/>
        <w:rPr>
          <w:rFonts w:hint="default" w:ascii="微软雅黑" w:hAnsi="微软雅黑" w:eastAsia="微软雅黑"/>
          <w:kern w:val="2"/>
          <w:sz w:val="21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激情：多元教学+灵活应用+寓教于乐+完美演绎</w:t>
      </w:r>
    </w:p>
    <w:p>
      <w:pPr>
        <w:pStyle w:val="5"/>
        <w:adjustRightInd w:val="0"/>
        <w:snapToGrid w:val="0"/>
        <w:spacing w:beforeAutospacing="0" w:afterAutospacing="0" w:line="360" w:lineRule="auto"/>
        <w:rPr>
          <w:rFonts w:hint="default" w:ascii="微软雅黑" w:hAnsi="微软雅黑" w:eastAsia="微软雅黑"/>
          <w:kern w:val="2"/>
          <w:sz w:val="21"/>
          <w:szCs w:val="21"/>
        </w:rPr>
      </w:pPr>
      <w:r>
        <w:rPr>
          <w:rFonts w:ascii="微软雅黑" w:hAnsi="微软雅黑" w:eastAsia="微软雅黑"/>
          <w:kern w:val="2"/>
          <w:sz w:val="21"/>
          <w:szCs w:val="21"/>
        </w:rPr>
        <w:t>实战：问题导向+授人以渔+工具落地+学以致用</w:t>
      </w:r>
    </w:p>
    <w:p>
      <w:pPr>
        <w:pStyle w:val="5"/>
        <w:adjustRightInd w:val="0"/>
        <w:snapToGrid w:val="0"/>
        <w:spacing w:beforeAutospacing="0" w:afterAutospacing="0" w:line="360" w:lineRule="auto"/>
        <w:rPr>
          <w:rFonts w:hint="default" w:ascii="微软雅黑" w:hAnsi="微软雅黑" w:eastAsia="微软雅黑"/>
          <w:kern w:val="2"/>
          <w:sz w:val="21"/>
          <w:szCs w:val="21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电子行业：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富士康集团、同洲电子、日立电梯、苏州中强光电、天津三安光电、伟易达、东莞新科、TDK平谦、京瓷美达、长安誉铭、华阳集团、华国光学、先锋高科、砝码通连接器、瑚北电子、帛汉电子、东聚电子、竞华电子…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航空与房地产行业：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山东航空、海南航空、昆明航空、深圳航空、雅居乐地产、恒大、佳兆业、富力地产、西安绿地地产……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机械与汽车行业：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江苏徐工、广西柳工、东风本田汽车、北京马自达、比亚迪、起亚……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医药、化工行业: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深圳太太药业、河源立国制药、立白集团 、建滔化工集团、联大化工 、永益制品、高宝化工、霸力化工……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酒店、院校、协会：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深圳罗湖阳光酒店、东莞银城酒店、广彩城酒店 、君爵酒店、沙头酒店、乌沙酒店、长安酒店、东莞山庄、东莞绿色世界……  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 xml:space="preserve">金融行业:   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广东工商银行、深圳发展银行、天津光大银行、中国建行安徽分行、南京农业发展银行……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0"/>
        <w:jc w:val="left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 xml:space="preserve">通信行业:   </w:t>
      </w:r>
    </w:p>
    <w:p>
      <w:pPr>
        <w:adjustRightInd w:val="0"/>
        <w:snapToGrid w:val="0"/>
        <w:spacing w:line="360" w:lineRule="auto"/>
        <w:jc w:val="left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中国移动长沙分公司、茂名移动、河源移动、郑州移动、中国联通安徽分公司……</w:t>
      </w: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《管理者成长地图：员工激励与部署培育》报名表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2018中智光华学习卡价格表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中智光华学习卡会员可免费参加中智光华沙龙活动；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会员单位购买中智光华E-learning网络学习产品可享受优惠；</w:t>
            </w:r>
          </w:p>
          <w:p>
            <w:pPr>
              <w:widowControl/>
              <w:numPr>
                <w:ilvl w:val="0"/>
                <w:numId w:val="7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C2"/>
    <w:multiLevelType w:val="multilevel"/>
    <w:tmpl w:val="021C08C2"/>
    <w:lvl w:ilvl="0" w:tentative="0">
      <w:start w:val="0"/>
      <w:numFmt w:val="bullet"/>
      <w:lvlText w:val="●"/>
      <w:lvlJc w:val="left"/>
      <w:pPr>
        <w:ind w:left="360" w:hanging="360"/>
      </w:pPr>
      <w:rPr>
        <w:rFonts w:hint="eastAsia" w:ascii="微软雅黑" w:hAnsi="微软雅黑" w:eastAsia="微软雅黑" w:cs="Times New Roman"/>
        <w:color w:val="C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B5311D4"/>
    <w:multiLevelType w:val="multilevel"/>
    <w:tmpl w:val="0B5311D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6D24482"/>
    <w:multiLevelType w:val="multilevel"/>
    <w:tmpl w:val="36D2448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7C1470"/>
    <w:multiLevelType w:val="multilevel"/>
    <w:tmpl w:val="407C14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5DFF4D"/>
    <w:multiLevelType w:val="singleLevel"/>
    <w:tmpl w:val="5A5DFF4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63AD3908"/>
    <w:multiLevelType w:val="multilevel"/>
    <w:tmpl w:val="63AD39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D0938C6"/>
    <w:rsid w:val="0001490A"/>
    <w:rsid w:val="00034FC1"/>
    <w:rsid w:val="00044E1A"/>
    <w:rsid w:val="000A1A73"/>
    <w:rsid w:val="000C3949"/>
    <w:rsid w:val="001A1BCA"/>
    <w:rsid w:val="0020283E"/>
    <w:rsid w:val="002818DD"/>
    <w:rsid w:val="002C5841"/>
    <w:rsid w:val="002D205F"/>
    <w:rsid w:val="003D12B4"/>
    <w:rsid w:val="00420849"/>
    <w:rsid w:val="00447511"/>
    <w:rsid w:val="004505AD"/>
    <w:rsid w:val="004C1AAF"/>
    <w:rsid w:val="0050598E"/>
    <w:rsid w:val="005556ED"/>
    <w:rsid w:val="005716D8"/>
    <w:rsid w:val="005D6ECE"/>
    <w:rsid w:val="00624119"/>
    <w:rsid w:val="00636548"/>
    <w:rsid w:val="00663907"/>
    <w:rsid w:val="0072431B"/>
    <w:rsid w:val="00767171"/>
    <w:rsid w:val="007E4DA0"/>
    <w:rsid w:val="00802E49"/>
    <w:rsid w:val="00817482"/>
    <w:rsid w:val="008F30D9"/>
    <w:rsid w:val="009332A9"/>
    <w:rsid w:val="009A21DF"/>
    <w:rsid w:val="009E65CD"/>
    <w:rsid w:val="00A21E9E"/>
    <w:rsid w:val="00A23ECC"/>
    <w:rsid w:val="00A81A31"/>
    <w:rsid w:val="00A827EF"/>
    <w:rsid w:val="00B64ADA"/>
    <w:rsid w:val="00BB4A8C"/>
    <w:rsid w:val="00C2140B"/>
    <w:rsid w:val="00C2222C"/>
    <w:rsid w:val="00C26281"/>
    <w:rsid w:val="00C2712E"/>
    <w:rsid w:val="00CC4D32"/>
    <w:rsid w:val="00CD3200"/>
    <w:rsid w:val="00CD6BF3"/>
    <w:rsid w:val="00D254B9"/>
    <w:rsid w:val="00D40380"/>
    <w:rsid w:val="00D621C6"/>
    <w:rsid w:val="00D66D2B"/>
    <w:rsid w:val="00D8605F"/>
    <w:rsid w:val="00DB20BF"/>
    <w:rsid w:val="00DC0A24"/>
    <w:rsid w:val="00DD7194"/>
    <w:rsid w:val="00DE2684"/>
    <w:rsid w:val="00E377C5"/>
    <w:rsid w:val="00EC74C2"/>
    <w:rsid w:val="00EE4272"/>
    <w:rsid w:val="00F56469"/>
    <w:rsid w:val="00F569DC"/>
    <w:rsid w:val="00F71DB3"/>
    <w:rsid w:val="075E26F2"/>
    <w:rsid w:val="1F2F6C9D"/>
    <w:rsid w:val="24E2439E"/>
    <w:rsid w:val="27426885"/>
    <w:rsid w:val="313701CC"/>
    <w:rsid w:val="35397F8C"/>
    <w:rsid w:val="415D1794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p0"/>
    <w:basedOn w:val="1"/>
    <w:uiPriority w:val="0"/>
    <w:pPr>
      <w:widowControl/>
      <w:overflowPunct/>
    </w:pPr>
    <w:rPr>
      <w:rFonts w:hint="eastAsia"/>
      <w:szCs w:val="24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FD764-A2F7-412F-96F3-A1A21659DC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447</Words>
  <Characters>2552</Characters>
  <Lines>21</Lines>
  <Paragraphs>5</Paragraphs>
  <TotalTime>25</TotalTime>
  <ScaleCrop>false</ScaleCrop>
  <LinksUpToDate>false</LinksUpToDate>
  <CharactersWithSpaces>2994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2018-06-28T06:33:34Z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