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微软雅黑"/>
          <w:b/>
          <w:sz w:val="24"/>
          <w:szCs w:val="30"/>
        </w:rPr>
      </w:pPr>
      <w:r>
        <w:rPr>
          <w:rFonts w:hint="eastAsia" w:ascii="仿宋" w:hAnsi="仿宋" w:eastAsia="微软雅黑"/>
          <w:b/>
          <w:sz w:val="24"/>
          <w:szCs w:val="30"/>
        </w:rPr>
        <w:t>前  言</w:t>
      </w:r>
    </w:p>
    <w:p>
      <w:pPr>
        <w:jc w:val="center"/>
        <w:rPr>
          <w:rFonts w:hint="eastAsia" w:ascii="仿宋" w:hAnsi="仿宋" w:eastAsia="微软雅黑"/>
          <w:sz w:val="24"/>
          <w:szCs w:val="24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为今天工作成绩优异而努力学习，为明天事业腾飞培训学习以蓄能！是企业对员工培训的意愿，是学员参加学习培训的动力，亦是蓝草企业孜孜不倦追求的目标。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蓝草企业提供的训练培训课程以</w:t>
      </w:r>
      <w:r>
        <w:rPr>
          <w:rFonts w:hint="eastAsia" w:ascii="仿宋" w:hAnsi="仿宋" w:eastAsia="微软雅黑" w:cs="微软雅黑"/>
          <w:bCs/>
          <w:color w:val="000000"/>
          <w:sz w:val="24"/>
          <w:szCs w:val="24"/>
        </w:rPr>
        <w:t>满足初级、中级、中高级的学员（含企业采购标的），</w:t>
      </w:r>
      <w:r>
        <w:rPr>
          <w:rFonts w:hint="eastAsia" w:ascii="仿宋" w:hAnsi="仿宋" w:eastAsia="微软雅黑" w:cs="微软雅黑"/>
          <w:bCs/>
          <w:color w:val="0070C0"/>
          <w:sz w:val="24"/>
          <w:szCs w:val="24"/>
        </w:rPr>
        <w:t>通过蓝草企业精心准备的课程，学习达成当前岗位知识与技能；晋升岗位所需知识与技能； 蓝草企业课程注意突出实战性、技能型领域的应用型课程；特别关注新技术、新渠道、新知识创新型知识课程。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 w:cs="微软雅黑"/>
          <w:b/>
          <w:bCs/>
          <w:color w:val="0070C0"/>
          <w:sz w:val="24"/>
          <w:szCs w:val="24"/>
        </w:rPr>
      </w:pPr>
      <w:r>
        <w:rPr>
          <w:rFonts w:hint="eastAsia" w:ascii="仿宋" w:hAnsi="仿宋" w:eastAsia="微软雅黑" w:cs="微软雅黑"/>
          <w:bCs/>
          <w:sz w:val="24"/>
          <w:szCs w:val="24"/>
        </w:rPr>
        <w:t>蓝草企业坚定认为，卓越的训练培训是获得知识的绝佳路径，但也应是学员快乐的旅程，</w:t>
      </w:r>
      <w:r>
        <w:rPr>
          <w:rFonts w:hint="eastAsia" w:ascii="仿宋" w:hAnsi="仿宋" w:eastAsia="微软雅黑" w:cs="微软雅黑"/>
          <w:b/>
          <w:bCs/>
          <w:color w:val="0070C0"/>
          <w:sz w:val="24"/>
          <w:szCs w:val="24"/>
        </w:rPr>
        <w:t>蓝草企业的口号是：为快乐而培训 为培训更快乐！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蓝草企业为实现上述目标，为培训机构、培训学员提供了多种形式的优惠和增值快乐的政策和手段，恭请致电13601837936，了解详情。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 w:cs="Times New Roman"/>
          <w:kern w:val="2"/>
          <w:sz w:val="24"/>
          <w:szCs w:val="24"/>
          <w:lang w:val="en-US" w:eastAsia="zh-CN" w:bidi="ar-SA"/>
        </w:rPr>
        <w:pict>
          <v:shape id="_x0000_i1025" o:spt="75" type="#_x0000_t75" style="height:109.95pt;width:415.1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财务-房产预算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微软雅黑"/>
          <w:sz w:val="24"/>
          <w:szCs w:val="24"/>
        </w:rPr>
        <w:t>018年蓝草企业特别为学员终端客户推出“快乐Plus大礼包”政策（适用范围）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1.2人以上（含2人）同时报名，享受实际报价的90%。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2.5人以上（含5人）同时报名，享受实际报价的80%。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 xml:space="preserve">3.学员学习期间可以得到“快乐培训增值礼” 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报名学习蓝草企业的培训等学员可以申请免费成为“蓝草club”会员，会员可以免费参加（某些活动只收取成本费用）蓝草club定期不定期举办活动，如联谊会、读书会、品鉴会等。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报名学习蓝草企业培训的学员可以自愿参加蓝草企业“蓝草朋友圈”，分享来自全国各地、多行业多领域的多方面资源，感受朋友们的成功快乐。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 xml:space="preserve">培训成绩合格的学员获颁培训结业证书，某些课程可以获得国内知名大学颁发的证书（学员承担成本费用） 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成为“蓝草club”会员的学员，报名参加另外蓝草举办的培训课程的，可以享受该培训课程9折优惠。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4.学员学习期间可以得到“快乐Plus大礼包”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免费中午营养午餐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可获课件（PDF版）及教材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培训期间学习态度认真的，并表现优异可有机会获得奖学金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来临授课城市外地学员，享受当地旅游观光费用补贴（价值100元）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蓝草企业：为快乐培训 为培训更快乐！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r>
        <w:rPr>
          <w:rFonts w:hint="eastAsia" w:ascii="仿宋" w:hAnsi="仿宋" w:eastAsia="微软雅黑"/>
          <w:sz w:val="24"/>
          <w:szCs w:val="24"/>
        </w:rPr>
        <w:t>未尽事宜，恭请致电13601837936，了解详情。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微软雅黑"/>
          <w:sz w:val="24"/>
          <w:szCs w:val="24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房地产全面预算管理与全面成本控制</w:t>
      </w: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培训受众：房地产企业中高管理层、财务、营销、工程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课程收益：</w:t>
      </w:r>
      <w:r>
        <w:rPr>
          <w:rFonts w:hint="eastAsia" w:ascii="微软雅黑" w:hAnsi="微软雅黑" w:eastAsia="微软雅黑" w:cs="微软雅黑"/>
          <w:sz w:val="24"/>
        </w:rPr>
        <w:t>目前在中国，只有很少的地产集团建立并运行了高质量的全面预算管理系统，本课程的系统化高度将帮助学员掌握全面预算管理的整体解决方案。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课程</w:t>
      </w:r>
      <w:r>
        <w:rPr>
          <w:rFonts w:hint="eastAsia" w:ascii="微软雅黑" w:hAnsi="微软雅黑" w:eastAsia="微软雅黑" w:cs="微软雅黑"/>
          <w:sz w:val="24"/>
          <w:lang w:eastAsia="zh-CN"/>
        </w:rPr>
        <w:t>大纲：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议题一：房地产企业如何建立以计划预算为核心的管理系统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中国房地产行业管理的特点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中国房地产集团企业管理的误区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构建国际一流管理平台的组成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房地产企业内部管理的精髓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房地产企业管理的核心：计划目标管理系统和全面预算管理系统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如何建立高质量的计划管理系统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房地产企业计划管理流程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案例分析：中国著名房地产企业计划管理系统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计划管理系统的组成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营销计划的制定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工程生产计划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规划设计计划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报建报批计划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房地产企业计划系统之间的业务关联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房地产企业计划管理系统的实施重点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议题二：房地产企业全面预算管理体系的组成与组织管理架构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房地产企业全面预算管理的产生、发展与现状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解读房地产企业全面预算管理的内涵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全面预算管理：企业契约关系的贯彻、推行机制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全面预算管理的特征与作用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全面预算管理的组成内容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保障全面预算管理成功的因素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组织机构保障：设计保障全面预算管理系统推行的组织机构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案例：一个房地产集团公司的全面预算管理组织机构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议题三：各预算责任单位预算指标的确定与分解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预算目标的确定原则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预算目标的确定、分解方法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成本中心、利润中心、费用中心、项目管理等部门性质预算管理指标的设定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4、预算指标与平衡计分卡的综合应用（传统以财务指标为核心的预算管理系统与现代企业竞争、适应变化、国际化经营环境的变革）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议题四：房地产企业的预算编制系统：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房地产企业全面预算的编制计划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全面预算管理系统与房地产企业计划管理系统的结合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案例分析：房地产企业优异的计划管理系统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房地产企业全面预算管理各种预算用表设计：结合自己企业情况设计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预算编制的基础：费用标杆分析设定、成本分摊方法，各项支出与收入预测的准确性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案例研讨：一个房地产企业完整的全面预算管理表单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议题五：预算执行，全面预算管理系统成功的的关键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房地产企业全面预算管理执行的重要性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预算执行的四大要素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预算费用支出与财务授权管理系统建立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预算责任单位每月结算数据的核实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月度预算执行差异分析报告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预算调整与反馈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案例分析：地产公司总经理的授权管理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案例分析：工程部出了什么问题？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议题六：全面预算管理系统的考核：绩效考核与薪酬激励制度的结合 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预算考核的基本原则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预算考核的基本程序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全面预算管理指标考核系统与企业综合绩效考核系统的管理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平衡积分卡回顾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关键财务指标的评价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财务指标与非财务指标的融合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薪酬激励制度的构建原则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现行薪酬制度的简要分析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预算管理与薪酬激励制度的结合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某房地产集团公司综合薪酬激励政策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议题七：房地产企业全面计划预算管理功能的延伸：全面成本管理        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土地政策变化对项目成本的影响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金融政策变化对投资项目成本影响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中国房地产开发行业变化趋势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房地产开发企业全面成本构成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案例分析：某项目成本分析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全面成本管理核心内容：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购买土地阶段的成本管理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策划与定位阶段的成本管理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设计阶段的成本控制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施工阶段的成本管理</w:t>
      </w:r>
    </w:p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 竣工阶段的成本结算与分析</w:t>
      </w:r>
    </w:p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黄老师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资历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：中国首届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企业管理咨询师，高级会计师、有多年大型企业集团高级财务管理经验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和十年的培训咨询经验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黄老师目前是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蓝草企业管理咨询有限公司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首席财务讲师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上海企业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协会特聘财务讲师。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黄老师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背景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多年的实战经验，让他把繁琐的财务工作讲解通俗易懂，让非财务人员快速成为理财行家！黄老师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曾在大中华集团公司，河南羚锐股份有限公司，圣象集团担任财务经理。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黄老师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主讲课程：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总经理的财务管理》、《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财务报表解读与分析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非财务经理的财务管理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》、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内部控制及风险管理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》、《EVA》、《成本会计》、《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全面质量成本管理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》、《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税务策划与税务管理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》、《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全面预算管理与控制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》、《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成本控制与分析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培训过的客户中知名公司：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武钢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际华国际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中国国航、宁德时代、东风汽车、广本汽车、虹桥机场、欧姆龙国际、上海市政府下属发改委等单位。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推荐理由: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黄老师分享都是干货，内容实战又不缺乏幽默；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课程突出实用性、故事性、新鲜性和幽默性。通过一系列财务管理案例剖析点评，使企业管理人员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快速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掌握一些财务管理先进理念，分析技巧、提高解决问题的能力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tbl>
      <w:tblPr>
        <w:tblStyle w:val="9"/>
        <w:tblW w:w="9716" w:type="dxa"/>
        <w:jc w:val="center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dotDotDash" w:color="C0C0C0" w:sz="4" w:space="0"/>
          <w:insideV w:val="dotDotDash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64"/>
        <w:gridCol w:w="146"/>
        <w:gridCol w:w="1564"/>
        <w:gridCol w:w="945"/>
        <w:gridCol w:w="1532"/>
        <w:gridCol w:w="583"/>
        <w:gridCol w:w="525"/>
        <w:gridCol w:w="2218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3" w:type="dxa"/>
            <w:gridSpan w:val="2"/>
            <w:shd w:val="clear" w:color="auto" w:fill="A50021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2"/>
                <w:szCs w:val="24"/>
              </w:rPr>
              <w:t>单 位 名 称:</w:t>
            </w:r>
          </w:p>
        </w:tc>
        <w:tc>
          <w:tcPr>
            <w:tcW w:w="7513" w:type="dxa"/>
            <w:gridSpan w:val="7"/>
            <w:shd w:val="clear" w:color="auto" w:fill="A50021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FFFFFF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联系人姓名: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部门/职务: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手 机: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E-mail: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Q Q: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微 信: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业务性质：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企业规模/人数：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</w:tblPrEx>
        <w:trPr>
          <w:trHeight w:val="471" w:hRule="atLeast"/>
          <w:jc w:val="center"/>
        </w:trPr>
        <w:tc>
          <w:tcPr>
            <w:tcW w:w="9716" w:type="dxa"/>
            <w:gridSpan w:val="9"/>
            <w:shd w:val="clear" w:color="auto" w:fill="A50021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8"/>
              </w:rPr>
              <w:t>培 训 学 员 信 息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姓 名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性 别</w:t>
            </w: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职 位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手   机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E-mail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7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2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缴费方式</w:t>
            </w:r>
          </w:p>
        </w:tc>
        <w:tc>
          <w:tcPr>
            <w:tcW w:w="5151" w:type="dxa"/>
            <w:gridSpan w:val="5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   □ 转帐     □ 现金  （请选择 在□打√）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金  额</w:t>
            </w:r>
          </w:p>
        </w:tc>
        <w:tc>
          <w:tcPr>
            <w:tcW w:w="2218" w:type="dxa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费用总计</w:t>
            </w:r>
          </w:p>
        </w:tc>
        <w:tc>
          <w:tcPr>
            <w:tcW w:w="8477" w:type="dxa"/>
            <w:gridSpan w:val="8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￥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元　（共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人参会）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dotDotDash" w:color="C0C0C0" w:sz="4" w:space="0"/>
            <w:insideV w:val="dotDotDash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住宿要求</w:t>
            </w:r>
          </w:p>
        </w:tc>
        <w:tc>
          <w:tcPr>
            <w:tcW w:w="8477" w:type="dxa"/>
            <w:gridSpan w:val="8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预定：双人房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___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间；单人房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___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间，住宿时间：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__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__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 至 </w:t>
            </w:r>
            <w:r>
              <w:rPr>
                <w:rFonts w:hint="eastAsia" w:ascii="微软雅黑" w:hAnsi="微软雅黑" w:eastAsia="微软雅黑" w:cs="微软雅黑"/>
                <w:kern w:val="0"/>
                <w:u w:val="single"/>
              </w:rPr>
              <w:t>__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 日   (不用预定请留空)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（需要预定住宿的请参考我司课程《确认函》中的住宿酒店信息）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注意：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 请将报名表填写完整，发至我方即可。我方收到报名表后，将以电话、传真或E-mail等方式确认收到报名表。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 请在培训之前三个工作日内将报名表回传,课前一周另行发送详细会务安排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 本课程可针对企业需求，上门服务，组织内训，欢迎咨询。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 请参会学员准备一盒名片,以便学员间交流学习。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 请准备几个工作中遇到的问题以便进行讨论。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zh-CN" w:eastAsia="zh-CN"/>
        </w:rPr>
        <w:t>此表所填信息仅用于招生工作，对所填写的客户信息，我司严格保密，如需参加请填写回传给我们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，以便及时为您安排会务并发确认函，谢谢支持！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ush Script MT">
    <w:altName w:val="Estrangelo Edessa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color w:val="00B0F0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rect id="文本框 4" o:spid="_x0000_s2051" o:spt="1" style="position:absolute;left:0pt;margin-left:177.95pt;margin-top:4.15pt;height:31.2pt;width:276.1pt;z-index:251661312;mso-width-relative:page;mso-height-relative:page;" fillcolor="#FFFFFF" filled="t" o:preferrelative="t" stroked="f" coordsize="21600,21600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  <v:textbox>
            <w:txbxContent>
              <w:p>
                <w:pPr>
                  <w:pStyle w:val="4"/>
                  <w:rPr>
                    <w:rFonts w:hint="eastAsia" w:ascii="华文行楷" w:eastAsia="微软雅黑"/>
                    <w:b/>
                    <w:color w:val="00B0F0"/>
                    <w:sz w:val="28"/>
                    <w:szCs w:val="24"/>
                  </w:rPr>
                </w:pPr>
                <w:r>
                  <w:rPr>
                    <w:rFonts w:hint="eastAsia" w:ascii="华文行楷" w:eastAsia="微软雅黑"/>
                    <w:b/>
                    <w:color w:val="00B0F0"/>
                    <w:sz w:val="28"/>
                    <w:szCs w:val="24"/>
                  </w:rPr>
                  <w:t>蓝草企业  为快乐而培训 为培训更快</w:t>
                </w:r>
                <w:r>
                  <w:rPr>
                    <w:rFonts w:hint="eastAsia" w:ascii="华文行楷" w:eastAsia="微软雅黑"/>
                    <w:b/>
                    <w:color w:val="00B0F0"/>
                    <w:sz w:val="28"/>
                    <w:szCs w:val="24"/>
                    <w:lang w:eastAsia="zh-CN"/>
                  </w:rPr>
                  <w:t>乐</w:t>
                </w:r>
                <w:r>
                  <w:rPr>
                    <w:rFonts w:hint="eastAsia" w:ascii="华文行楷" w:eastAsia="微软雅黑"/>
                    <w:b/>
                    <w:color w:val="00B0F0"/>
                    <w:sz w:val="28"/>
                    <w:szCs w:val="24"/>
                  </w:rPr>
                  <w:t>乐！</w:t>
                </w:r>
              </w:p>
              <w:p/>
            </w:txbxContent>
          </v:textbox>
        </v:rect>
      </w:pict>
    </w: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line id="直线连接符 3" o:spid="_x0000_s2052" o:spt="20" style="position:absolute;left:0pt;margin-left:-85.95pt;margin-top:-3.5pt;height:0.3pt;width:585pt;z-index:251660288;mso-width-relative:page;mso-height-relative:page;" fillcolor="#FFFFFF" filled="f" o:preferrelative="t" stroked="t" coordsize="21600,21600">
          <v:path arrowok="t"/>
          <v:fill on="f" color2="#FFFFFF" focussize="0,0"/>
          <v:stroke weight="1.75pt" color="#4A7DBA" color2="#FFFFFF" miterlimit="2" dashstyle="longDashDot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微软雅黑"/>
        <w:color w:val="0000FF"/>
        <w:sz w:val="24"/>
      </w:rPr>
    </w:pP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pict>
        <v:rect id="矩形 197" o:spid="_x0000_s2049" o:spt="1" style="position:absolute;left:0pt;margin-left:0.35pt;margin-top:1.75pt;height:57.75pt;width:595.75pt;mso-position-horizontal-relative:page;mso-position-vertical-relative:page;mso-wrap-distance-bottom:0pt;mso-wrap-distance-left:9.35pt;mso-wrap-distance-right:9.35pt;mso-wrap-distance-top:0pt;z-index:-251658240;mso-width-relative:page;mso-height-relative:page;" fillcolor="#4A7FC0" filled="t" o:preferrelative="t" stroked="f" coordsize="21600,21600" o:allowoverlap="f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  <v:shadow on="t" type="perspective" color="#000000" opacity="22282f" offset="0pt,3pt" origin="0f,-32768f" matrix="65536f,0f,0f,65536f,0,0"/>
          <v:textbox>
            <w:txbxContent>
              <w:p>
                <w:pPr>
                  <w:pStyle w:val="5"/>
                  <w:jc w:val="center"/>
                  <w:rPr>
                    <w:rFonts w:eastAsia="微软雅黑"/>
                    <w:b/>
                    <w:caps w:val="0"/>
                    <w:color w:val="FFFFFF"/>
                    <w:sz w:val="28"/>
                  </w:rPr>
                </w:pPr>
                <w:r>
                  <w:rPr>
                    <w:rFonts w:hint="eastAsia" w:ascii="华文行楷" w:eastAsia="微软雅黑"/>
                    <w:b/>
                    <w:caps w:val="0"/>
                    <w:color w:val="FFFFFF"/>
                    <w:sz w:val="28"/>
                    <w:szCs w:val="32"/>
                  </w:rPr>
                  <w:t xml:space="preserve">携手蓝草企业 为事业腾飞蓄能  </w:t>
                </w:r>
                <w:r>
                  <w:rPr>
                    <w:rFonts w:hint="eastAsia" w:eastAsia="微软雅黑"/>
                    <w:b/>
                    <w:caps w:val="0"/>
                    <w:color w:val="FFFFFF"/>
                    <w:sz w:val="28"/>
                  </w:rPr>
                  <w:t xml:space="preserve"> </w:t>
                </w:r>
                <w:r>
                  <w:rPr>
                    <w:rFonts w:eastAsia="微软雅黑"/>
                    <w:b/>
                    <w:caps w:val="0"/>
                    <w:sz w:val="28"/>
                  </w:rPr>
                  <w:fldChar w:fldCharType="begin"/>
                </w:r>
                <w:r>
                  <w:rPr>
                    <w:rFonts w:eastAsia="微软雅黑"/>
                    <w:b/>
                    <w:caps w:val="0"/>
                    <w:sz w:val="28"/>
                  </w:rPr>
                  <w:instrText xml:space="preserve"> HYPERLINK "http://www.bgwahaha.cn" </w:instrText>
                </w:r>
                <w:r>
                  <w:rPr>
                    <w:rFonts w:eastAsia="微软雅黑"/>
                    <w:b/>
                    <w:caps w:val="0"/>
                    <w:sz w:val="28"/>
                  </w:rPr>
                  <w:fldChar w:fldCharType="separate"/>
                </w:r>
                <w:r>
                  <w:rPr>
                    <w:rStyle w:val="8"/>
                    <w:rFonts w:hint="eastAsia" w:ascii="Calibri" w:hAnsi="Calibri" w:eastAsia="微软雅黑" w:cs="Brush Script MT"/>
                    <w:b/>
                    <w:caps w:val="0"/>
                    <w:color w:val="FFFFFF"/>
                    <w:sz w:val="28"/>
                    <w:u w:val="none"/>
                  </w:rPr>
                  <w:t>http://www.bgwahaha.cn</w:t>
                </w:r>
                <w:r>
                  <w:rPr>
                    <w:rStyle w:val="8"/>
                    <w:rFonts w:hint="eastAsia" w:ascii="Calibri" w:hAnsi="Calibri" w:eastAsia="微软雅黑" w:cs="Brush Script MT"/>
                    <w:b/>
                    <w:caps w:val="0"/>
                    <w:color w:val="FFFFFF"/>
                    <w:sz w:val="28"/>
                    <w:u w:val="none"/>
                  </w:rPr>
                  <w:fldChar w:fldCharType="end"/>
                </w:r>
                <w:r>
                  <w:rPr>
                    <w:rFonts w:ascii="Calibri" w:hAnsi="Calibri" w:eastAsia="微软雅黑" w:cs="Brush Script MT"/>
                    <w:b/>
                    <w:caps w:val="0"/>
                    <w:color w:val="FFFFFF"/>
                    <w:sz w:val="28"/>
                  </w:rPr>
                  <w:t xml:space="preserve"> </w:t>
                </w:r>
                <w:r>
                  <w:rPr>
                    <w:rFonts w:hint="eastAsia" w:ascii="Calibri" w:hAnsi="Calibri" w:eastAsia="微软雅黑" w:cs="Brush Script MT"/>
                    <w:b/>
                    <w:caps w:val="0"/>
                    <w:color w:val="FFFFFF"/>
                    <w:sz w:val="28"/>
                  </w:rPr>
                  <w:t xml:space="preserve"> </w:t>
                </w:r>
                <w:r>
                  <w:rPr>
                    <w:rFonts w:hint="eastAsia" w:eastAsia="微软雅黑"/>
                    <w:b/>
                    <w:caps w:val="0"/>
                    <w:color w:val="FFFFFF"/>
                    <w:sz w:val="28"/>
                  </w:rPr>
                  <w:t>13601837936</w:t>
                </w:r>
              </w:p>
            </w:txbxContent>
          </v:textbox>
          <w10:wrap type="square"/>
        </v:rect>
      </w:pict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pict>
        <v:line id="直线连接符 2" o:spid="_x0000_s2050" o:spt="20" style="position:absolute;left:0pt;margin-left:-85.95pt;margin-top:17.65pt;height:0.05pt;width:58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25pt" color="#17365D" color2="#FFFFFF" miterlimit="2" dashstyle="1 1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 w:eastAsia="微软雅黑"/>
        <w:color w:val="0000FF"/>
        <w:sz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D6"/>
    <w:multiLevelType w:val="multilevel"/>
    <w:tmpl w:val="54586BD6"/>
    <w:lvl w:ilvl="0" w:tentative="0">
      <w:start w:val="1"/>
      <w:numFmt w:val="bullet"/>
      <w:lvlText w:val="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599C0473"/>
    <w:multiLevelType w:val="multilevel"/>
    <w:tmpl w:val="599C0473"/>
    <w:lvl w:ilvl="0" w:tentative="0">
      <w:start w:val="1"/>
      <w:numFmt w:val="bullet"/>
      <w:lvlText w:val="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8A4"/>
    <w:rsid w:val="00006B03"/>
    <w:rsid w:val="00086047"/>
    <w:rsid w:val="000C0857"/>
    <w:rsid w:val="000C6BF5"/>
    <w:rsid w:val="002F7B2D"/>
    <w:rsid w:val="003018A4"/>
    <w:rsid w:val="00331F87"/>
    <w:rsid w:val="00343FEE"/>
    <w:rsid w:val="0042048F"/>
    <w:rsid w:val="004279C2"/>
    <w:rsid w:val="00444909"/>
    <w:rsid w:val="004759B6"/>
    <w:rsid w:val="004B3B51"/>
    <w:rsid w:val="00577A72"/>
    <w:rsid w:val="00585547"/>
    <w:rsid w:val="005B4BAE"/>
    <w:rsid w:val="006339D7"/>
    <w:rsid w:val="008E00CF"/>
    <w:rsid w:val="0091450E"/>
    <w:rsid w:val="00944593"/>
    <w:rsid w:val="009B74C9"/>
    <w:rsid w:val="009F1362"/>
    <w:rsid w:val="00AB3A77"/>
    <w:rsid w:val="00B05CFB"/>
    <w:rsid w:val="00B944D8"/>
    <w:rsid w:val="00C473A3"/>
    <w:rsid w:val="00CD04FE"/>
    <w:rsid w:val="00D46862"/>
    <w:rsid w:val="00D47868"/>
    <w:rsid w:val="00DA7308"/>
    <w:rsid w:val="00FA3F21"/>
    <w:rsid w:val="057A7527"/>
    <w:rsid w:val="09497C15"/>
    <w:rsid w:val="0D29619B"/>
    <w:rsid w:val="120C5579"/>
    <w:rsid w:val="18AA49CE"/>
    <w:rsid w:val="1E0846AD"/>
    <w:rsid w:val="1E9513D1"/>
    <w:rsid w:val="23D660CA"/>
    <w:rsid w:val="24FE1C1A"/>
    <w:rsid w:val="2F20473C"/>
    <w:rsid w:val="359F2EF3"/>
    <w:rsid w:val="3EC641CB"/>
    <w:rsid w:val="41FA4F75"/>
    <w:rsid w:val="4289324C"/>
    <w:rsid w:val="4ABE0178"/>
    <w:rsid w:val="4ABE6576"/>
    <w:rsid w:val="4B9A0D61"/>
    <w:rsid w:val="50E94570"/>
    <w:rsid w:val="526117B6"/>
    <w:rsid w:val="528637C2"/>
    <w:rsid w:val="63352E4C"/>
    <w:rsid w:val="64CB7612"/>
    <w:rsid w:val="656F550D"/>
    <w:rsid w:val="680926B2"/>
    <w:rsid w:val="6AA221E0"/>
    <w:rsid w:val="6FA974C0"/>
    <w:rsid w:val="713E5EB9"/>
    <w:rsid w:val="749B5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FollowedHyperlink"/>
    <w:basedOn w:val="6"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10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o Spacing"/>
    <w:qFormat/>
    <w:uiPriority w:val="1"/>
    <w:rPr>
      <w:rFonts w:ascii="DengXian" w:hAnsi="DengXian" w:eastAsia="Microsoft YaHei UI" w:cs="Arial"/>
      <w:sz w:val="22"/>
      <w:szCs w:val="22"/>
      <w:lang w:val="en-US" w:eastAsia="zh-CN" w:bidi="ar-SA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字符"/>
    <w:link w:val="5"/>
    <w:qFormat/>
    <w:uiPriority w:val="99"/>
    <w:rPr>
      <w:kern w:val="2"/>
      <w:sz w:val="18"/>
      <w:szCs w:val="22"/>
    </w:rPr>
  </w:style>
  <w:style w:type="character" w:customStyle="1" w:styleId="14">
    <w:name w:val="标题 1字符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1411</Characters>
  <Lines>11</Lines>
  <Paragraphs>3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2018-06-18T04:45:00Z</dcterms:created>
  <dc:creator>JTY</dc:creator>
  <cp:lastModifiedBy>Administrator</cp:lastModifiedBy>
  <dcterms:modified xsi:type="dcterms:W3CDTF">2018-07-19T06:42:18Z</dcterms:modified>
  <dc:title>方便选课-按岗位为您蓄能企业岗位培训项目分类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