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微软雅黑"/>
          <w:b/>
          <w:sz w:val="24"/>
          <w:szCs w:val="30"/>
        </w:rPr>
      </w:pPr>
      <w:r>
        <w:rPr>
          <w:rFonts w:hint="eastAsia" w:ascii="仿宋" w:hAnsi="仿宋" w:eastAsia="微软雅黑"/>
          <w:b/>
          <w:sz w:val="24"/>
          <w:szCs w:val="30"/>
        </w:rPr>
        <w:t>前  言</w:t>
      </w:r>
    </w:p>
    <w:p>
      <w:pPr>
        <w:jc w:val="center"/>
        <w:rPr>
          <w:rFonts w:hint="eastAsia" w:ascii="仿宋" w:hAnsi="仿宋" w:eastAsia="微软雅黑"/>
          <w:sz w:val="24"/>
          <w:szCs w:val="24"/>
        </w:rPr>
      </w:pPr>
    </w:p>
    <w:p>
      <w:pPr>
        <w:pStyle w:val="13"/>
        <w:numPr>
          <w:ilvl w:val="0"/>
          <w:numId w:val="1"/>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为今天工作成绩优异而努力学习，为明天事业腾飞培训学习以蓄能！是企业对员工培训的意愿，是学员参加学习培训的动力，亦是蓝草企业孜孜不倦追求的目标。</w:t>
      </w:r>
    </w:p>
    <w:p>
      <w:pPr>
        <w:pStyle w:val="13"/>
        <w:numPr>
          <w:ilvl w:val="0"/>
          <w:numId w:val="1"/>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蓝草企业提供的训练培训课程以</w:t>
      </w:r>
      <w:r>
        <w:rPr>
          <w:rFonts w:hint="eastAsia" w:ascii="仿宋" w:hAnsi="仿宋" w:eastAsia="微软雅黑" w:cs="微软雅黑"/>
          <w:bCs/>
          <w:color w:val="000000"/>
          <w:sz w:val="24"/>
          <w:szCs w:val="24"/>
        </w:rPr>
        <w:t>满足初级、中级、中高级的学员（含企业采购标的），</w:t>
      </w:r>
      <w:r>
        <w:rPr>
          <w:rFonts w:hint="eastAsia" w:ascii="仿宋" w:hAnsi="仿宋" w:eastAsia="微软雅黑" w:cs="微软雅黑"/>
          <w:bCs/>
          <w:color w:val="0070C0"/>
          <w:sz w:val="24"/>
          <w:szCs w:val="24"/>
        </w:rPr>
        <w:t>通过蓝草企业精心准备的课程，学习达成当前岗位知识与技能；晋升岗位所需知识与技能； 蓝草企业课程注意突出实战性、技能型领域的应用型课程；特别关注新技术、新渠道、新知识创新型知识课程。</w:t>
      </w:r>
    </w:p>
    <w:p>
      <w:pPr>
        <w:pStyle w:val="13"/>
        <w:numPr>
          <w:ilvl w:val="0"/>
          <w:numId w:val="2"/>
        </w:numPr>
        <w:spacing w:line="360" w:lineRule="auto"/>
        <w:ind w:firstLineChars="0"/>
        <w:rPr>
          <w:rFonts w:hint="eastAsia" w:ascii="仿宋" w:hAnsi="仿宋" w:eastAsia="微软雅黑" w:cs="微软雅黑"/>
          <w:b/>
          <w:bCs/>
          <w:color w:val="0070C0"/>
          <w:sz w:val="24"/>
          <w:szCs w:val="24"/>
        </w:rPr>
      </w:pPr>
      <w:r>
        <w:rPr>
          <w:rFonts w:hint="eastAsia" w:ascii="仿宋" w:hAnsi="仿宋" w:eastAsia="微软雅黑" w:cs="微软雅黑"/>
          <w:bCs/>
          <w:sz w:val="24"/>
          <w:szCs w:val="24"/>
        </w:rPr>
        <w:t>蓝草企业坚定认为，卓越的训练培训是获得知识的绝佳路径，但也应是学员快乐的旅程，</w:t>
      </w:r>
      <w:r>
        <w:rPr>
          <w:rFonts w:hint="eastAsia" w:ascii="仿宋" w:hAnsi="仿宋" w:eastAsia="微软雅黑" w:cs="微软雅黑"/>
          <w:b/>
          <w:bCs/>
          <w:color w:val="0070C0"/>
          <w:sz w:val="24"/>
          <w:szCs w:val="24"/>
        </w:rPr>
        <w:t>蓝草企业的口号是：为快乐而培训 为培训更快乐！</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蓝草企业为实现上述目标，为培训机构、培训学员提供了多种形式的优惠和增值快乐的政策和手段，恭请致电13601837936，了解详情。</w:t>
      </w:r>
    </w:p>
    <w:p>
      <w:pPr>
        <w:pStyle w:val="13"/>
        <w:numPr>
          <w:ilvl w:val="0"/>
          <w:numId w:val="2"/>
        </w:numPr>
        <w:spacing w:line="360" w:lineRule="auto"/>
        <w:ind w:firstLineChars="0"/>
        <w:rPr>
          <w:rFonts w:hint="eastAsia" w:ascii="仿宋" w:hAnsi="仿宋" w:eastAsia="微软雅黑"/>
          <w:sz w:val="24"/>
          <w:szCs w:val="24"/>
        </w:rPr>
      </w:pP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cs="Times New Roman"/>
          <w:kern w:val="2"/>
          <w:sz w:val="24"/>
          <w:szCs w:val="24"/>
          <w:lang w:val="en-US" w:eastAsia="zh-CN" w:bidi="ar-SA"/>
        </w:rPr>
        <w:pict>
          <v:shape id="_x0000_i1025" o:spt="75" type="#_x0000_t75" style="height:122.25pt;width:394.55pt;" fillcolor="#FFFFFF" filled="f" o:preferrelative="t" stroked="f" coordsize="21600,21600">
            <v:path/>
            <v:fill on="f" color2="#FFFFFF" focussize="0,0"/>
            <v:stroke on="f"/>
            <v:imagedata r:id="rId6" gain="65536f" blacklevel="0f" gamma="0" o:title="财务-全面预算"/>
            <o:lock v:ext="edit" position="f" selection="f" grouping="f" rotation="f" cropping="f" text="f" aspectratio="t"/>
            <w10:wrap type="none"/>
            <w10:anchorlock/>
          </v:shape>
        </w:pict>
      </w:r>
    </w:p>
    <w:p>
      <w:pPr>
        <w:pStyle w:val="13"/>
        <w:numPr>
          <w:ilvl w:val="0"/>
          <w:numId w:val="2"/>
        </w:numPr>
        <w:spacing w:line="360" w:lineRule="auto"/>
        <w:ind w:firstLineChars="0"/>
        <w:rPr>
          <w:rFonts w:hint="eastAsia" w:ascii="仿宋" w:hAnsi="仿宋" w:eastAsia="微软雅黑"/>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lang w:val="en-US" w:eastAsia="zh-CN"/>
        </w:rPr>
        <w:t>2</w:t>
      </w:r>
      <w:r>
        <w:rPr>
          <w:rFonts w:hint="eastAsia" w:ascii="微软雅黑" w:hAnsi="微软雅黑" w:eastAsia="微软雅黑" w:cs="微软雅黑"/>
          <w:b/>
          <w:color w:val="000000" w:themeColor="text1"/>
          <w:sz w:val="24"/>
          <w:szCs w:val="24"/>
        </w:rPr>
        <w:t>018年蓝草企业特别为学员终端客户推出“快乐Plus大礼包”政策（适用范围）</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1.2人以上（含2人）同时报名，享受实际报价的90%。</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2.5人以上（含5人）同时报名，享受实际报价的80%。</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 xml:space="preserve">3.学员学习期间可以得到“快乐培训增值礼” </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报名学习蓝草企业的培训等学员可以申请免费成为“蓝草club”会员，会员可以免费参加（某些活动只收取成本费用）蓝草club定期不定期举办活动，如联谊会、读书会、品鉴会等。</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报名学习蓝草企业培训的学员可以自愿参加蓝草企业“蓝草朋友圈”，分享来自全国各地、多行业多领域的多方面资源，感受朋友们的成功快乐。</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 xml:space="preserve">培训成绩合格的学员获颁培训结业证书，某些课程可以获得国内知名大学颁发的证书（学员承担成本费用） </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成为“蓝草club”会员的学员，报名参加另外蓝草举办的培训课程的，可以享受该培训课程9折优惠。</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4.学员学习期间可以得到“快乐Plus大礼包”</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免费中午营养午餐</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可获课件（PDF版）及教材</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培训期间学习态度认真的，并表现优异可有机会获得奖学金</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来临授课城市外地学员，享受当地旅游观光费用补贴（价值100元）</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蓝草企业：为快乐培训 为培训更快乐！</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未尽事宜，恭请致电13601837936，了解详情。</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 xml:space="preserve">                   </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sz w:val="24"/>
          <w:szCs w:val="24"/>
        </w:rPr>
      </w:pPr>
      <w:r>
        <w:rPr>
          <w:rFonts w:hint="eastAsia" w:ascii="微软雅黑" w:hAnsi="微软雅黑" w:eastAsia="微软雅黑" w:cs="微软雅黑"/>
          <w:b/>
          <w:color w:val="000000" w:themeColor="text1"/>
          <w:sz w:val="24"/>
          <w:szCs w:val="24"/>
        </w:rPr>
        <w:t>课程背景：</w:t>
      </w:r>
      <w:bookmarkStart w:id="0" w:name="_GoBack"/>
      <w:bookmarkEnd w:id="0"/>
    </w:p>
    <w:p>
      <w:pPr>
        <w:pStyle w:val="6"/>
        <w:wordWrap/>
        <w:adjustRightInd/>
        <w:snapToGrid/>
        <w:spacing w:before="0" w:beforeAutospacing="0" w:after="0" w:afterAutospacing="0" w:line="460" w:lineRule="exact"/>
        <w:ind w:left="0" w:leftChars="0" w:right="0"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企业全面预算管理的重要性已不言而喻，它已经成为企业管理不可或缺的手段，从当前全面预算管理的成功实践看,全面预算不仅仅是一个由预算规划</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编制</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执行</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控制所组成的管理过程，更是一个将企业绩效管理和企业战略执行力有效结合的系统管理工具，一个优化和完善战略执行和提升综合管理的最平常又最核心的管理工作。通过严格地实行全面预算管理，最大可能的降低支出提升企业利润，是每一个企业最为关心的重大实际问题。</w:t>
      </w:r>
    </w:p>
    <w:p>
      <w:pPr>
        <w:pStyle w:val="6"/>
        <w:wordWrap/>
        <w:adjustRightInd/>
        <w:snapToGrid/>
        <w:spacing w:before="0" w:beforeAutospacing="0" w:after="0" w:afterAutospacing="0" w:line="460" w:lineRule="exact"/>
        <w:ind w:left="0" w:leftChars="0" w:right="0" w:firstLine="480" w:firstLineChars="20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本课程将通过理论讲解与实践操作手法演示，并结合具体的国内实例分析更直观</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更生动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更易接受地让学员学习和掌握如下问题：如何编制合理的预算，并使预算得到有效的实施?如何结合企业的自身状况设计控制要点;建立适合企业自身情况的内部控制系统;充分运用预算这一管理工具控制公司的整体运作。</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sz w:val="24"/>
          <w:szCs w:val="24"/>
        </w:rPr>
      </w:pPr>
      <w:r>
        <w:rPr>
          <w:rFonts w:hint="eastAsia" w:ascii="微软雅黑" w:hAnsi="微软雅黑" w:eastAsia="微软雅黑" w:cs="微软雅黑"/>
          <w:b/>
          <w:color w:val="365F90"/>
          <w:sz w:val="24"/>
          <w:szCs w:val="24"/>
        </w:rPr>
        <w:t>课程收益：</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理清对全面预算的认识与功能定位，了解预算的意义；</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了解公司预算与各部门工作的关系，调动各阶层协同反应能力，谋求整体利益最大化；</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增强对预算过程的了解和编制技巧的认识,学习预算管理和控制的实际操作；</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确定企业当前的全面预算管理的重点和难点,为实施预算控制奠定认识基础。</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color w:val="365F90"/>
          <w:sz w:val="24"/>
          <w:szCs w:val="24"/>
        </w:rPr>
        <w:t>课程时间：</w:t>
      </w:r>
      <w:r>
        <w:rPr>
          <w:rFonts w:hint="eastAsia" w:ascii="微软雅黑" w:hAnsi="微软雅黑" w:eastAsia="微软雅黑" w:cs="微软雅黑"/>
          <w:b w:val="0"/>
          <w:bCs/>
          <w:sz w:val="24"/>
          <w:szCs w:val="24"/>
        </w:rPr>
        <w:t>2</w:t>
      </w:r>
      <w:r>
        <w:rPr>
          <w:rFonts w:hint="eastAsia" w:ascii="微软雅黑" w:hAnsi="微软雅黑" w:eastAsia="微软雅黑" w:cs="微软雅黑"/>
          <w:sz w:val="24"/>
          <w:szCs w:val="24"/>
        </w:rPr>
        <w:t>天，6小时/天</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color w:val="365F90"/>
          <w:sz w:val="24"/>
          <w:szCs w:val="24"/>
        </w:rPr>
        <w:t>授课对象：</w:t>
      </w:r>
      <w:r>
        <w:rPr>
          <w:rFonts w:hint="eastAsia" w:ascii="微软雅黑" w:hAnsi="微软雅黑" w:eastAsia="微软雅黑" w:cs="微软雅黑"/>
          <w:sz w:val="24"/>
          <w:szCs w:val="24"/>
        </w:rPr>
        <w:t>本课程适于各类企业的董事会成员</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高中级管理层</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各级财务管理人员，如集团主管财务的副总经理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总会计师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财务总监</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财务部总经理</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财务经理财务主管及其他管理人员等。</w:t>
      </w:r>
    </w:p>
    <w:p>
      <w:pPr>
        <w:widowControl/>
        <w:wordWrap/>
        <w:adjustRightInd/>
        <w:snapToGrid/>
        <w:spacing w:beforeAutospacing="0" w:afterAutospacing="0" w:line="460" w:lineRule="exact"/>
        <w:ind w:left="0" w:leftChars="0" w:right="0" w:firstLine="0" w:firstLineChars="0"/>
        <w:jc w:val="left"/>
        <w:textAlignment w:val="auto"/>
        <w:outlineLvl w:val="9"/>
        <w:rPr>
          <w:rFonts w:hint="eastAsia" w:ascii="微软雅黑" w:hAnsi="微软雅黑" w:eastAsia="微软雅黑" w:cs="微软雅黑"/>
          <w:b/>
          <w:kern w:val="0"/>
          <w:sz w:val="24"/>
          <w:szCs w:val="24"/>
        </w:rPr>
      </w:pPr>
      <w:r>
        <w:rPr>
          <w:rFonts w:hint="eastAsia" w:ascii="微软雅黑" w:hAnsi="微软雅黑" w:eastAsia="微软雅黑" w:cs="微软雅黑"/>
          <w:b/>
          <w:color w:val="365F90"/>
          <w:kern w:val="0"/>
          <w:sz w:val="24"/>
          <w:szCs w:val="24"/>
          <w:lang w:val="en-US" w:eastAsia="zh-CN" w:bidi="ar-SA"/>
        </w:rPr>
        <w:t>授课方式：</w:t>
      </w:r>
      <w:r>
        <w:rPr>
          <w:rFonts w:hint="eastAsia" w:ascii="微软雅黑" w:hAnsi="微软雅黑" w:eastAsia="微软雅黑" w:cs="微软雅黑"/>
          <w:kern w:val="0"/>
          <w:sz w:val="24"/>
          <w:szCs w:val="24"/>
        </w:rPr>
        <w:t>讲师讲授+案例研讨+现场实例演练+讲师点评+现场咨询与辅导</w:t>
      </w:r>
    </w:p>
    <w:p>
      <w:pPr>
        <w:pStyle w:val="6"/>
        <w:wordWrap/>
        <w:adjustRightInd/>
        <w:snapToGrid/>
        <w:spacing w:before="0" w:beforeAutospacing="0" w:after="0" w:afterAutospacing="0" w:line="460" w:lineRule="exact"/>
        <w:ind w:left="0" w:leftChars="0" w:right="0" w:firstLine="0" w:firstLineChars="0"/>
        <w:jc w:val="center"/>
        <w:textAlignment w:val="auto"/>
        <w:outlineLvl w:val="9"/>
        <w:rPr>
          <w:rFonts w:hint="eastAsia" w:ascii="微软雅黑" w:hAnsi="微软雅黑" w:eastAsia="微软雅黑" w:cs="微软雅黑"/>
          <w:b/>
          <w:color w:val="365F90"/>
          <w:sz w:val="24"/>
          <w:szCs w:val="24"/>
        </w:rPr>
      </w:pPr>
    </w:p>
    <w:p>
      <w:pPr>
        <w:pStyle w:val="6"/>
        <w:wordWrap/>
        <w:adjustRightInd/>
        <w:snapToGrid/>
        <w:spacing w:before="0" w:beforeAutospacing="0" w:after="0" w:afterAutospacing="0" w:line="460" w:lineRule="exact"/>
        <w:ind w:left="0" w:leftChars="0" w:right="0" w:firstLine="0" w:firstLineChars="0"/>
        <w:jc w:val="center"/>
        <w:textAlignment w:val="auto"/>
        <w:outlineLvl w:val="9"/>
        <w:rPr>
          <w:rFonts w:hint="eastAsia" w:ascii="微软雅黑" w:hAnsi="微软雅黑" w:eastAsia="微软雅黑" w:cs="微软雅黑"/>
          <w:b/>
          <w:color w:val="365F90"/>
          <w:sz w:val="24"/>
          <w:szCs w:val="24"/>
        </w:rPr>
      </w:pPr>
      <w:r>
        <w:rPr>
          <w:rFonts w:hint="eastAsia" w:ascii="微软雅黑" w:hAnsi="微软雅黑" w:eastAsia="微软雅黑" w:cs="微软雅黑"/>
          <w:b/>
          <w:color w:val="365F90"/>
          <w:sz w:val="24"/>
          <w:szCs w:val="24"/>
        </w:rPr>
        <w:t>课程大纲</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
          <w:bCs w:val="0"/>
          <w:sz w:val="24"/>
          <w:szCs w:val="24"/>
        </w:rPr>
      </w:pPr>
      <w:r>
        <w:rPr>
          <w:rFonts w:hint="eastAsia" w:ascii="微软雅黑" w:hAnsi="微软雅黑" w:eastAsia="微软雅黑" w:cs="微软雅黑"/>
          <w:b/>
          <w:bCs w:val="0"/>
          <w:sz w:val="24"/>
          <w:szCs w:val="24"/>
        </w:rPr>
        <w:t>前言：</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１．</w:t>
      </w:r>
      <w:r>
        <w:rPr>
          <w:rFonts w:hint="eastAsia" w:ascii="微软雅黑" w:hAnsi="微软雅黑" w:eastAsia="微软雅黑" w:cs="微软雅黑"/>
          <w:bCs/>
          <w:sz w:val="24"/>
          <w:szCs w:val="24"/>
        </w:rPr>
        <w:t>企业的规模多大合适？如：明年的销售越大越好吗？</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案例分析：</w:t>
      </w:r>
      <w:r>
        <w:rPr>
          <w:rFonts w:hint="eastAsia" w:ascii="微软雅黑" w:hAnsi="微软雅黑" w:eastAsia="微软雅黑" w:cs="微软雅黑"/>
          <w:b w:val="0"/>
          <w:bCs w:val="0"/>
          <w:sz w:val="24"/>
          <w:szCs w:val="24"/>
        </w:rPr>
        <w:t>销售的增长对企业的影响是什么？</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2．</w:t>
      </w:r>
      <w:r>
        <w:rPr>
          <w:rFonts w:hint="eastAsia" w:ascii="微软雅黑" w:hAnsi="微软雅黑" w:eastAsia="微软雅黑" w:cs="微软雅黑"/>
          <w:bCs/>
          <w:sz w:val="24"/>
          <w:szCs w:val="24"/>
        </w:rPr>
        <w:tab/>
      </w:r>
      <w:r>
        <w:rPr>
          <w:rFonts w:hint="eastAsia" w:ascii="微软雅黑" w:hAnsi="微软雅黑" w:eastAsia="微软雅黑" w:cs="微软雅黑"/>
          <w:bCs/>
          <w:sz w:val="24"/>
          <w:szCs w:val="24"/>
        </w:rPr>
        <w:t>只有资金紧张的企业才需要预算吗？</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3．</w:t>
      </w:r>
      <w:r>
        <w:rPr>
          <w:rFonts w:hint="eastAsia" w:ascii="微软雅黑" w:hAnsi="微软雅黑" w:eastAsia="微软雅黑" w:cs="微软雅黑"/>
          <w:bCs/>
          <w:sz w:val="24"/>
          <w:szCs w:val="24"/>
        </w:rPr>
        <w:t>不知不觉的是群众，先知先觉是领导</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4．</w:t>
      </w:r>
      <w:r>
        <w:rPr>
          <w:rFonts w:hint="eastAsia" w:ascii="微软雅黑" w:hAnsi="微软雅黑" w:eastAsia="微软雅黑" w:cs="微软雅黑"/>
          <w:bCs/>
          <w:sz w:val="24"/>
          <w:szCs w:val="24"/>
        </w:rPr>
        <w:t>如何告别老板过去拉板车的时代？</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5．</w:t>
      </w:r>
      <w:r>
        <w:rPr>
          <w:rFonts w:hint="eastAsia" w:ascii="微软雅黑" w:hAnsi="微软雅黑" w:eastAsia="微软雅黑" w:cs="微软雅黑"/>
          <w:bCs/>
          <w:sz w:val="24"/>
          <w:szCs w:val="24"/>
        </w:rPr>
        <w:tab/>
      </w:r>
      <w:r>
        <w:rPr>
          <w:rFonts w:hint="eastAsia" w:ascii="微软雅黑" w:hAnsi="微软雅黑" w:eastAsia="微软雅黑" w:cs="微软雅黑"/>
          <w:bCs/>
          <w:sz w:val="24"/>
          <w:szCs w:val="24"/>
        </w:rPr>
        <w:t>既成事实的管理都是无成效的管理</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6</w:t>
      </w:r>
      <w:r>
        <w:rPr>
          <w:rFonts w:hint="eastAsia" w:ascii="微软雅黑" w:hAnsi="微软雅黑" w:eastAsia="微软雅黑" w:cs="微软雅黑"/>
          <w:bCs/>
          <w:sz w:val="24"/>
          <w:szCs w:val="24"/>
          <w:lang w:eastAsia="zh-CN"/>
        </w:rPr>
        <w:t>．</w:t>
      </w:r>
      <w:r>
        <w:rPr>
          <w:rFonts w:hint="eastAsia" w:ascii="微软雅黑" w:hAnsi="微软雅黑" w:eastAsia="微软雅黑" w:cs="微软雅黑"/>
          <w:bCs/>
          <w:sz w:val="24"/>
          <w:szCs w:val="24"/>
        </w:rPr>
        <w:t>老和尚为什么不再挑水？</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7</w:t>
      </w:r>
      <w:r>
        <w:rPr>
          <w:rFonts w:hint="eastAsia" w:ascii="微软雅黑" w:hAnsi="微软雅黑" w:eastAsia="微软雅黑" w:cs="微软雅黑"/>
          <w:bCs/>
          <w:sz w:val="24"/>
          <w:szCs w:val="24"/>
          <w:lang w:eastAsia="zh-CN"/>
        </w:rPr>
        <w:t>．</w:t>
      </w:r>
      <w:r>
        <w:rPr>
          <w:rFonts w:hint="eastAsia" w:ascii="微软雅黑" w:hAnsi="微软雅黑" w:eastAsia="微软雅黑" w:cs="微软雅黑"/>
          <w:bCs/>
          <w:sz w:val="24"/>
          <w:szCs w:val="24"/>
        </w:rPr>
        <w:t>如何让企业所有人穿上＂红舞鞋＂</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sz w:val="24"/>
          <w:szCs w:val="24"/>
        </w:rPr>
      </w:pPr>
      <w:r>
        <w:rPr>
          <w:rFonts w:hint="eastAsia" w:ascii="微软雅黑" w:hAnsi="微软雅黑" w:eastAsia="微软雅黑" w:cs="微软雅黑"/>
          <w:b/>
          <w:color w:val="365F90"/>
          <w:sz w:val="24"/>
          <w:szCs w:val="24"/>
        </w:rPr>
        <w:t>第一讲：预算管理的基础</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１．</w:t>
      </w:r>
      <w:r>
        <w:rPr>
          <w:rFonts w:hint="eastAsia" w:ascii="微软雅黑" w:hAnsi="微软雅黑" w:eastAsia="微软雅黑" w:cs="微软雅黑"/>
          <w:color w:val="333333"/>
          <w:sz w:val="24"/>
          <w:szCs w:val="24"/>
        </w:rPr>
        <w:t>预算是什么？</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２．</w:t>
      </w:r>
      <w:r>
        <w:rPr>
          <w:rFonts w:hint="eastAsia" w:ascii="微软雅黑" w:hAnsi="微软雅黑" w:eastAsia="微软雅黑" w:cs="微软雅黑"/>
          <w:color w:val="333333"/>
          <w:sz w:val="24"/>
          <w:szCs w:val="24"/>
        </w:rPr>
        <w:t>为什么要做预算？</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３．</w:t>
      </w:r>
      <w:r>
        <w:rPr>
          <w:rFonts w:hint="eastAsia" w:ascii="微软雅黑" w:hAnsi="微软雅黑" w:eastAsia="微软雅黑" w:cs="微软雅黑"/>
          <w:color w:val="333333"/>
          <w:sz w:val="24"/>
          <w:szCs w:val="24"/>
        </w:rPr>
        <w:t>预算执行中的五大问题</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４．</w:t>
      </w:r>
      <w:r>
        <w:rPr>
          <w:rFonts w:hint="eastAsia" w:ascii="微软雅黑" w:hAnsi="微软雅黑" w:eastAsia="微软雅黑" w:cs="微软雅黑"/>
          <w:color w:val="333333"/>
          <w:sz w:val="24"/>
          <w:szCs w:val="24"/>
        </w:rPr>
        <w:t>预算能准确吗？预算又为什么不准？</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５．</w:t>
      </w:r>
      <w:r>
        <w:rPr>
          <w:rFonts w:hint="eastAsia" w:ascii="微软雅黑" w:hAnsi="微软雅黑" w:eastAsia="微软雅黑" w:cs="微软雅黑"/>
          <w:color w:val="333333"/>
          <w:sz w:val="24"/>
          <w:szCs w:val="24"/>
        </w:rPr>
        <w:t>预算管理的核心与作用</w:t>
      </w: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Cs/>
          <w:kern w:val="2"/>
          <w:sz w:val="24"/>
          <w:szCs w:val="24"/>
          <w:lang w:val="en-US" w:eastAsia="zh-CN" w:bidi="ar-SA"/>
        </w:rPr>
      </w:pPr>
      <w:r>
        <w:rPr>
          <w:rFonts w:hint="eastAsia" w:ascii="微软雅黑" w:hAnsi="微软雅黑" w:eastAsia="微软雅黑" w:cs="微软雅黑"/>
          <w:b/>
          <w:bCs w:val="0"/>
          <w:kern w:val="2"/>
          <w:sz w:val="24"/>
          <w:szCs w:val="24"/>
          <w:lang w:val="en-US" w:eastAsia="zh-CN" w:bidi="ar-SA"/>
        </w:rPr>
        <w:t>案例分析：</w:t>
      </w:r>
      <w:r>
        <w:rPr>
          <w:rFonts w:hint="eastAsia" w:ascii="微软雅黑" w:hAnsi="微软雅黑" w:eastAsia="微软雅黑" w:cs="微软雅黑"/>
          <w:bCs/>
          <w:kern w:val="2"/>
          <w:sz w:val="24"/>
          <w:szCs w:val="24"/>
          <w:lang w:val="en-US" w:eastAsia="zh-CN" w:bidi="ar-SA"/>
        </w:rPr>
        <w:t>调整成长企业面临什么样的风险？</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Cs/>
          <w:color w:val="333333"/>
          <w:sz w:val="24"/>
          <w:szCs w:val="24"/>
          <w:lang w:eastAsia="zh-CN"/>
        </w:rPr>
        <w:t>１．</w:t>
      </w:r>
      <w:r>
        <w:rPr>
          <w:rFonts w:hint="eastAsia" w:ascii="微软雅黑" w:hAnsi="微软雅黑" w:eastAsia="微软雅黑" w:cs="微软雅黑"/>
          <w:bCs/>
          <w:color w:val="333333"/>
          <w:sz w:val="24"/>
          <w:szCs w:val="24"/>
        </w:rPr>
        <w:t>如何构建以预算管理为导向的管理控制体系</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Cs/>
          <w:color w:val="333333"/>
          <w:sz w:val="24"/>
          <w:szCs w:val="24"/>
          <w:lang w:eastAsia="zh-CN"/>
        </w:rPr>
        <w:t>２．</w:t>
      </w:r>
      <w:r>
        <w:rPr>
          <w:rFonts w:hint="eastAsia" w:ascii="微软雅黑" w:hAnsi="微软雅黑" w:eastAsia="微软雅黑" w:cs="微软雅黑"/>
          <w:bCs/>
          <w:color w:val="333333"/>
          <w:sz w:val="24"/>
          <w:szCs w:val="24"/>
        </w:rPr>
        <w:t>预算编制的原则</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Cs/>
          <w:color w:val="333333"/>
          <w:sz w:val="24"/>
          <w:szCs w:val="24"/>
          <w:lang w:eastAsia="zh-CN"/>
        </w:rPr>
        <w:t>３．</w:t>
      </w:r>
      <w:r>
        <w:rPr>
          <w:rFonts w:hint="eastAsia" w:ascii="微软雅黑" w:hAnsi="微软雅黑" w:eastAsia="微软雅黑" w:cs="微软雅黑"/>
          <w:bCs/>
          <w:color w:val="333333"/>
          <w:sz w:val="24"/>
          <w:szCs w:val="24"/>
        </w:rPr>
        <w:t>预算管理应当有哪些组织来实施</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Cs/>
          <w:color w:val="333333"/>
          <w:sz w:val="24"/>
          <w:szCs w:val="24"/>
          <w:lang w:eastAsia="zh-CN"/>
        </w:rPr>
        <w:t>４．</w:t>
      </w:r>
      <w:r>
        <w:rPr>
          <w:rFonts w:hint="eastAsia" w:ascii="微软雅黑" w:hAnsi="微软雅黑" w:eastAsia="微软雅黑" w:cs="微软雅黑"/>
          <w:bCs/>
          <w:color w:val="333333"/>
          <w:sz w:val="24"/>
          <w:szCs w:val="24"/>
        </w:rPr>
        <w:t>预算编制的程序及时间安排</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Cs/>
          <w:color w:val="333333"/>
          <w:sz w:val="24"/>
          <w:szCs w:val="24"/>
          <w:lang w:eastAsia="zh-CN"/>
        </w:rPr>
        <w:t>５．</w:t>
      </w:r>
      <w:r>
        <w:rPr>
          <w:rFonts w:hint="eastAsia" w:ascii="微软雅黑" w:hAnsi="微软雅黑" w:eastAsia="微软雅黑" w:cs="微软雅黑"/>
          <w:bCs/>
          <w:color w:val="333333"/>
          <w:sz w:val="24"/>
          <w:szCs w:val="24"/>
        </w:rPr>
        <w:t>预算编制的步骤</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
          <w:bCs/>
          <w:color w:val="FF0000"/>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kern w:val="0"/>
          <w:sz w:val="24"/>
          <w:szCs w:val="24"/>
          <w:lang w:val="en-US" w:eastAsia="zh-CN" w:bidi="ar-SA"/>
        </w:rPr>
      </w:pPr>
      <w:r>
        <w:rPr>
          <w:rFonts w:hint="eastAsia" w:ascii="微软雅黑" w:hAnsi="微软雅黑" w:eastAsia="微软雅黑" w:cs="微软雅黑"/>
          <w:b/>
          <w:color w:val="365F90"/>
          <w:kern w:val="0"/>
          <w:sz w:val="24"/>
          <w:szCs w:val="24"/>
          <w:lang w:val="en-US" w:eastAsia="zh-CN" w:bidi="ar-SA"/>
        </w:rPr>
        <w:t>第二讲：导入企业经营管理沙盘</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１．</w:t>
      </w:r>
      <w:r>
        <w:rPr>
          <w:rFonts w:hint="eastAsia" w:ascii="微软雅黑" w:hAnsi="微软雅黑" w:eastAsia="微软雅黑" w:cs="微软雅黑"/>
          <w:bCs/>
          <w:sz w:val="24"/>
          <w:szCs w:val="24"/>
        </w:rPr>
        <w:t>发掘团队做好目标设定及目标管理的重要性</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２．</w:t>
      </w:r>
      <w:r>
        <w:rPr>
          <w:rFonts w:hint="eastAsia" w:ascii="微软雅黑" w:hAnsi="微软雅黑" w:eastAsia="微软雅黑" w:cs="微软雅黑"/>
          <w:bCs/>
          <w:sz w:val="24"/>
          <w:szCs w:val="24"/>
        </w:rPr>
        <w:t>资源的不当使用对团队或组织的影响</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３．</w:t>
      </w:r>
      <w:r>
        <w:rPr>
          <w:rFonts w:hint="eastAsia" w:ascii="微软雅黑" w:hAnsi="微软雅黑" w:eastAsia="微软雅黑" w:cs="微软雅黑"/>
          <w:bCs/>
          <w:sz w:val="24"/>
          <w:szCs w:val="24"/>
        </w:rPr>
        <w:t>提高管理者分析与优化信息的能力</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４．</w:t>
      </w:r>
      <w:r>
        <w:rPr>
          <w:rFonts w:hint="eastAsia" w:ascii="微软雅黑" w:hAnsi="微软雅黑" w:eastAsia="微软雅黑" w:cs="微软雅黑"/>
          <w:bCs/>
          <w:sz w:val="24"/>
          <w:szCs w:val="24"/>
        </w:rPr>
        <w:t>根据可获得的信息对处境进行评价</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５．</w:t>
      </w:r>
      <w:r>
        <w:rPr>
          <w:rFonts w:hint="eastAsia" w:ascii="微软雅黑" w:hAnsi="微软雅黑" w:eastAsia="微软雅黑" w:cs="微软雅黑"/>
          <w:bCs/>
          <w:sz w:val="24"/>
          <w:szCs w:val="24"/>
        </w:rPr>
        <w:t>目标是团队的基础，什么样的团队目标导致什么样的团队行动并最终决定团队的绩效。引导管理者理性制定企业或部门的目标</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６．</w:t>
      </w:r>
      <w:r>
        <w:rPr>
          <w:rFonts w:hint="eastAsia" w:ascii="微软雅黑" w:hAnsi="微软雅黑" w:eastAsia="微软雅黑" w:cs="微软雅黑"/>
          <w:bCs/>
          <w:sz w:val="24"/>
          <w:szCs w:val="24"/>
        </w:rPr>
        <w:t>合理安排资源并制定计划以实现团队的目标</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７．</w:t>
      </w:r>
      <w:r>
        <w:rPr>
          <w:rFonts w:hint="eastAsia" w:ascii="微软雅黑" w:hAnsi="微软雅黑" w:eastAsia="微软雅黑" w:cs="微软雅黑"/>
          <w:bCs/>
          <w:sz w:val="24"/>
          <w:szCs w:val="24"/>
        </w:rPr>
        <w:t>执行计划并在执行过程中做出必要的调整</w:t>
      </w:r>
    </w:p>
    <w:p>
      <w:pPr>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eastAsia="zh-CN"/>
        </w:rPr>
        <w:t>８．</w:t>
      </w:r>
      <w:r>
        <w:rPr>
          <w:rFonts w:hint="eastAsia" w:ascii="微软雅黑" w:hAnsi="微软雅黑" w:eastAsia="微软雅黑" w:cs="微软雅黑"/>
          <w:bCs/>
          <w:sz w:val="24"/>
          <w:szCs w:val="24"/>
        </w:rPr>
        <w:t>提升管理者应对风险的能力</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
          <w:bCs/>
          <w:color w:val="333333"/>
          <w:kern w:val="0"/>
          <w:sz w:val="24"/>
          <w:szCs w:val="24"/>
          <w:lang w:val="en-US" w:eastAsia="zh-CN" w:bidi="ar-SA"/>
        </w:rPr>
      </w:pPr>
      <w:r>
        <w:rPr>
          <w:rFonts w:hint="eastAsia" w:ascii="微软雅黑" w:hAnsi="微软雅黑" w:eastAsia="微软雅黑" w:cs="微软雅黑"/>
          <w:b/>
          <w:bCs/>
          <w:color w:val="333333"/>
          <w:kern w:val="0"/>
          <w:sz w:val="24"/>
          <w:szCs w:val="24"/>
          <w:lang w:val="en-US" w:eastAsia="zh-CN" w:bidi="ar-SA"/>
        </w:rPr>
        <w:t>通过沙盘模拟提升上述能力，使管理者更好的理解预算．编制预算．执行预算。</w:t>
      </w:r>
    </w:p>
    <w:p>
      <w:pPr>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b/>
          <w:bCs/>
          <w:color w:val="FF0000"/>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sz w:val="24"/>
          <w:szCs w:val="24"/>
        </w:rPr>
      </w:pPr>
      <w:r>
        <w:rPr>
          <w:rFonts w:hint="eastAsia" w:ascii="微软雅黑" w:hAnsi="微软雅黑" w:eastAsia="微软雅黑" w:cs="微软雅黑"/>
          <w:b/>
          <w:color w:val="365F90"/>
          <w:sz w:val="24"/>
          <w:szCs w:val="24"/>
        </w:rPr>
        <w:t>第三讲：预算具体编制方法和技巧</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１．</w:t>
      </w:r>
      <w:r>
        <w:rPr>
          <w:rFonts w:hint="eastAsia" w:ascii="微软雅黑" w:hAnsi="微软雅黑" w:eastAsia="微软雅黑" w:cs="微软雅黑"/>
          <w:color w:val="333333"/>
          <w:sz w:val="24"/>
          <w:szCs w:val="24"/>
        </w:rPr>
        <w:t>全面预算依据的四个导向</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２．</w:t>
      </w:r>
      <w:r>
        <w:rPr>
          <w:rFonts w:hint="eastAsia" w:ascii="微软雅黑" w:hAnsi="微软雅黑" w:eastAsia="微软雅黑" w:cs="微软雅黑"/>
          <w:color w:val="333333"/>
          <w:sz w:val="24"/>
          <w:szCs w:val="24"/>
        </w:rPr>
        <w:t>企业战略目标及年度目标的确定</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３．</w:t>
      </w:r>
      <w:r>
        <w:rPr>
          <w:rFonts w:hint="eastAsia" w:ascii="微软雅黑" w:hAnsi="微软雅黑" w:eastAsia="微软雅黑" w:cs="微软雅黑"/>
          <w:color w:val="333333"/>
          <w:sz w:val="24"/>
          <w:szCs w:val="24"/>
        </w:rPr>
        <w:t>各部门年度目标制定的要点分析</w:t>
      </w:r>
    </w:p>
    <w:p>
      <w:pPr>
        <w:pStyle w:val="6"/>
        <w:shd w:val="clear" w:color="auto" w:fill="FFFFFF"/>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如何确定预算目标——现场确定各团队目标</w:t>
      </w:r>
    </w:p>
    <w:p>
      <w:pPr>
        <w:pStyle w:val="13"/>
        <w:shd w:val="clear" w:color="auto" w:fill="FFFFFF"/>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lang w:eastAsia="zh-CN"/>
        </w:rPr>
        <w:t>－－</w:t>
      </w:r>
      <w:r>
        <w:rPr>
          <w:rFonts w:hint="eastAsia" w:ascii="微软雅黑" w:hAnsi="微软雅黑" w:eastAsia="微软雅黑" w:cs="微软雅黑"/>
          <w:color w:val="333333"/>
          <w:kern w:val="0"/>
          <w:sz w:val="24"/>
          <w:szCs w:val="24"/>
        </w:rPr>
        <w:t>预算松驰的原因分析与对策</w:t>
      </w:r>
    </w:p>
    <w:p>
      <w:pPr>
        <w:pStyle w:val="13"/>
        <w:shd w:val="clear" w:color="auto" w:fill="FFFFFF"/>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lang w:eastAsia="zh-CN"/>
        </w:rPr>
        <w:t>－－</w:t>
      </w:r>
      <w:r>
        <w:rPr>
          <w:rFonts w:hint="eastAsia" w:ascii="微软雅黑" w:hAnsi="微软雅黑" w:eastAsia="微软雅黑" w:cs="微软雅黑"/>
          <w:color w:val="333333"/>
          <w:kern w:val="0"/>
          <w:sz w:val="24"/>
          <w:szCs w:val="24"/>
        </w:rPr>
        <w:t>预算在执行中如何解决“见好就收”及“破罐子破摔”的问题</w:t>
      </w:r>
    </w:p>
    <w:p>
      <w:pPr>
        <w:pStyle w:val="13"/>
        <w:shd w:val="clear" w:color="auto" w:fill="FFFFFF"/>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lang w:eastAsia="zh-CN"/>
        </w:rPr>
        <w:t>－－</w:t>
      </w:r>
      <w:r>
        <w:rPr>
          <w:rFonts w:hint="eastAsia" w:ascii="微软雅黑" w:hAnsi="微软雅黑" w:eastAsia="微软雅黑" w:cs="微软雅黑"/>
          <w:color w:val="333333"/>
          <w:kern w:val="0"/>
          <w:sz w:val="24"/>
          <w:szCs w:val="24"/>
        </w:rPr>
        <w:t>制定三级递进目标，打造企业永动机。</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１．</w:t>
      </w:r>
      <w:r>
        <w:rPr>
          <w:rFonts w:hint="eastAsia" w:ascii="微软雅黑" w:hAnsi="微软雅黑" w:eastAsia="微软雅黑" w:cs="微软雅黑"/>
          <w:color w:val="333333"/>
          <w:sz w:val="24"/>
          <w:szCs w:val="24"/>
        </w:rPr>
        <w:t>如何避免“四拍预算”</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２．</w:t>
      </w:r>
      <w:r>
        <w:rPr>
          <w:rFonts w:hint="eastAsia" w:ascii="微软雅黑" w:hAnsi="微软雅黑" w:eastAsia="微软雅黑" w:cs="微软雅黑"/>
          <w:color w:val="333333"/>
          <w:sz w:val="24"/>
          <w:szCs w:val="24"/>
        </w:rPr>
        <w:t>全面预算的核心——年度经营计划</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３．</w:t>
      </w:r>
      <w:r>
        <w:rPr>
          <w:rFonts w:hint="eastAsia" w:ascii="微软雅黑" w:hAnsi="微软雅黑" w:eastAsia="微软雅黑" w:cs="微软雅黑"/>
          <w:color w:val="333333"/>
          <w:sz w:val="24"/>
          <w:szCs w:val="24"/>
        </w:rPr>
        <w:t>现场制定年度计划的编制及评估</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４．</w:t>
      </w:r>
      <w:r>
        <w:rPr>
          <w:rFonts w:hint="eastAsia" w:ascii="微软雅黑" w:hAnsi="微软雅黑" w:eastAsia="微软雅黑" w:cs="微软雅黑"/>
          <w:color w:val="333333"/>
          <w:sz w:val="24"/>
          <w:szCs w:val="24"/>
        </w:rPr>
        <w:t>预算编制方法——预算编制的六大方法</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５．</w:t>
      </w:r>
      <w:r>
        <w:rPr>
          <w:rFonts w:hint="eastAsia" w:ascii="微软雅黑" w:hAnsi="微软雅黑" w:eastAsia="微软雅黑" w:cs="微软雅黑"/>
          <w:color w:val="333333"/>
          <w:sz w:val="24"/>
          <w:szCs w:val="24"/>
        </w:rPr>
        <w:t>企业预算编制的三种模式</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６．</w:t>
      </w:r>
      <w:r>
        <w:rPr>
          <w:rFonts w:hint="eastAsia" w:ascii="微软雅黑" w:hAnsi="微软雅黑" w:eastAsia="微软雅黑" w:cs="微软雅黑"/>
          <w:color w:val="333333"/>
          <w:sz w:val="24"/>
          <w:szCs w:val="24"/>
        </w:rPr>
        <w:t>销售预算编制</w:t>
      </w:r>
    </w:p>
    <w:p>
      <w:pPr>
        <w:pStyle w:val="6"/>
        <w:shd w:val="clear" w:color="auto" w:fill="FFFFFF"/>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销售预算的编制依据</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销售预算的预测方法</w:t>
      </w:r>
    </w:p>
    <w:p>
      <w:pPr>
        <w:pStyle w:val="6"/>
        <w:shd w:val="clear" w:color="auto" w:fill="FFFFFF"/>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销售预算的编制底稿</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现场作业编制销售预算</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７．</w:t>
      </w:r>
      <w:r>
        <w:rPr>
          <w:rFonts w:hint="eastAsia" w:ascii="微软雅黑" w:hAnsi="微软雅黑" w:eastAsia="微软雅黑" w:cs="微软雅黑"/>
          <w:color w:val="333333"/>
          <w:sz w:val="24"/>
          <w:szCs w:val="24"/>
        </w:rPr>
        <w:t>生产预算的编制</w:t>
      </w:r>
    </w:p>
    <w:p>
      <w:pPr>
        <w:pStyle w:val="6"/>
        <w:shd w:val="clear" w:color="auto" w:fill="FFFFFF"/>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生产预算的编制依据</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生产预算应注意的问题</w:t>
      </w:r>
    </w:p>
    <w:p>
      <w:pPr>
        <w:pStyle w:val="6"/>
        <w:shd w:val="clear" w:color="auto" w:fill="FFFFFF"/>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生产预算的编制底稿</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现场作业编制生产预算</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８．</w:t>
      </w:r>
      <w:r>
        <w:rPr>
          <w:rFonts w:hint="eastAsia" w:ascii="微软雅黑" w:hAnsi="微软雅黑" w:eastAsia="微软雅黑" w:cs="微软雅黑"/>
          <w:color w:val="333333"/>
          <w:sz w:val="24"/>
          <w:szCs w:val="24"/>
        </w:rPr>
        <w:t>直接材料及采购预算：编制依据</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预算编制底稿</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预算实例分析</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eastAsia="zh-CN"/>
        </w:rPr>
        <w:t>９．</w:t>
      </w:r>
      <w:r>
        <w:rPr>
          <w:rFonts w:hint="eastAsia" w:ascii="微软雅黑" w:hAnsi="微软雅黑" w:eastAsia="微软雅黑" w:cs="微软雅黑"/>
          <w:color w:val="333333"/>
          <w:sz w:val="24"/>
          <w:szCs w:val="24"/>
        </w:rPr>
        <w:t>直接人工</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制造费用预算：编制依据</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预算编制底稿</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预算实例分析</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10．</w:t>
      </w:r>
      <w:r>
        <w:rPr>
          <w:rFonts w:hint="eastAsia" w:ascii="微软雅黑" w:hAnsi="微软雅黑" w:eastAsia="微软雅黑" w:cs="微软雅黑"/>
          <w:color w:val="333333"/>
          <w:sz w:val="24"/>
          <w:szCs w:val="24"/>
        </w:rPr>
        <w:t>销售成本预算的编制：编制依据</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预算编制底稿</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预算实例分析</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11．</w:t>
      </w:r>
      <w:r>
        <w:rPr>
          <w:rFonts w:hint="eastAsia" w:ascii="微软雅黑" w:hAnsi="微软雅黑" w:eastAsia="微软雅黑" w:cs="微软雅黑"/>
          <w:color w:val="333333"/>
          <w:sz w:val="24"/>
          <w:szCs w:val="24"/>
        </w:rPr>
        <w:t>期间费用预算的编制：编制依据</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预算编制底稿</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预算实例分析</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12．</w:t>
      </w:r>
      <w:r>
        <w:rPr>
          <w:rFonts w:hint="eastAsia" w:ascii="微软雅黑" w:hAnsi="微软雅黑" w:eastAsia="微软雅黑" w:cs="微软雅黑"/>
          <w:color w:val="333333"/>
          <w:sz w:val="24"/>
          <w:szCs w:val="24"/>
        </w:rPr>
        <w:t>财务预算的编制：预计利润表</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预计资产负债表</w:t>
      </w:r>
      <w:r>
        <w:rPr>
          <w:rFonts w:hint="eastAsia" w:ascii="微软雅黑" w:hAnsi="微软雅黑" w:eastAsia="微软雅黑" w:cs="微软雅黑"/>
          <w:color w:val="333333"/>
          <w:sz w:val="24"/>
          <w:szCs w:val="24"/>
          <w:lang w:eastAsia="zh-CN"/>
        </w:rPr>
        <w:t>．</w:t>
      </w:r>
      <w:r>
        <w:rPr>
          <w:rFonts w:hint="eastAsia" w:ascii="微软雅黑" w:hAnsi="微软雅黑" w:eastAsia="微软雅黑" w:cs="微软雅黑"/>
          <w:color w:val="333333"/>
          <w:sz w:val="24"/>
          <w:szCs w:val="24"/>
        </w:rPr>
        <w:t>预计现金流量表</w:t>
      </w:r>
    </w:p>
    <w:p>
      <w:pPr>
        <w:widowControl/>
        <w:wordWrap/>
        <w:adjustRightInd/>
        <w:snapToGrid/>
        <w:spacing w:beforeAutospacing="0" w:afterAutospacing="0" w:line="460" w:lineRule="exact"/>
        <w:ind w:left="0" w:leftChars="0" w:right="0" w:firstLine="0" w:firstLineChars="0"/>
        <w:textAlignment w:val="auto"/>
        <w:outlineLvl w:val="9"/>
        <w:rPr>
          <w:rFonts w:hint="eastAsia" w:ascii="微软雅黑" w:hAnsi="微软雅黑" w:eastAsia="微软雅黑" w:cs="微软雅黑"/>
          <w:color w:val="333333"/>
          <w:kern w:val="0"/>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sz w:val="24"/>
          <w:szCs w:val="24"/>
        </w:rPr>
      </w:pPr>
      <w:r>
        <w:rPr>
          <w:rFonts w:hint="eastAsia" w:ascii="微软雅黑" w:hAnsi="微软雅黑" w:eastAsia="微软雅黑" w:cs="微软雅黑"/>
          <w:b/>
          <w:color w:val="365F90"/>
          <w:sz w:val="24"/>
          <w:szCs w:val="24"/>
        </w:rPr>
        <w:t>第四讲：预算监控体系</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1．</w:t>
      </w:r>
      <w:r>
        <w:rPr>
          <w:rFonts w:hint="eastAsia" w:ascii="微软雅黑" w:hAnsi="微软雅黑" w:eastAsia="微软雅黑" w:cs="微软雅黑"/>
          <w:color w:val="333333"/>
          <w:sz w:val="24"/>
          <w:szCs w:val="24"/>
        </w:rPr>
        <w:t>预算执行中存在的问题</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2．</w:t>
      </w:r>
      <w:r>
        <w:rPr>
          <w:rFonts w:hint="eastAsia" w:ascii="微软雅黑" w:hAnsi="微软雅黑" w:eastAsia="微软雅黑" w:cs="微软雅黑"/>
          <w:color w:val="333333"/>
          <w:sz w:val="24"/>
          <w:szCs w:val="24"/>
        </w:rPr>
        <w:t>预算审批机制与程序</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3．</w:t>
      </w:r>
      <w:r>
        <w:rPr>
          <w:rFonts w:hint="eastAsia" w:ascii="微软雅黑" w:hAnsi="微软雅黑" w:eastAsia="微软雅黑" w:cs="微软雅黑"/>
          <w:color w:val="333333"/>
          <w:sz w:val="24"/>
          <w:szCs w:val="24"/>
        </w:rPr>
        <w:t>预算执行与监控</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4．</w:t>
      </w:r>
      <w:r>
        <w:rPr>
          <w:rFonts w:hint="eastAsia" w:ascii="微软雅黑" w:hAnsi="微软雅黑" w:eastAsia="微软雅黑" w:cs="微软雅黑"/>
          <w:color w:val="333333"/>
          <w:sz w:val="24"/>
          <w:szCs w:val="24"/>
        </w:rPr>
        <w:t>预算反馈差异分析报告的程序</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5．</w:t>
      </w:r>
      <w:r>
        <w:rPr>
          <w:rFonts w:hint="eastAsia" w:ascii="微软雅黑" w:hAnsi="微软雅黑" w:eastAsia="微软雅黑" w:cs="微软雅黑"/>
          <w:color w:val="333333"/>
          <w:sz w:val="24"/>
          <w:szCs w:val="24"/>
        </w:rPr>
        <w:t>预算分析目的及分析报告的内容</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6．</w:t>
      </w:r>
      <w:r>
        <w:rPr>
          <w:rFonts w:hint="eastAsia" w:ascii="微软雅黑" w:hAnsi="微软雅黑" w:eastAsia="微软雅黑" w:cs="微软雅黑"/>
          <w:color w:val="333333"/>
          <w:sz w:val="24"/>
          <w:szCs w:val="24"/>
        </w:rPr>
        <w:t>预算调整的程序及调整方式</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7．</w:t>
      </w:r>
      <w:r>
        <w:rPr>
          <w:rFonts w:hint="eastAsia" w:ascii="微软雅黑" w:hAnsi="微软雅黑" w:eastAsia="微软雅黑" w:cs="微软雅黑"/>
          <w:color w:val="333333"/>
          <w:sz w:val="24"/>
          <w:szCs w:val="24"/>
        </w:rPr>
        <w:t>如何预防预算单位期末突击花钱</w:t>
      </w:r>
    </w:p>
    <w:p>
      <w:pPr>
        <w:pStyle w:val="6"/>
        <w:shd w:val="clear" w:color="auto" w:fill="FFFFFF"/>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color w:val="333333"/>
          <w:sz w:val="24"/>
          <w:szCs w:val="24"/>
        </w:rPr>
      </w:pPr>
    </w:p>
    <w:p>
      <w:pPr>
        <w:pStyle w:val="6"/>
        <w:wordWrap/>
        <w:adjustRightInd/>
        <w:snapToGrid/>
        <w:spacing w:before="0" w:beforeAutospacing="0" w:after="0" w:afterAutospacing="0" w:line="460" w:lineRule="exact"/>
        <w:ind w:left="0" w:leftChars="0" w:right="0" w:firstLine="0" w:firstLineChars="0"/>
        <w:textAlignment w:val="auto"/>
        <w:outlineLvl w:val="9"/>
        <w:rPr>
          <w:rFonts w:hint="eastAsia" w:ascii="微软雅黑" w:hAnsi="微软雅黑" w:eastAsia="微软雅黑" w:cs="微软雅黑"/>
          <w:b/>
          <w:color w:val="365F90"/>
          <w:sz w:val="24"/>
          <w:szCs w:val="24"/>
        </w:rPr>
      </w:pPr>
      <w:r>
        <w:rPr>
          <w:rFonts w:hint="eastAsia" w:ascii="微软雅黑" w:hAnsi="微软雅黑" w:eastAsia="微软雅黑" w:cs="微软雅黑"/>
          <w:b/>
          <w:color w:val="365F90"/>
          <w:sz w:val="24"/>
          <w:szCs w:val="24"/>
        </w:rPr>
        <w:t>第五讲：预算绩效管理体系</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1．</w:t>
      </w:r>
      <w:r>
        <w:rPr>
          <w:rFonts w:hint="eastAsia" w:ascii="微软雅黑" w:hAnsi="微软雅黑" w:eastAsia="微软雅黑" w:cs="微软雅黑"/>
          <w:color w:val="333333"/>
          <w:sz w:val="24"/>
          <w:szCs w:val="24"/>
        </w:rPr>
        <w:t>全面预算的考核指标框架</w:t>
      </w:r>
    </w:p>
    <w:p>
      <w:pPr>
        <w:pStyle w:val="13"/>
        <w:numPr>
          <w:ilvl w:val="0"/>
          <w:numId w:val="0"/>
        </w:numPr>
        <w:wordWrap/>
        <w:adjustRightInd/>
        <w:snapToGrid/>
        <w:spacing w:beforeAutospacing="0" w:afterAutospacing="0" w:line="460" w:lineRule="exact"/>
        <w:ind w:leftChars="0" w:right="0"/>
        <w:textAlignment w:val="auto"/>
        <w:outlineLvl w:val="9"/>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lang w:val="en-US" w:eastAsia="zh-CN"/>
        </w:rPr>
        <w:t>2．</w:t>
      </w:r>
      <w:r>
        <w:rPr>
          <w:rFonts w:hint="eastAsia" w:ascii="微软雅黑" w:hAnsi="微软雅黑" w:eastAsia="微软雅黑" w:cs="微软雅黑"/>
          <w:color w:val="333333"/>
          <w:kern w:val="0"/>
          <w:sz w:val="24"/>
          <w:szCs w:val="24"/>
        </w:rPr>
        <w:t>现代企业经济管理指标在企业中的运用</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bCs/>
          <w:color w:val="333333"/>
          <w:sz w:val="24"/>
          <w:szCs w:val="24"/>
        </w:rPr>
      </w:pPr>
      <w:r>
        <w:rPr>
          <w:rFonts w:hint="eastAsia" w:ascii="微软雅黑" w:hAnsi="微软雅黑" w:eastAsia="微软雅黑" w:cs="微软雅黑"/>
          <w:bCs/>
          <w:color w:val="333333"/>
          <w:sz w:val="24"/>
          <w:szCs w:val="24"/>
          <w:lang w:val="en-US" w:eastAsia="zh-CN"/>
        </w:rPr>
        <w:t>3．</w:t>
      </w:r>
      <w:r>
        <w:rPr>
          <w:rFonts w:hint="eastAsia" w:ascii="微软雅黑" w:hAnsi="微软雅黑" w:eastAsia="微软雅黑" w:cs="微软雅黑"/>
          <w:bCs/>
          <w:color w:val="333333"/>
          <w:sz w:val="24"/>
          <w:szCs w:val="24"/>
        </w:rPr>
        <w:t>现代企业管理考核指标分析</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eastAsia="zh-CN"/>
        </w:rPr>
        <w:t>4．</w:t>
      </w:r>
      <w:r>
        <w:rPr>
          <w:rFonts w:hint="eastAsia" w:ascii="微软雅黑" w:hAnsi="微软雅黑" w:eastAsia="微软雅黑" w:cs="微软雅黑"/>
          <w:color w:val="333333"/>
          <w:sz w:val="24"/>
          <w:szCs w:val="24"/>
        </w:rPr>
        <w:t>平衡计分卡的应用</w:t>
      </w:r>
    </w:p>
    <w:p>
      <w:pPr>
        <w:pStyle w:val="6"/>
        <w:numPr>
          <w:ilvl w:val="0"/>
          <w:numId w:val="0"/>
        </w:numPr>
        <w:shd w:val="clear" w:color="auto" w:fill="FFFFFF"/>
        <w:wordWrap/>
        <w:adjustRightInd/>
        <w:snapToGrid/>
        <w:spacing w:before="0" w:beforeAutospacing="0" w:after="0" w:afterAutospacing="0" w:line="460" w:lineRule="exact"/>
        <w:ind w:leftChars="0" w:right="0"/>
        <w:textAlignment w:val="auto"/>
        <w:outlineLvl w:val="9"/>
        <w:rPr>
          <w:rFonts w:hint="eastAsia" w:ascii="微软雅黑" w:hAnsi="微软雅黑" w:eastAsia="微软雅黑" w:cs="微软雅黑"/>
          <w:color w:val="333333"/>
          <w:sz w:val="24"/>
          <w:szCs w:val="24"/>
        </w:rPr>
      </w:pPr>
    </w:p>
    <w:p>
      <w:pPr>
        <w:rPr>
          <w:rFonts w:hint="eastAsia" w:ascii="微软雅黑" w:hAnsi="微软雅黑" w:eastAsia="微软雅黑" w:cs="微软雅黑"/>
          <w:b/>
          <w:bCs/>
          <w:sz w:val="24"/>
          <w:szCs w:val="24"/>
          <w:lang w:val="en-US" w:eastAsia="zh-CN"/>
        </w:rPr>
      </w:pPr>
    </w:p>
    <w:p>
      <w:pPr>
        <w:rPr>
          <w:rFonts w:hint="eastAsia" w:eastAsia="宋体"/>
          <w:lang w:eastAsia="zh-CN"/>
        </w:rPr>
      </w:pP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资历</w:t>
      </w:r>
      <w:r>
        <w:rPr>
          <w:rFonts w:hint="eastAsia" w:ascii="微软雅黑" w:hAnsi="微软雅黑" w:eastAsia="微软雅黑" w:cs="微软雅黑"/>
          <w:b w:val="0"/>
          <w:bCs w:val="0"/>
          <w:sz w:val="24"/>
          <w:szCs w:val="24"/>
          <w:lang w:eastAsia="zh-CN"/>
        </w:rPr>
        <w:t>：中国首届</w:t>
      </w:r>
      <w:r>
        <w:rPr>
          <w:rFonts w:hint="eastAsia" w:ascii="微软雅黑" w:hAnsi="微软雅黑" w:eastAsia="微软雅黑" w:cs="微软雅黑"/>
          <w:b w:val="0"/>
          <w:bCs w:val="0"/>
          <w:sz w:val="24"/>
          <w:szCs w:val="24"/>
        </w:rPr>
        <w:t>企业管理咨询师，高级会计师、有多年大型企业集团高级财务管理经验</w:t>
      </w:r>
      <w:r>
        <w:rPr>
          <w:rFonts w:hint="eastAsia" w:ascii="微软雅黑" w:hAnsi="微软雅黑" w:eastAsia="微软雅黑" w:cs="微软雅黑"/>
          <w:b w:val="0"/>
          <w:bCs w:val="0"/>
          <w:sz w:val="24"/>
          <w:szCs w:val="24"/>
          <w:lang w:eastAsia="zh-CN"/>
        </w:rPr>
        <w:t>和十年的培训咨询经验</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黄老师目前是</w:t>
      </w:r>
      <w:r>
        <w:rPr>
          <w:rFonts w:hint="eastAsia" w:ascii="微软雅黑" w:hAnsi="微软雅黑" w:eastAsia="微软雅黑" w:cs="微软雅黑"/>
          <w:b w:val="0"/>
          <w:bCs w:val="0"/>
          <w:sz w:val="24"/>
          <w:szCs w:val="24"/>
        </w:rPr>
        <w:t>蓝草企业管理咨询有限公司</w:t>
      </w:r>
      <w:r>
        <w:rPr>
          <w:rFonts w:hint="eastAsia" w:ascii="微软雅黑" w:hAnsi="微软雅黑" w:eastAsia="微软雅黑" w:cs="微软雅黑"/>
          <w:b w:val="0"/>
          <w:bCs w:val="0"/>
          <w:sz w:val="24"/>
          <w:szCs w:val="24"/>
          <w:lang w:eastAsia="zh-CN"/>
        </w:rPr>
        <w:t>首席财务讲师</w:t>
      </w:r>
      <w:r>
        <w:rPr>
          <w:rFonts w:hint="eastAsia" w:ascii="微软雅黑" w:hAnsi="微软雅黑" w:eastAsia="微软雅黑" w:cs="微软雅黑"/>
          <w:b w:val="0"/>
          <w:bCs w:val="0"/>
          <w:sz w:val="24"/>
          <w:szCs w:val="24"/>
        </w:rPr>
        <w:t>上海企业</w:t>
      </w:r>
      <w:r>
        <w:rPr>
          <w:rFonts w:hint="eastAsia" w:ascii="微软雅黑" w:hAnsi="微软雅黑" w:eastAsia="微软雅黑" w:cs="微软雅黑"/>
          <w:b w:val="0"/>
          <w:bCs w:val="0"/>
          <w:sz w:val="24"/>
          <w:szCs w:val="24"/>
          <w:lang w:eastAsia="zh-CN"/>
        </w:rPr>
        <w:t>家</w:t>
      </w:r>
      <w:r>
        <w:rPr>
          <w:rFonts w:hint="eastAsia" w:ascii="微软雅黑" w:hAnsi="微软雅黑" w:eastAsia="微软雅黑" w:cs="微软雅黑"/>
          <w:b w:val="0"/>
          <w:bCs w:val="0"/>
          <w:sz w:val="24"/>
          <w:szCs w:val="24"/>
        </w:rPr>
        <w:t>协会特聘财务讲师。</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背景</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val="0"/>
          <w:bCs w:val="0"/>
          <w:sz w:val="24"/>
          <w:szCs w:val="24"/>
          <w:lang w:eastAsia="zh-CN"/>
        </w:rPr>
        <w:t>多年的实战经验，让他把繁琐的财务工作讲解通俗易懂，让非财务人员快速成为理财行家！黄老师</w:t>
      </w:r>
      <w:r>
        <w:rPr>
          <w:rFonts w:hint="eastAsia" w:ascii="微软雅黑" w:hAnsi="微软雅黑" w:eastAsia="微软雅黑" w:cs="微软雅黑"/>
          <w:b w:val="0"/>
          <w:bCs w:val="0"/>
          <w:sz w:val="24"/>
          <w:szCs w:val="24"/>
        </w:rPr>
        <w:t>曾在大中华集团公司，河南羚锐股份有限公司，圣象集团担任财务经理。</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主讲课程：</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val="0"/>
          <w:bCs w:val="0"/>
          <w:sz w:val="24"/>
          <w:szCs w:val="24"/>
          <w:lang w:eastAsia="zh-CN"/>
        </w:rPr>
        <w:t>总经理的财务管理》、《</w:t>
      </w:r>
      <w:r>
        <w:rPr>
          <w:rFonts w:hint="eastAsia" w:ascii="微软雅黑" w:hAnsi="微软雅黑" w:eastAsia="微软雅黑" w:cs="微软雅黑"/>
          <w:b w:val="0"/>
          <w:bCs w:val="0"/>
          <w:sz w:val="24"/>
          <w:szCs w:val="24"/>
        </w:rPr>
        <w:t>财务报表解读与分析</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非财务经理的财务管理</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内部控制及风险管理</w:t>
      </w:r>
      <w:r>
        <w:rPr>
          <w:rFonts w:hint="eastAsia" w:ascii="微软雅黑" w:hAnsi="微软雅黑" w:eastAsia="微软雅黑" w:cs="微软雅黑"/>
          <w:b w:val="0"/>
          <w:bCs w:val="0"/>
          <w:sz w:val="24"/>
          <w:szCs w:val="24"/>
        </w:rPr>
        <w:t>》、《EVA》、《成本会计》、《</w:t>
      </w:r>
      <w:r>
        <w:rPr>
          <w:rFonts w:hint="eastAsia" w:ascii="微软雅黑" w:hAnsi="微软雅黑" w:eastAsia="微软雅黑" w:cs="微软雅黑"/>
          <w:b w:val="0"/>
          <w:bCs w:val="0"/>
          <w:sz w:val="24"/>
          <w:szCs w:val="24"/>
          <w:lang w:eastAsia="zh-CN"/>
        </w:rPr>
        <w:t>全面质量成本管理</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税务策划与税务管理</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全面预算管理与控制</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成本控制与分析</w:t>
      </w:r>
      <w:r>
        <w:rPr>
          <w:rFonts w:hint="eastAsia" w:ascii="微软雅黑" w:hAnsi="微软雅黑" w:eastAsia="微软雅黑" w:cs="微软雅黑"/>
          <w:b w:val="0"/>
          <w:bCs w:val="0"/>
          <w:sz w:val="24"/>
          <w:szCs w:val="24"/>
        </w:rPr>
        <w:t>》</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b w:val="0"/>
          <w:bCs w:val="0"/>
          <w:sz w:val="24"/>
          <w:szCs w:val="24"/>
          <w:lang w:eastAsia="zh-CN"/>
        </w:rPr>
        <w:t>武钢</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际华国际</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中国国航、宁德时代、东风汽车、广本汽车、虹桥机场、欧姆龙国际、上海市政府下属发改委等单位。</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推荐理由:</w:t>
      </w:r>
      <w:r>
        <w:rPr>
          <w:rFonts w:hint="eastAsia" w:ascii="微软雅黑" w:hAnsi="微软雅黑" w:eastAsia="微软雅黑" w:cs="微软雅黑"/>
          <w:b w:val="0"/>
          <w:bCs w:val="0"/>
          <w:sz w:val="24"/>
          <w:szCs w:val="24"/>
          <w:lang w:eastAsia="zh-CN"/>
        </w:rPr>
        <w:t>黄老师分享都是干货，内容实战又不缺乏幽默；</w:t>
      </w:r>
      <w:r>
        <w:rPr>
          <w:rFonts w:hint="eastAsia" w:ascii="微软雅黑" w:hAnsi="微软雅黑" w:eastAsia="微软雅黑" w:cs="微软雅黑"/>
          <w:b w:val="0"/>
          <w:bCs w:val="0"/>
          <w:sz w:val="24"/>
          <w:szCs w:val="24"/>
        </w:rPr>
        <w:t>课程突出实用性、故事性、新鲜性和幽默性。通过一系列财务管理案例剖析点评，使企业管理人员</w:t>
      </w:r>
      <w:r>
        <w:rPr>
          <w:rFonts w:hint="eastAsia" w:ascii="微软雅黑" w:hAnsi="微软雅黑" w:eastAsia="微软雅黑" w:cs="微软雅黑"/>
          <w:b w:val="0"/>
          <w:bCs w:val="0"/>
          <w:sz w:val="24"/>
          <w:szCs w:val="24"/>
          <w:lang w:eastAsia="zh-CN"/>
        </w:rPr>
        <w:t>快速</w:t>
      </w:r>
      <w:r>
        <w:rPr>
          <w:rFonts w:hint="eastAsia" w:ascii="微软雅黑" w:hAnsi="微软雅黑" w:eastAsia="微软雅黑" w:cs="微软雅黑"/>
          <w:b w:val="0"/>
          <w:bCs w:val="0"/>
          <w:sz w:val="24"/>
          <w:szCs w:val="24"/>
        </w:rPr>
        <w:t>掌握一些财务管理先进理念，分析技巧、提高解决问题的能力</w:t>
      </w:r>
      <w:r>
        <w:rPr>
          <w:rFonts w:hint="eastAsia" w:ascii="微软雅黑" w:hAnsi="微软雅黑" w:eastAsia="微软雅黑" w:cs="微软雅黑"/>
          <w:b w:val="0"/>
          <w:bCs w:val="0"/>
          <w:sz w:val="24"/>
          <w:szCs w:val="24"/>
          <w:lang w:eastAsia="zh-CN"/>
        </w:rPr>
        <w:t>。</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tbl>
      <w:tblPr>
        <w:tblStyle w:val="10"/>
        <w:tblW w:w="9716" w:type="dxa"/>
        <w:jc w:val="center"/>
        <w:tblInd w:w="0" w:type="dxa"/>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
      <w:tblGrid>
        <w:gridCol w:w="1239"/>
        <w:gridCol w:w="964"/>
        <w:gridCol w:w="146"/>
        <w:gridCol w:w="1564"/>
        <w:gridCol w:w="945"/>
        <w:gridCol w:w="1532"/>
        <w:gridCol w:w="583"/>
        <w:gridCol w:w="525"/>
        <w:gridCol w:w="2218"/>
      </w:tblGrid>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shd w:val="clear" w:color="auto" w:fill="A50021"/>
            <w:vAlign w:val="top"/>
          </w:tcPr>
          <w:p>
            <w:pPr>
              <w:spacing w:line="400" w:lineRule="exact"/>
              <w:jc w:val="left"/>
              <w:rPr>
                <w:rFonts w:hint="eastAsia" w:ascii="微软雅黑" w:hAnsi="微软雅黑" w:eastAsia="微软雅黑" w:cs="微软雅黑"/>
                <w:b/>
                <w:bCs/>
                <w:color w:val="FFFFFF"/>
              </w:rPr>
            </w:pPr>
            <w:r>
              <w:rPr>
                <w:rFonts w:hint="eastAsia" w:ascii="微软雅黑" w:hAnsi="微软雅黑" w:eastAsia="微软雅黑" w:cs="微软雅黑"/>
                <w:b/>
                <w:bCs/>
                <w:color w:val="FFFFFF"/>
                <w:kern w:val="0"/>
                <w:sz w:val="22"/>
                <w:szCs w:val="24"/>
              </w:rPr>
              <w:t>单 位 名 称:</w:t>
            </w:r>
          </w:p>
        </w:tc>
        <w:tc>
          <w:tcPr>
            <w:tcW w:w="7513" w:type="dxa"/>
            <w:gridSpan w:val="7"/>
            <w:shd w:val="clear" w:color="auto" w:fill="A50021"/>
            <w:vAlign w:val="top"/>
          </w:tcPr>
          <w:p>
            <w:pPr>
              <w:spacing w:line="400" w:lineRule="exact"/>
              <w:jc w:val="left"/>
              <w:rPr>
                <w:rFonts w:hint="eastAsia" w:ascii="微软雅黑" w:hAnsi="微软雅黑" w:eastAsia="微软雅黑" w:cs="微软雅黑"/>
                <w:color w:val="FFFFFF"/>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联系人姓名:</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部门/职务:</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手 机:</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E-mail:</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Q Q:</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微 信:</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kern w:val="0"/>
              </w:rPr>
            </w:pPr>
            <w:r>
              <w:rPr>
                <w:rFonts w:hint="eastAsia" w:ascii="微软雅黑" w:hAnsi="微软雅黑" w:eastAsia="微软雅黑" w:cs="微软雅黑"/>
                <w:b/>
                <w:bCs/>
                <w:kern w:val="0"/>
              </w:rPr>
              <w:t>业务性质：</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kern w:val="0"/>
              </w:rPr>
            </w:pPr>
            <w:r>
              <w:rPr>
                <w:rFonts w:hint="eastAsia" w:ascii="微软雅黑" w:hAnsi="微软雅黑" w:eastAsia="微软雅黑" w:cs="微软雅黑"/>
                <w:b/>
                <w:bCs/>
                <w:kern w:val="0"/>
              </w:rPr>
              <w:t>企业规模/人数：</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9716" w:type="dxa"/>
            <w:gridSpan w:val="9"/>
            <w:shd w:val="clear" w:color="auto" w:fill="A50021"/>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color w:val="FFFFFF"/>
                <w:kern w:val="0"/>
                <w:sz w:val="24"/>
                <w:szCs w:val="28"/>
              </w:rPr>
              <w:t>培 训 学 员 信 息</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kern w:val="0"/>
              </w:rPr>
              <w:t>姓 名</w:t>
            </w:r>
          </w:p>
        </w:tc>
        <w:tc>
          <w:tcPr>
            <w:tcW w:w="1110" w:type="dxa"/>
            <w:gridSpan w:val="2"/>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rPr>
              <w:t>性 别</w:t>
            </w:r>
          </w:p>
        </w:tc>
        <w:tc>
          <w:tcPr>
            <w:tcW w:w="1564" w:type="dxa"/>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rPr>
              <w:t>职 位</w:t>
            </w:r>
          </w:p>
        </w:tc>
        <w:tc>
          <w:tcPr>
            <w:tcW w:w="2477" w:type="dxa"/>
            <w:gridSpan w:val="2"/>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rPr>
              <w:t>手   机</w:t>
            </w:r>
          </w:p>
        </w:tc>
        <w:tc>
          <w:tcPr>
            <w:tcW w:w="3326" w:type="dxa"/>
            <w:gridSpan w:val="3"/>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kern w:val="0"/>
              </w:rPr>
              <w:t>E-mail</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kern w:val="0"/>
              </w:rPr>
              <w:t>缴费方式</w:t>
            </w:r>
          </w:p>
        </w:tc>
        <w:tc>
          <w:tcPr>
            <w:tcW w:w="5151" w:type="dxa"/>
            <w:gridSpan w:val="5"/>
            <w:vAlign w:val="top"/>
          </w:tcPr>
          <w:p>
            <w:pPr>
              <w:spacing w:line="400" w:lineRule="exact"/>
              <w:jc w:val="left"/>
              <w:rPr>
                <w:rFonts w:hint="eastAsia" w:ascii="微软雅黑" w:hAnsi="微软雅黑" w:eastAsia="微软雅黑" w:cs="微软雅黑"/>
              </w:rPr>
            </w:pPr>
            <w:r>
              <w:rPr>
                <w:rFonts w:hint="eastAsia" w:ascii="微软雅黑" w:hAnsi="微软雅黑" w:eastAsia="微软雅黑" w:cs="微软雅黑"/>
                <w:kern w:val="0"/>
              </w:rPr>
              <w:t xml:space="preserve">   □ 转帐     □ 现金  （请选择 在□打√）</w:t>
            </w:r>
          </w:p>
        </w:tc>
        <w:tc>
          <w:tcPr>
            <w:tcW w:w="1108" w:type="dxa"/>
            <w:gridSpan w:val="2"/>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kern w:val="0"/>
              </w:rPr>
              <w:t>金  额</w:t>
            </w:r>
          </w:p>
        </w:tc>
        <w:tc>
          <w:tcPr>
            <w:tcW w:w="2218" w:type="dxa"/>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kern w:val="0"/>
              </w:rPr>
              <w:t>费用总计</w:t>
            </w:r>
          </w:p>
        </w:tc>
        <w:tc>
          <w:tcPr>
            <w:tcW w:w="8477" w:type="dxa"/>
            <w:gridSpan w:val="8"/>
            <w:vAlign w:val="top"/>
          </w:tcPr>
          <w:p>
            <w:pPr>
              <w:spacing w:line="400" w:lineRule="exact"/>
              <w:jc w:val="left"/>
              <w:rPr>
                <w:rFonts w:hint="eastAsia" w:ascii="微软雅黑" w:hAnsi="微软雅黑" w:eastAsia="微软雅黑" w:cs="微软雅黑"/>
              </w:rPr>
            </w:pPr>
            <w:r>
              <w:rPr>
                <w:rFonts w:hint="eastAsia" w:ascii="微软雅黑" w:hAnsi="微软雅黑" w:eastAsia="微软雅黑" w:cs="微软雅黑"/>
                <w:kern w:val="0"/>
              </w:rPr>
              <w:t>￥</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元　（共</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人参会）</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b/>
                <w:bCs/>
                <w:kern w:val="0"/>
              </w:rPr>
            </w:pPr>
            <w:r>
              <w:rPr>
                <w:rFonts w:hint="eastAsia" w:ascii="微软雅黑" w:hAnsi="微软雅黑" w:eastAsia="微软雅黑" w:cs="微软雅黑"/>
                <w:b/>
                <w:bCs/>
                <w:kern w:val="0"/>
              </w:rPr>
              <w:t>住宿要求</w:t>
            </w:r>
          </w:p>
        </w:tc>
        <w:tc>
          <w:tcPr>
            <w:tcW w:w="8477" w:type="dxa"/>
            <w:gridSpan w:val="8"/>
            <w:vAlign w:val="top"/>
          </w:tcPr>
          <w:p>
            <w:pPr>
              <w:widowControl/>
              <w:adjustRightInd w:val="0"/>
              <w:snapToGrid w:val="0"/>
              <w:spacing w:line="400" w:lineRule="exact"/>
              <w:jc w:val="left"/>
              <w:rPr>
                <w:rFonts w:hint="eastAsia" w:ascii="微软雅黑" w:hAnsi="微软雅黑" w:eastAsia="微软雅黑" w:cs="微软雅黑"/>
                <w:kern w:val="0"/>
              </w:rPr>
            </w:pPr>
            <w:r>
              <w:rPr>
                <w:rFonts w:hint="eastAsia" w:ascii="微软雅黑" w:hAnsi="微软雅黑" w:eastAsia="微软雅黑" w:cs="微软雅黑"/>
                <w:kern w:val="0"/>
              </w:rPr>
              <w:t>预定：双人房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间；单人房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间，住宿时间：</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月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至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日   (不用预定请留空)</w:t>
            </w:r>
          </w:p>
        </w:tc>
      </w:tr>
    </w:tbl>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（需要预定住宿的请参考我司课程《确认函》中的住宿酒店信息）</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注意：</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请将报名表填写完整，发至我方即可。我方收到报名表后，将以电话、传真或E-mail等方式确认收到报名表。</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请在培训之前三个工作日内将报名表回传,课前一周另行发送详细会务安排</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本课程可针对企业需求，上门服务，组织内训，欢迎咨询。</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请参会学员准备一盒名片,以便学员间交流学习。</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请准备几个工作中遇到的问题以便进行讨论。</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val="zh-CN" w:eastAsia="zh-CN"/>
        </w:rPr>
        <w:t>此表所填信息仅用于招生工作，对所填写的客户信息，我司严格保密，如需参加请填写回传给我们</w:t>
      </w:r>
      <w:r>
        <w:rPr>
          <w:rFonts w:hint="eastAsia" w:ascii="微软雅黑" w:hAnsi="微软雅黑" w:eastAsia="微软雅黑" w:cs="微软雅黑"/>
          <w:b w:val="0"/>
          <w:bCs w:val="0"/>
          <w:sz w:val="24"/>
          <w:szCs w:val="24"/>
          <w:lang w:eastAsia="zh-CN"/>
        </w:rPr>
        <w:t>，以便及时为您安排会务并发确认函，谢谢支持！</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Brush Script MT">
    <w:altName w:val="Estrangelo Edessa"/>
    <w:panose1 w:val="03060802040406070304"/>
    <w:charset w:val="00"/>
    <w:family w:val="auto"/>
    <w:pitch w:val="default"/>
    <w:sig w:usb0="00000000"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Estrangelo Edessa">
    <w:panose1 w:val="03080600000000000000"/>
    <w:charset w:val="00"/>
    <w:family w:val="auto"/>
    <w:pitch w:val="default"/>
    <w:sig w:usb0="80006040" w:usb1="00000000" w:usb2="0000008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4"/>
                  <w:rPr>
                    <w:rFonts w:hint="eastAsia" w:ascii="华文行楷" w:eastAsia="微软雅黑"/>
                    <w:b/>
                    <w:color w:val="00B0F0"/>
                    <w:sz w:val="28"/>
                    <w:szCs w:val="24"/>
                  </w:rPr>
                </w:pPr>
                <w:r>
                  <w:rPr>
                    <w:rFonts w:hint="eastAsia" w:ascii="华文行楷" w:eastAsia="微软雅黑"/>
                    <w:b/>
                    <w:color w:val="00B0F0"/>
                    <w:sz w:val="28"/>
                    <w:szCs w:val="24"/>
                  </w:rPr>
                  <w:t>蓝草企业  为快乐而培训 为培训更快</w:t>
                </w:r>
                <w:r>
                  <w:rPr>
                    <w:rFonts w:hint="eastAsia" w:ascii="华文行楷" w:eastAsia="微软雅黑"/>
                    <w:b/>
                    <w:color w:val="00B0F0"/>
                    <w:sz w:val="28"/>
                    <w:szCs w:val="24"/>
                    <w:lang w:eastAsia="zh-CN"/>
                  </w:rPr>
                  <w:t>乐</w:t>
                </w:r>
                <w:r>
                  <w:rPr>
                    <w:rFonts w:hint="eastAsia" w:ascii="华文行楷" w:eastAsia="微软雅黑"/>
                    <w:b/>
                    <w:color w:val="00B0F0"/>
                    <w:sz w:val="28"/>
                    <w:szCs w:val="24"/>
                  </w:rPr>
                  <w:t>乐！</w:t>
                </w: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4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20316f" offset="0pt,3pt" origin="0f,-32768f" matrix="65536f,0f,0f,65536f,0,0"/>
          <v:textbox>
            <w:txbxContent>
              <w:p>
                <w:pPr>
                  <w:pStyle w:val="5"/>
                  <w:jc w:val="center"/>
                  <w:rPr>
                    <w:rFonts w:eastAsia="微软雅黑"/>
                    <w:b/>
                    <w:caps w:val="0"/>
                    <w:color w:val="FFFFFF"/>
                    <w:sz w:val="28"/>
                  </w:rPr>
                </w:pPr>
                <w:r>
                  <w:rPr>
                    <w:rFonts w:hint="eastAsia" w:ascii="华文行楷" w:eastAsia="微软雅黑"/>
                    <w:b/>
                    <w:caps w:val="0"/>
                    <w:color w:val="FFFFFF"/>
                    <w:sz w:val="28"/>
                    <w:szCs w:val="32"/>
                  </w:rPr>
                  <w:t xml:space="preserve">携手蓝草企业 为事业腾飞蓄能  </w:t>
                </w:r>
                <w:r>
                  <w:rPr>
                    <w:rFonts w:hint="eastAsia" w:eastAsia="微软雅黑"/>
                    <w:b/>
                    <w:caps w:val="0"/>
                    <w:color w:val="FFFFFF"/>
                    <w:sz w:val="28"/>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9"/>
                    <w:rFonts w:hint="eastAsia" w:ascii="Calibri" w:hAnsi="Calibri" w:eastAsia="微软雅黑" w:cs="Brush Script MT"/>
                    <w:b/>
                    <w:caps w:val="0"/>
                    <w:color w:val="FFFFFF"/>
                    <w:sz w:val="28"/>
                    <w:u w:val="none"/>
                  </w:rPr>
                  <w:t>http://www.bgwahaha.cn</w:t>
                </w:r>
                <w:r>
                  <w:rPr>
                    <w:rStyle w:val="9"/>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r>
                  <w:rPr>
                    <w:rFonts w:hint="eastAsia" w:eastAsia="微软雅黑"/>
                    <w:b/>
                    <w:caps w:val="0"/>
                    <w:color w:val="FFFFFF"/>
                    <w:sz w:val="28"/>
                  </w:rPr>
                  <w:t>13601837936</w:t>
                </w:r>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6BD6"/>
    <w:multiLevelType w:val="multilevel"/>
    <w:tmpl w:val="54586BD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599C0473"/>
    <w:multiLevelType w:val="multilevel"/>
    <w:tmpl w:val="599C047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3013F78"/>
    <w:rsid w:val="09497C15"/>
    <w:rsid w:val="0D29619B"/>
    <w:rsid w:val="120C5579"/>
    <w:rsid w:val="180839B6"/>
    <w:rsid w:val="18AA49CE"/>
    <w:rsid w:val="1DD05359"/>
    <w:rsid w:val="1E0846AD"/>
    <w:rsid w:val="1E9513D1"/>
    <w:rsid w:val="24FE1C1A"/>
    <w:rsid w:val="2F20473C"/>
    <w:rsid w:val="359F2EF3"/>
    <w:rsid w:val="3EC641CB"/>
    <w:rsid w:val="41FA4F75"/>
    <w:rsid w:val="4289324C"/>
    <w:rsid w:val="4ABE0178"/>
    <w:rsid w:val="4B9A0D61"/>
    <w:rsid w:val="50E94570"/>
    <w:rsid w:val="51695060"/>
    <w:rsid w:val="526117B6"/>
    <w:rsid w:val="528637C2"/>
    <w:rsid w:val="572A15EF"/>
    <w:rsid w:val="63352E4C"/>
    <w:rsid w:val="645A42B3"/>
    <w:rsid w:val="64CB7612"/>
    <w:rsid w:val="656F550D"/>
    <w:rsid w:val="6AA221E0"/>
    <w:rsid w:val="6FA974C0"/>
    <w:rsid w:val="713E5EB9"/>
    <w:rsid w:val="749B5A6C"/>
    <w:rsid w:val="7615468C"/>
    <w:rsid w:val="7A725560"/>
    <w:rsid w:val="7EEF52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link w:val="14"/>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unhideWhenUsed/>
    <w:qFormat/>
    <w:uiPriority w:val="0"/>
    <w:rPr>
      <w:color w:val="800080"/>
      <w:u w:val="single"/>
    </w:rPr>
  </w:style>
  <w:style w:type="character" w:styleId="9">
    <w:name w:val="Hyperlink"/>
    <w:basedOn w:val="7"/>
    <w:unhideWhenUsed/>
    <w:qFormat/>
    <w:uiPriority w:val="0"/>
    <w:rPr>
      <w:color w:val="0000FF"/>
      <w:u w:val="single"/>
    </w:rPr>
  </w:style>
  <w:style w:type="paragraph" w:customStyle="1" w:styleId="11">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2">
    <w:name w:val="No Spacing"/>
    <w:qFormat/>
    <w:uiPriority w:val="1"/>
    <w:rPr>
      <w:rFonts w:ascii="DengXian" w:hAnsi="DengXian" w:eastAsia="Microsoft YaHei UI" w:cs="Arial"/>
      <w:sz w:val="22"/>
      <w:szCs w:val="22"/>
      <w:lang w:val="en-US" w:eastAsia="zh-CN" w:bidi="ar-SA"/>
    </w:rPr>
  </w:style>
  <w:style w:type="paragraph" w:customStyle="1" w:styleId="13">
    <w:name w:val="List Paragraph"/>
    <w:basedOn w:val="1"/>
    <w:qFormat/>
    <w:uiPriority w:val="99"/>
    <w:pPr>
      <w:ind w:firstLine="420" w:firstLineChars="200"/>
    </w:pPr>
  </w:style>
  <w:style w:type="character" w:customStyle="1" w:styleId="14">
    <w:name w:val="页眉字符"/>
    <w:link w:val="5"/>
    <w:qFormat/>
    <w:uiPriority w:val="99"/>
    <w:rPr>
      <w:kern w:val="2"/>
      <w:sz w:val="18"/>
      <w:szCs w:val="22"/>
    </w:rPr>
  </w:style>
  <w:style w:type="character" w:customStyle="1" w:styleId="15">
    <w:name w:val="标题 1字符"/>
    <w:basedOn w:val="7"/>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Administrator</cp:lastModifiedBy>
  <dcterms:modified xsi:type="dcterms:W3CDTF">2018-07-19T06:43:42Z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