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19.4pt;width:367.8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总经理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b/>
          <w:sz w:val="28"/>
          <w:szCs w:val="15"/>
        </w:rPr>
      </w:pPr>
      <w:r>
        <w:rPr>
          <w:rFonts w:hint="eastAsia" w:ascii="微软雅黑" w:hAnsi="微软雅黑" w:eastAsia="微软雅黑" w:cs="微软雅黑"/>
          <w:b/>
          <w:sz w:val="28"/>
          <w:szCs w:val="15"/>
        </w:rPr>
        <w:t>总经理的财务课程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受众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企业董事长、总经理、高管、财务总监及相关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管理者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</w:rPr>
        <w:t>鼓励总经理带着财务总监一起参加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</w:rPr>
        <w:t>金融机构高层管理人员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课程收益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具备财务头脑，读懂财务语言，加强企业决策者与财务部门之间的沟通。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让高管不但理解各报表数字的表层含义，更能看透报表，掌握报表背后的信息。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能通过财务数字一眼看穿企业盈利能力、资产效率及经营风险，剖析企业经营状况，发现管理问题，及时找出解决方法，提升企业管理水平。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凭借清晰的财务分析结果及先进的决策分析工具，助力战略性决策，规避企业风险，切实保障企业健康发展。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.从公司战略角度，认识财务规划与管理对运营管理的重要作用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.从财务管理角度透视企业整体运营，增强企业盈利能力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战略目标确定的步骤、目标分解的方法及程序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掌握企业战略决策中的税务管理与筹划方法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.利用财务资讯寻求改善企业绩效的有效途径与方法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培训大纲　</w:t>
      </w: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1.阅读和分析财务报表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会计报表的构成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资产负债表、损益表的阅读和分析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资金流量和资金流量表的阅读和分析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会计报表之间的关系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如何从会计报表读懂企业经营状况，评价公司经营运作与风险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案例分析：上市公司报表做假常用财务技法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2.财务会计与财务报表-经济事项如何反映在财务报表中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如何区分费用与资产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如何对资产来计价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如何估计资产变成现金的程度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如何估计资产变成费用的速度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如何应用权责发生制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认识经营周期的重要性，理解利润表的弹性空间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3、财务管理的原理--管理的效率与安全的衡量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对成本和费用的控制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对资产周转速度的控制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企业的持续经营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财务管理在财务指标上重点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案例：万科企业、微软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4、通过财务分析发现企业经营管理中的关键点，促进企业价值的增长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影响企业绩效的三大环节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如何通过财务管理提高企业经营绩效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关键财务指标解析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企业获利能力分析：ROS、ROA、ROE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杜邦分析：股东回报的形成过程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财务杠杆: 怎样进一步扩大股东回报?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各部门的工作对企业最终业绩的影响及控制方法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资金效率、风险的分析与控制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如何运用报表上的数字分析企业营运资本状况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各部门的工作对公司营运资本的影响，如何改善?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如何避免企业发生资金周转危机?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改善公司营运资本状况的基本方法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上市公司财报解读：综合运用财务信息透视公司运作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5、总经理的预算管理体系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预算的重要性和原则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建立有效的预算管理体系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有效经营的组织结构图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策略性全面预算的程序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预算存在的共性问题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　6、怎样编制预算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●编制预算的主要方法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√固定预算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√弹性预算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开课计划：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：中国首届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企业管理咨询师，高级会计师、有多年大型企业集团高级财务管理经验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和十年的培训咨询经验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黄老师目前是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蓝草企业管理咨询有限公司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首席财务讲师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上海企业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协会特聘财务讲师。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背景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多年的实战经验，让他把繁琐的财务工作讲解通俗易懂，让非财务人员快速成为理财行家！黄老师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曾在大中华集团公司，河南羚锐股份有限公司，圣象集团担任财务经理。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主讲课程：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总经理的财务管理》、《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财务报表解读与分析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非财务经理的财务管理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内部控制及风险管理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》、《EVA》、《成本会计》、《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全面质量成本管理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税务策划与税务管理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全面预算管理与控制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成本控制与分析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培训过的客户中知名公司：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武钢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际华国际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中国国航、宁德时代、东风汽车、广本汽车、虹桥机场、欧姆龙国际、上海市政府下属发改委等单位。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推荐理由: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黄老师分享都是干货，内容实战又不缺乏幽默；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课程突出实用性、故事性、新鲜性和幽默性。通过一系列财务管理案例剖析点评，使企业管理人员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快速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掌握一些财务管理先进理念，分析技巧、提高解决问题的能力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9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3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228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B23506C"/>
    <w:multiLevelType w:val="singleLevel"/>
    <w:tmpl w:val="5B23506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24D3AD"/>
    <w:multiLevelType w:val="singleLevel"/>
    <w:tmpl w:val="5B24D3AD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5B24D42B"/>
    <w:multiLevelType w:val="singleLevel"/>
    <w:tmpl w:val="5B24D42B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3996F97"/>
    <w:rsid w:val="09497C15"/>
    <w:rsid w:val="0D29619B"/>
    <w:rsid w:val="120C5579"/>
    <w:rsid w:val="18AA49CE"/>
    <w:rsid w:val="190E2674"/>
    <w:rsid w:val="1CD54CF8"/>
    <w:rsid w:val="1E0846AD"/>
    <w:rsid w:val="1E9513D1"/>
    <w:rsid w:val="24FE1C1A"/>
    <w:rsid w:val="2F20473C"/>
    <w:rsid w:val="359F2EF3"/>
    <w:rsid w:val="3EC641CB"/>
    <w:rsid w:val="41FA4F75"/>
    <w:rsid w:val="4289324C"/>
    <w:rsid w:val="4ABE0178"/>
    <w:rsid w:val="4B9A0D61"/>
    <w:rsid w:val="50E94570"/>
    <w:rsid w:val="526117B6"/>
    <w:rsid w:val="528637C2"/>
    <w:rsid w:val="594A5800"/>
    <w:rsid w:val="63352E4C"/>
    <w:rsid w:val="64CB7612"/>
    <w:rsid w:val="656F550D"/>
    <w:rsid w:val="6AA221E0"/>
    <w:rsid w:val="6FA974C0"/>
    <w:rsid w:val="713E5EB9"/>
    <w:rsid w:val="749B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FollowedHyperlink"/>
    <w:basedOn w:val="6"/>
    <w:unhideWhenUsed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4">
    <w:name w:val="标题 1字符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2018-07-19T06:45:45Z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