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微软雅黑"/>
          <w:b/>
          <w:sz w:val="24"/>
          <w:szCs w:val="30"/>
        </w:rPr>
      </w:pPr>
      <w:r>
        <w:rPr>
          <w:rFonts w:hint="eastAsia" w:ascii="仿宋" w:hAnsi="仿宋" w:eastAsia="微软雅黑"/>
          <w:b/>
          <w:sz w:val="24"/>
          <w:szCs w:val="30"/>
        </w:rPr>
        <w:t>前  言</w:t>
      </w:r>
    </w:p>
    <w:p>
      <w:pPr>
        <w:jc w:val="center"/>
        <w:rPr>
          <w:rFonts w:ascii="仿宋" w:hAnsi="仿宋" w:eastAsia="微软雅黑"/>
          <w:sz w:val="24"/>
          <w:szCs w:val="24"/>
        </w:rPr>
      </w:pPr>
    </w:p>
    <w:p>
      <w:pPr>
        <w:pStyle w:val="14"/>
        <w:numPr>
          <w:ilvl w:val="0"/>
          <w:numId w:val="1"/>
        </w:numPr>
        <w:spacing w:line="360" w:lineRule="auto"/>
        <w:ind w:firstLineChars="0"/>
        <w:rPr>
          <w:rFonts w:ascii="仿宋" w:hAnsi="仿宋" w:eastAsia="微软雅黑"/>
          <w:sz w:val="24"/>
          <w:szCs w:val="24"/>
        </w:rPr>
      </w:pPr>
      <w:r>
        <w:rPr>
          <w:rFonts w:hint="eastAsia" w:ascii="仿宋" w:hAnsi="仿宋" w:eastAsia="微软雅黑"/>
          <w:sz w:val="24"/>
          <w:szCs w:val="24"/>
        </w:rPr>
        <w:t>为今天工作成绩优异而努力学习，为明天事业腾飞培训学习以蓄能！是企业对员工培训的意愿，是学员参加学习培训的动力，亦是蓝草企业孜孜不倦追求的目标。</w:t>
      </w:r>
    </w:p>
    <w:p>
      <w:pPr>
        <w:pStyle w:val="14"/>
        <w:numPr>
          <w:ilvl w:val="0"/>
          <w:numId w:val="1"/>
        </w:numPr>
        <w:spacing w:line="360" w:lineRule="auto"/>
        <w:ind w:firstLineChars="0"/>
        <w:rPr>
          <w:rFonts w:ascii="仿宋" w:hAnsi="仿宋" w:eastAsia="微软雅黑"/>
          <w:sz w:val="24"/>
          <w:szCs w:val="24"/>
        </w:rPr>
      </w:pPr>
      <w:r>
        <w:rPr>
          <w:rFonts w:hint="eastAsia" w:ascii="仿宋" w:hAnsi="仿宋" w:eastAsia="微软雅黑"/>
          <w:sz w:val="24"/>
          <w:szCs w:val="24"/>
        </w:rPr>
        <w:t>蓝草企业提供的训练培训课程以</w:t>
      </w:r>
      <w:r>
        <w:rPr>
          <w:rFonts w:hint="eastAsia" w:ascii="仿宋" w:hAnsi="仿宋" w:eastAsia="微软雅黑" w:cs="微软雅黑"/>
          <w:bCs/>
          <w:color w:val="000000"/>
          <w:sz w:val="24"/>
          <w:szCs w:val="24"/>
        </w:rPr>
        <w:t>满足初级、中级、中高级的学员（含企业采购标的），</w:t>
      </w:r>
      <w:r>
        <w:rPr>
          <w:rFonts w:hint="eastAsia" w:ascii="仿宋" w:hAnsi="仿宋" w:eastAsia="微软雅黑" w:cs="微软雅黑"/>
          <w:bCs/>
          <w:color w:val="0070C0"/>
          <w:sz w:val="24"/>
          <w:szCs w:val="24"/>
        </w:rPr>
        <w:t>通过蓝草企业精心准备的课程，学习达成当前岗位知识与技能；晋升岗位所需知识与技能； 蓝草企业课程注意突出实战性、技能型领域的应用型课程；特别关注新技术、新渠道、新知识创新型知识课程。</w:t>
      </w:r>
    </w:p>
    <w:p>
      <w:pPr>
        <w:pStyle w:val="14"/>
        <w:numPr>
          <w:ilvl w:val="0"/>
          <w:numId w:val="2"/>
        </w:numPr>
        <w:spacing w:line="360" w:lineRule="auto"/>
        <w:ind w:firstLineChars="0"/>
        <w:rPr>
          <w:rFonts w:ascii="仿宋" w:hAnsi="仿宋" w:eastAsia="微软雅黑" w:cs="微软雅黑"/>
          <w:b/>
          <w:bCs/>
          <w:color w:val="0070C0"/>
          <w:sz w:val="24"/>
          <w:szCs w:val="24"/>
        </w:rPr>
      </w:pPr>
      <w:r>
        <w:rPr>
          <w:rFonts w:hint="eastAsia" w:ascii="仿宋" w:hAnsi="仿宋" w:eastAsia="微软雅黑" w:cs="微软雅黑"/>
          <w:bCs/>
          <w:sz w:val="24"/>
          <w:szCs w:val="24"/>
        </w:rPr>
        <w:t>蓝草企业坚定认为，卓越的训练培训是获得知识的绝佳路径，但也应是学员快乐的旅程，</w:t>
      </w:r>
      <w:r>
        <w:rPr>
          <w:rFonts w:hint="eastAsia" w:ascii="仿宋" w:hAnsi="仿宋" w:eastAsia="微软雅黑" w:cs="微软雅黑"/>
          <w:b/>
          <w:bCs/>
          <w:color w:val="0070C0"/>
          <w:sz w:val="24"/>
          <w:szCs w:val="24"/>
        </w:rPr>
        <w:t>蓝草企业的口号是：为快乐而培训 为培训更快乐！</w:t>
      </w:r>
    </w:p>
    <w:p>
      <w:pPr>
        <w:pStyle w:val="14"/>
        <w:numPr>
          <w:ilvl w:val="0"/>
          <w:numId w:val="2"/>
        </w:numPr>
        <w:spacing w:line="360" w:lineRule="auto"/>
        <w:ind w:firstLineChars="0"/>
        <w:rPr>
          <w:rFonts w:ascii="仿宋" w:hAnsi="仿宋" w:eastAsia="微软雅黑"/>
          <w:sz w:val="24"/>
          <w:szCs w:val="24"/>
        </w:rPr>
      </w:pPr>
      <w:r>
        <w:rPr>
          <w:rFonts w:hint="eastAsia" w:ascii="仿宋" w:hAnsi="仿宋" w:eastAsia="微软雅黑"/>
          <w:sz w:val="24"/>
          <w:szCs w:val="24"/>
        </w:rPr>
        <w:t>蓝草企业为实现上述目标，为培训机构、培训学员提供了多种形式的优惠和增值快乐的政策和手段，恭请致电13601837936，了解详情。</w:t>
      </w:r>
    </w:p>
    <w:p>
      <w:pPr>
        <w:pStyle w:val="14"/>
        <w:numPr>
          <w:ilvl w:val="0"/>
          <w:numId w:val="2"/>
        </w:numPr>
        <w:spacing w:line="360" w:lineRule="auto"/>
        <w:ind w:firstLineChars="0"/>
        <w:rPr>
          <w:rFonts w:ascii="仿宋" w:hAnsi="仿宋" w:eastAsia="微软雅黑"/>
          <w:sz w:val="24"/>
          <w:szCs w:val="24"/>
        </w:rPr>
      </w:pPr>
      <w:r>
        <w:rPr>
          <w:rFonts w:ascii="仿宋" w:hAnsi="仿宋" w:eastAsia="微软雅黑" w:cs="Times New Roman"/>
          <w:kern w:val="2"/>
          <w:sz w:val="24"/>
          <w:szCs w:val="24"/>
          <w:lang w:val="en-US" w:eastAsia="zh-CN" w:bidi="ar-SA"/>
        </w:rPr>
        <w:pict>
          <v:shape id="_x0000_i1025" o:spt="75" type="#_x0000_t75" style="height:139.7pt;width:372pt;" fillcolor="#FFFFFF" filled="f" o:preferrelative="t" stroked="f" coordsize="21600,21600">
            <v:path/>
            <v:fill on="f" color2="#FFFFFF" focussize="0,0"/>
            <v:stroke on="f"/>
            <v:imagedata r:id="rId6" gain="65536f" blacklevel="0f" gamma="0" o:title="双创"/>
            <o:lock v:ext="edit" position="f" selection="f" grouping="f" rotation="f" cropping="f" text="f" aspectratio="t"/>
            <w10:wrap type="none"/>
            <w10:anchorlock/>
          </v:shape>
        </w:pic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lang w:val="en-US" w:eastAsia="zh-CN"/>
        </w:rPr>
        <w:t>2</w:t>
      </w:r>
      <w:bookmarkStart w:id="0" w:name="_GoBack"/>
      <w:bookmarkEnd w:id="0"/>
      <w:r>
        <w:rPr>
          <w:rFonts w:hint="eastAsia" w:ascii="宋体" w:hAnsi="宋体" w:eastAsia="微软雅黑"/>
          <w:b/>
          <w:sz w:val="24"/>
          <w:szCs w:val="32"/>
        </w:rPr>
        <w:t>018年蓝草企业特别为学员终端客户推出“快乐Plus大礼包”政策（适用范围）</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1.2人以上（含2人）同时报名，享受实际报价的90%。</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2.5人以上（含5人）同时报名，享受实际报价的80%。</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 xml:space="preserve">3.学员学习期间可以得到“快乐培训增值礼” </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报名学习蓝草企业的培训等学员可以申请免费成为“蓝草club”会员，会员可以免费参加（某些活动只收取成本费用）蓝草club定期不定期举办活动，如联谊会、读书会、品鉴会等。</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报名学习蓝草企业培训的学员可以自愿参加蓝草企业“蓝草朋友圈”，分享来自全国各地、多行业多领域的多方面资源，感受朋友们的成功快乐。</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 xml:space="preserve">培训成绩合格的学员获颁培训结业证书，某些课程可以获得国内知名大学颁发的证书（学员承担成本费用） </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成为“蓝草club”会员的学员，报名参加另外蓝草举办的培训课程的，可以享受该培训课程9折优惠。</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4.学员学习期间可以得到“快乐Plus大礼包”</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免费中午营养午餐</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可获课件（PDF版）及教材</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培训期间学习态度认真的，并表现优异可有机会获得奖学金</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来临授课城市外地学员，享受当地旅游观光费用补贴（价值100元）</w:t>
      </w:r>
    </w:p>
    <w:p>
      <w:pPr>
        <w:spacing w:line="360" w:lineRule="auto"/>
        <w:ind w:left="420" w:leftChars="200"/>
        <w:rPr>
          <w:rFonts w:hint="eastAsia" w:ascii="宋体" w:hAnsi="宋体" w:eastAsia="微软雅黑"/>
          <w:b/>
          <w:sz w:val="24"/>
          <w:szCs w:val="32"/>
        </w:rPr>
      </w:pP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蓝草企业：为快乐培训 为培训更快乐！</w:t>
      </w: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未尽事宜，恭请致电13601837936，了解详情。</w:t>
      </w:r>
    </w:p>
    <w:p>
      <w:pPr>
        <w:spacing w:line="360" w:lineRule="auto"/>
        <w:ind w:left="420" w:leftChars="200"/>
        <w:rPr>
          <w:rFonts w:hint="eastAsia" w:ascii="宋体" w:hAnsi="宋体" w:eastAsia="微软雅黑"/>
          <w:b/>
          <w:sz w:val="24"/>
          <w:szCs w:val="32"/>
        </w:rPr>
      </w:pPr>
    </w:p>
    <w:p>
      <w:pPr>
        <w:spacing w:line="360" w:lineRule="auto"/>
        <w:ind w:left="420" w:leftChars="200"/>
        <w:rPr>
          <w:rFonts w:hint="eastAsia" w:ascii="宋体" w:hAnsi="宋体" w:eastAsia="微软雅黑"/>
          <w:b/>
          <w:sz w:val="24"/>
          <w:szCs w:val="32"/>
        </w:rPr>
      </w:pPr>
      <w:r>
        <w:rPr>
          <w:rFonts w:hint="eastAsia" w:ascii="宋体" w:hAnsi="宋体" w:eastAsia="微软雅黑"/>
          <w:b/>
          <w:sz w:val="24"/>
          <w:szCs w:val="32"/>
        </w:rPr>
        <w:t xml:space="preserve">                   </w:t>
      </w:r>
    </w:p>
    <w:p>
      <w:pPr>
        <w:spacing w:line="360" w:lineRule="auto"/>
        <w:ind w:left="420" w:leftChars="200"/>
        <w:rPr>
          <w:rFonts w:ascii="宋体" w:hAnsi="宋体" w:eastAsia="微软雅黑"/>
          <w:b/>
          <w:sz w:val="24"/>
          <w:szCs w:val="32"/>
        </w:rPr>
      </w:pPr>
    </w:p>
    <w:p>
      <w:pPr>
        <w:spacing w:line="360" w:lineRule="auto"/>
        <w:rPr>
          <w:rFonts w:ascii="宋体" w:hAnsi="宋体" w:eastAsia="微软雅黑"/>
          <w:bCs/>
          <w:sz w:val="24"/>
          <w:szCs w:val="32"/>
        </w:rPr>
      </w:pPr>
      <w:r>
        <w:rPr>
          <w:rFonts w:hint="eastAsia" w:ascii="宋体" w:hAnsi="宋体" w:eastAsia="微软雅黑"/>
          <w:b/>
          <w:sz w:val="24"/>
          <w:szCs w:val="32"/>
        </w:rPr>
        <w:t>培训受众：</w:t>
      </w:r>
      <w:r>
        <w:rPr>
          <w:rFonts w:hint="eastAsia" w:ascii="宋体" w:hAnsi="宋体" w:eastAsia="微软雅黑"/>
          <w:bCs/>
          <w:sz w:val="24"/>
          <w:szCs w:val="32"/>
        </w:rPr>
        <w:t>双创企业总经理、营销总经理、营销总监、市场部销售部主管、设计部总监、双创团队核心人员、创客团队，传统企业转型成立的新型创业公、.适合银行、孵化器、高新产业园等机构为创业企业提供创业辅导课程时采用、适合创业企业的合伙人、高管学习。</w:t>
      </w:r>
    </w:p>
    <w:p>
      <w:pPr>
        <w:pStyle w:val="6"/>
        <w:spacing w:before="0" w:beforeAutospacing="0" w:after="0" w:afterAutospacing="0" w:line="460" w:lineRule="exact"/>
        <w:rPr>
          <w:rFonts w:ascii="微软雅黑" w:hAnsi="微软雅黑" w:eastAsia="微软雅黑"/>
        </w:rPr>
      </w:pPr>
      <w:r>
        <w:rPr>
          <w:rFonts w:hint="eastAsia" w:eastAsia="微软雅黑"/>
          <w:b/>
          <w:szCs w:val="32"/>
        </w:rPr>
        <w:t>课程价值：</w:t>
      </w:r>
      <w:r>
        <w:rPr>
          <w:rFonts w:hint="eastAsia" w:eastAsia="微软雅黑"/>
          <w:bCs/>
          <w:szCs w:val="32"/>
        </w:rPr>
        <w:t>国家的双创活动向深度发展，各个主要城市都成立了创业辅导中心，很多大企业在内部也鼓励创业。这次创业与上次80年代的下海创业潮有极大的不同，需要有与这批年轻的、学历比较高的创业者匹配的创业课程。</w:t>
      </w:r>
      <w:r>
        <w:rPr>
          <w:rFonts w:ascii="微软雅黑" w:hAnsi="微软雅黑" w:eastAsia="微软雅黑"/>
        </w:rPr>
        <w:t>这些创业公司的现实问题，不是如何成为老大，而是如何活下去，逐步发展。这门课就是根据这个逻辑研发的</w:t>
      </w:r>
      <w:r>
        <w:rPr>
          <w:rFonts w:hint="eastAsia" w:ascii="微软雅黑" w:hAnsi="微软雅黑" w:eastAsia="微软雅黑"/>
        </w:rPr>
        <w:t>，</w:t>
      </w:r>
      <w:r>
        <w:rPr>
          <w:rFonts w:ascii="微软雅黑" w:hAnsi="微软雅黑" w:eastAsia="微软雅黑"/>
        </w:rPr>
        <w:t>以最大程度地激发</w:t>
      </w:r>
      <w:r>
        <w:rPr>
          <w:rFonts w:hint="eastAsia" w:ascii="微软雅黑" w:hAnsi="微软雅黑" w:eastAsia="微软雅黑"/>
        </w:rPr>
        <w:t>创新</w:t>
      </w:r>
      <w:r>
        <w:rPr>
          <w:rFonts w:ascii="微软雅黑" w:hAnsi="微软雅黑" w:eastAsia="微软雅黑"/>
        </w:rPr>
        <w:t>创业者的参与积极性。</w:t>
      </w:r>
    </w:p>
    <w:p>
      <w:pPr>
        <w:pStyle w:val="6"/>
        <w:spacing w:before="0" w:beforeAutospacing="0" w:after="0" w:afterAutospacing="0" w:line="460" w:lineRule="exact"/>
        <w:rPr>
          <w:rFonts w:ascii="微软雅黑" w:hAnsi="微软雅黑" w:eastAsia="微软雅黑"/>
        </w:rPr>
      </w:pPr>
      <w:r>
        <w:rPr>
          <w:rFonts w:hint="eastAsia" w:ascii="微软雅黑" w:hAnsi="微软雅黑" w:eastAsia="微软雅黑"/>
          <w:b/>
          <w:bCs/>
        </w:rPr>
        <w:t>课程特点：</w:t>
      </w:r>
    </w:p>
    <w:p>
      <w:pPr>
        <w:pStyle w:val="6"/>
        <w:spacing w:before="0" w:beforeAutospacing="0" w:after="0" w:afterAutospacing="0" w:line="460" w:lineRule="exact"/>
        <w:rPr>
          <w:rFonts w:ascii="微软雅黑" w:hAnsi="微软雅黑" w:eastAsia="微软雅黑"/>
        </w:rPr>
      </w:pPr>
      <w:r>
        <w:rPr>
          <w:rFonts w:hint="eastAsia" w:ascii="微软雅黑" w:hAnsi="微软雅黑" w:eastAsia="微软雅黑"/>
        </w:rPr>
        <w:t>实战性：任课老师都有多年创业经验，多年管理经验；课程以最新的案例为主。</w:t>
      </w:r>
    </w:p>
    <w:p>
      <w:pPr>
        <w:pStyle w:val="6"/>
        <w:spacing w:before="0" w:beforeAutospacing="0" w:after="0" w:afterAutospacing="0" w:line="460" w:lineRule="exact"/>
        <w:rPr>
          <w:rFonts w:ascii="微软雅黑" w:hAnsi="微软雅黑" w:eastAsia="微软雅黑"/>
        </w:rPr>
      </w:pPr>
      <w:r>
        <w:rPr>
          <w:rFonts w:hint="eastAsia" w:ascii="微软雅黑" w:hAnsi="微软雅黑" w:eastAsia="微软雅黑"/>
        </w:rPr>
        <w:t>服务性：为上课企业学员提供财务、上市前期辅导、法律、融资咨询服务。</w:t>
      </w:r>
    </w:p>
    <w:p>
      <w:pPr>
        <w:spacing w:line="360" w:lineRule="auto"/>
        <w:rPr>
          <w:rFonts w:ascii="宋体" w:hAnsi="宋体" w:eastAsia="微软雅黑"/>
          <w:b/>
          <w:sz w:val="24"/>
          <w:szCs w:val="32"/>
        </w:rPr>
      </w:pPr>
    </w:p>
    <w:p>
      <w:pPr>
        <w:spacing w:line="360" w:lineRule="auto"/>
        <w:rPr>
          <w:rFonts w:ascii="宋体" w:hAnsi="宋体" w:eastAsia="微软雅黑"/>
          <w:b/>
          <w:sz w:val="24"/>
          <w:szCs w:val="32"/>
        </w:rPr>
      </w:pPr>
      <w:r>
        <w:rPr>
          <w:rFonts w:hint="eastAsia" w:ascii="宋体" w:hAnsi="宋体" w:eastAsia="微软雅黑"/>
          <w:b/>
          <w:sz w:val="24"/>
          <w:szCs w:val="32"/>
        </w:rPr>
        <w:t>课程大纲：</w:t>
      </w:r>
    </w:p>
    <w:p>
      <w:pPr>
        <w:spacing w:line="360" w:lineRule="auto"/>
        <w:rPr>
          <w:rFonts w:ascii="宋体" w:hAnsi="宋体" w:eastAsia="微软雅黑"/>
          <w:b/>
          <w:sz w:val="24"/>
          <w:szCs w:val="32"/>
        </w:rPr>
      </w:pPr>
      <w:r>
        <w:rPr>
          <w:rFonts w:hint="eastAsia" w:ascii="宋体" w:hAnsi="宋体" w:eastAsia="微软雅黑"/>
          <w:b/>
          <w:sz w:val="24"/>
          <w:szCs w:val="32"/>
        </w:rPr>
        <w:t>第一部分：创新创业企业运营管理</w:t>
      </w:r>
    </w:p>
    <w:p>
      <w:pPr>
        <w:spacing w:line="360" w:lineRule="auto"/>
        <w:rPr>
          <w:rFonts w:ascii="宋体" w:hAnsi="宋体" w:eastAsia="微软雅黑"/>
          <w:b/>
          <w:sz w:val="24"/>
          <w:szCs w:val="32"/>
        </w:rPr>
      </w:pPr>
      <w:r>
        <w:rPr>
          <w:rFonts w:hint="eastAsia" w:ascii="宋体" w:hAnsi="宋体" w:eastAsia="微软雅黑"/>
          <w:b/>
          <w:sz w:val="24"/>
          <w:szCs w:val="32"/>
        </w:rPr>
        <w:t>第二部分：创业团队管理及风险防范</w:t>
      </w:r>
    </w:p>
    <w:p>
      <w:pPr>
        <w:spacing w:line="360" w:lineRule="auto"/>
        <w:rPr>
          <w:rFonts w:ascii="宋体" w:hAnsi="宋体" w:eastAsia="微软雅黑"/>
          <w:b/>
          <w:sz w:val="24"/>
          <w:szCs w:val="32"/>
        </w:rPr>
      </w:pPr>
      <w:r>
        <w:rPr>
          <w:rFonts w:hint="eastAsia" w:ascii="宋体" w:hAnsi="宋体" w:eastAsia="微软雅黑"/>
          <w:b/>
          <w:sz w:val="24"/>
          <w:szCs w:val="32"/>
        </w:rPr>
        <w:t>第三部分：初创企业股权设置</w:t>
      </w:r>
    </w:p>
    <w:p>
      <w:pPr>
        <w:spacing w:line="360" w:lineRule="auto"/>
        <w:rPr>
          <w:rFonts w:ascii="宋体" w:hAnsi="宋体" w:eastAsia="微软雅黑"/>
          <w:b/>
          <w:sz w:val="24"/>
          <w:szCs w:val="32"/>
        </w:rPr>
      </w:pPr>
      <w:r>
        <w:rPr>
          <w:rFonts w:hint="eastAsia" w:ascii="宋体" w:hAnsi="宋体" w:eastAsia="微软雅黑"/>
          <w:b/>
          <w:sz w:val="24"/>
          <w:szCs w:val="32"/>
        </w:rPr>
        <w:t>第四部分：双创企业的融资策略、如何路演、如何写商业计划书</w:t>
      </w:r>
    </w:p>
    <w:p>
      <w:pPr>
        <w:spacing w:line="360" w:lineRule="auto"/>
        <w:ind w:left="420" w:leftChars="200"/>
        <w:rPr>
          <w:rFonts w:ascii="宋体" w:hAnsi="宋体" w:eastAsia="微软雅黑"/>
          <w:b/>
          <w:sz w:val="24"/>
          <w:szCs w:val="32"/>
        </w:rPr>
      </w:pPr>
      <w:r>
        <w:rPr>
          <w:rFonts w:hint="eastAsia" w:ascii="宋体" w:hAnsi="宋体" w:eastAsia="微软雅黑"/>
          <w:b/>
          <w:sz w:val="24"/>
          <w:szCs w:val="32"/>
        </w:rPr>
        <w:t>第一部分：创新创业企业运营管理</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
          <w:color w:val="000000"/>
          <w:kern w:val="0"/>
          <w:sz w:val="24"/>
          <w:szCs w:val="21"/>
        </w:rPr>
        <w:t xml:space="preserve">   </w:t>
      </w:r>
      <w:r>
        <w:rPr>
          <w:rFonts w:hint="eastAsia" w:ascii="仿宋" w:hAnsi="仿宋" w:eastAsia="微软雅黑" w:cs="宋体"/>
          <w:bCs/>
          <w:color w:val="000000"/>
          <w:kern w:val="0"/>
          <w:sz w:val="24"/>
          <w:szCs w:val="21"/>
        </w:rPr>
        <w:t>第一讲、互联网＋与创新</w:t>
      </w:r>
    </w:p>
    <w:p>
      <w:pPr>
        <w:widowControl/>
        <w:numPr>
          <w:ilvl w:val="0"/>
          <w:numId w:val="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互联网环境与PLUS（＋）</w:t>
      </w:r>
    </w:p>
    <w:p>
      <w:pPr>
        <w:widowControl/>
        <w:numPr>
          <w:ilvl w:val="0"/>
          <w:numId w:val="4"/>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互联网环境下企业的机遇与挑战</w:t>
      </w:r>
    </w:p>
    <w:p>
      <w:pPr>
        <w:widowControl/>
        <w:numPr>
          <w:ilvl w:val="0"/>
          <w:numId w:val="4"/>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＋互联网还是互联网＋</w:t>
      </w:r>
    </w:p>
    <w:p>
      <w:pPr>
        <w:widowControl/>
        <w:numPr>
          <w:ilvl w:val="0"/>
          <w:numId w:val="4"/>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互联网＋就是开辟电商渠道吗？</w:t>
      </w:r>
    </w:p>
    <w:p>
      <w:pPr>
        <w:widowControl/>
        <w:autoSpaceDE w:val="0"/>
        <w:autoSpaceDN w:val="0"/>
        <w:adjustRightInd w:val="0"/>
        <w:spacing w:line="540" w:lineRule="atLeast"/>
        <w:jc w:val="left"/>
        <w:rPr>
          <w:rFonts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案例分享：互联网＋农业概念下的“淘宝村”</w:t>
      </w:r>
    </w:p>
    <w:p>
      <w:pPr>
        <w:widowControl/>
        <w:numPr>
          <w:ilvl w:val="0"/>
          <w:numId w:val="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创新</w:t>
      </w:r>
    </w:p>
    <w:p>
      <w:pPr>
        <w:widowControl/>
        <w:numPr>
          <w:ilvl w:val="0"/>
          <w:numId w:val="5"/>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创新的核心理念</w:t>
      </w:r>
    </w:p>
    <w:p>
      <w:pPr>
        <w:widowControl/>
        <w:numPr>
          <w:ilvl w:val="0"/>
          <w:numId w:val="5"/>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创新是“前无古人 后无来者”吗？</w:t>
      </w:r>
    </w:p>
    <w:p>
      <w:pPr>
        <w:widowControl/>
        <w:numPr>
          <w:ilvl w:val="0"/>
          <w:numId w:val="5"/>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创新是互联网产生源之一，而互联网带来创新无限</w:t>
      </w:r>
    </w:p>
    <w:p>
      <w:pPr>
        <w:widowControl/>
        <w:numPr>
          <w:ilvl w:val="0"/>
          <w:numId w:val="5"/>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创新者必备六项基本技能</w:t>
      </w:r>
    </w:p>
    <w:p>
      <w:pPr>
        <w:widowControl/>
        <w:autoSpaceDE w:val="0"/>
        <w:autoSpaceDN w:val="0"/>
        <w:adjustRightInd w:val="0"/>
        <w:spacing w:line="540" w:lineRule="atLeast"/>
        <w:jc w:val="left"/>
        <w:rPr>
          <w:rFonts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案例分享： 农业“新四化”、 可口可乐</w:t>
      </w:r>
    </w:p>
    <w:p>
      <w:pPr>
        <w:widowControl/>
        <w:autoSpaceDE w:val="0"/>
        <w:autoSpaceDN w:val="0"/>
        <w:adjustRightInd w:val="0"/>
        <w:spacing w:line="540" w:lineRule="atLeast"/>
        <w:jc w:val="left"/>
        <w:rPr>
          <w:rFonts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课堂练习：请列出10项以上你认为是创新型的企业、产品或服务</w:t>
      </w:r>
    </w:p>
    <w:p>
      <w:pPr>
        <w:widowControl/>
        <w:autoSpaceDE w:val="0"/>
        <w:autoSpaceDN w:val="0"/>
        <w:adjustRightInd w:val="0"/>
        <w:spacing w:line="540" w:lineRule="atLeast"/>
        <w:jc w:val="left"/>
        <w:rPr>
          <w:rFonts w:ascii="仿宋" w:hAnsi="仿宋" w:eastAsia="微软雅黑" w:cs="宋体"/>
          <w:b/>
          <w:color w:val="000000"/>
          <w:kern w:val="0"/>
          <w:sz w:val="24"/>
          <w:szCs w:val="21"/>
        </w:rPr>
      </w:pPr>
      <w:r>
        <w:rPr>
          <w:rFonts w:hint="eastAsia" w:ascii="仿宋" w:hAnsi="仿宋" w:eastAsia="微软雅黑" w:cs="宋体"/>
          <w:b/>
          <w:color w:val="000000"/>
          <w:kern w:val="0"/>
          <w:sz w:val="24"/>
          <w:szCs w:val="21"/>
        </w:rPr>
        <w:t xml:space="preserve">     </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
          <w:color w:val="000000"/>
          <w:kern w:val="0"/>
          <w:sz w:val="24"/>
          <w:szCs w:val="21"/>
        </w:rPr>
        <w:t xml:space="preserve">   </w:t>
      </w:r>
      <w:r>
        <w:rPr>
          <w:rFonts w:hint="eastAsia" w:ascii="仿宋" w:hAnsi="仿宋" w:eastAsia="微软雅黑" w:cs="宋体"/>
          <w:bCs/>
          <w:color w:val="000000"/>
          <w:kern w:val="0"/>
          <w:sz w:val="24"/>
          <w:szCs w:val="21"/>
        </w:rPr>
        <w:t xml:space="preserve"> 第二讲、基于互联网＋的商业模式创新</w:t>
      </w:r>
    </w:p>
    <w:p>
      <w:pPr>
        <w:widowControl/>
        <w:numPr>
          <w:ilvl w:val="0"/>
          <w:numId w:val="6"/>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商业模式在企业经营中的地位</w:t>
      </w:r>
    </w:p>
    <w:p>
      <w:pPr>
        <w:widowControl/>
        <w:numPr>
          <w:ilvl w:val="0"/>
          <w:numId w:val="6"/>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成功的商业模式特征</w:t>
      </w:r>
    </w:p>
    <w:p>
      <w:pPr>
        <w:widowControl/>
        <w:numPr>
          <w:ilvl w:val="0"/>
          <w:numId w:val="7"/>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价值体现</w:t>
      </w:r>
    </w:p>
    <w:p>
      <w:pPr>
        <w:widowControl/>
        <w:numPr>
          <w:ilvl w:val="0"/>
          <w:numId w:val="7"/>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资源和能力</w:t>
      </w:r>
    </w:p>
    <w:p>
      <w:pPr>
        <w:widowControl/>
        <w:numPr>
          <w:ilvl w:val="0"/>
          <w:numId w:val="7"/>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盈利的获得能力</w:t>
      </w:r>
    </w:p>
    <w:p>
      <w:pPr>
        <w:widowControl/>
        <w:numPr>
          <w:ilvl w:val="0"/>
          <w:numId w:val="6"/>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商业模式如何创新（分析模型）</w:t>
      </w:r>
    </w:p>
    <w:p>
      <w:pPr>
        <w:widowControl/>
        <w:numPr>
          <w:ilvl w:val="0"/>
          <w:numId w:val="8"/>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企业资源分析</w:t>
      </w:r>
    </w:p>
    <w:p>
      <w:pPr>
        <w:widowControl/>
        <w:numPr>
          <w:ilvl w:val="0"/>
          <w:numId w:val="8"/>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企业的产品和服务分析</w:t>
      </w:r>
    </w:p>
    <w:p>
      <w:pPr>
        <w:widowControl/>
        <w:numPr>
          <w:ilvl w:val="0"/>
          <w:numId w:val="8"/>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客户分析</w:t>
      </w:r>
    </w:p>
    <w:p>
      <w:pPr>
        <w:widowControl/>
        <w:numPr>
          <w:ilvl w:val="0"/>
          <w:numId w:val="8"/>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企业成本管理能力分析</w:t>
      </w:r>
    </w:p>
    <w:p>
      <w:pPr>
        <w:widowControl/>
        <w:numPr>
          <w:ilvl w:val="0"/>
          <w:numId w:val="6"/>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商业模式设计工具－商业模式画布</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描绘核心资源</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描绘细分客户</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描绘价值主张</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描绘关键业务</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描绘合作伙伴</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描绘渠道通路</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描绘客户关系</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描绘收入情况</w:t>
      </w:r>
    </w:p>
    <w:p>
      <w:pPr>
        <w:widowControl/>
        <w:numPr>
          <w:ilvl w:val="0"/>
          <w:numId w:val="9"/>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描绘成本结构</w:t>
      </w:r>
    </w:p>
    <w:p>
      <w:pPr>
        <w:widowControl/>
        <w:autoSpaceDE w:val="0"/>
        <w:autoSpaceDN w:val="0"/>
        <w:adjustRightInd w:val="0"/>
        <w:spacing w:line="540" w:lineRule="atLeast"/>
        <w:ind w:left="1189"/>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案例分享：新农哥</w:t>
      </w:r>
    </w:p>
    <w:p>
      <w:pPr>
        <w:widowControl/>
        <w:autoSpaceDE w:val="0"/>
        <w:autoSpaceDN w:val="0"/>
        <w:adjustRightInd w:val="0"/>
        <w:spacing w:line="540" w:lineRule="atLeast"/>
        <w:ind w:left="1189"/>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课堂练习：</w:t>
      </w:r>
    </w:p>
    <w:p>
      <w:pPr>
        <w:widowControl/>
        <w:autoSpaceDE w:val="0"/>
        <w:autoSpaceDN w:val="0"/>
        <w:adjustRightInd w:val="0"/>
        <w:spacing w:line="540" w:lineRule="atLeast"/>
        <w:ind w:left="1189"/>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成立一家新公司，用商业模式画布的方法设计该公司的商业模式（90分钟）</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color w:val="000000"/>
          <w:kern w:val="0"/>
          <w:sz w:val="24"/>
          <w:szCs w:val="21"/>
        </w:rPr>
        <w:t xml:space="preserve">   </w:t>
      </w:r>
      <w:r>
        <w:rPr>
          <w:rFonts w:hint="eastAsia" w:ascii="仿宋" w:hAnsi="仿宋" w:eastAsia="微软雅黑" w:cs="宋体"/>
          <w:b/>
          <w:color w:val="000000"/>
          <w:kern w:val="0"/>
          <w:sz w:val="24"/>
          <w:szCs w:val="21"/>
        </w:rPr>
        <w:t xml:space="preserve">   </w:t>
      </w:r>
      <w:r>
        <w:rPr>
          <w:rFonts w:hint="eastAsia" w:ascii="仿宋" w:hAnsi="仿宋" w:eastAsia="微软雅黑" w:cs="宋体"/>
          <w:bCs/>
          <w:color w:val="000000"/>
          <w:kern w:val="0"/>
          <w:sz w:val="24"/>
          <w:szCs w:val="21"/>
        </w:rPr>
        <w:t xml:space="preserve"> 第三讲、基于互联网＋的运营管理创新</w:t>
      </w:r>
    </w:p>
    <w:p>
      <w:pPr>
        <w:widowControl/>
        <w:numPr>
          <w:ilvl w:val="0"/>
          <w:numId w:val="10"/>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传统管理模式下运营管理</w:t>
      </w:r>
    </w:p>
    <w:p>
      <w:pPr>
        <w:widowControl/>
        <w:numPr>
          <w:ilvl w:val="0"/>
          <w:numId w:val="11"/>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传统模式下的运营管理涵义</w:t>
      </w:r>
    </w:p>
    <w:p>
      <w:pPr>
        <w:widowControl/>
        <w:numPr>
          <w:ilvl w:val="0"/>
          <w:numId w:val="11"/>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在互联网时代为什么传统运营模式必须突破</w:t>
      </w:r>
    </w:p>
    <w:p>
      <w:pPr>
        <w:widowControl/>
        <w:numPr>
          <w:ilvl w:val="0"/>
          <w:numId w:val="10"/>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互联网时代运营管理创新的技术保障</w:t>
      </w:r>
    </w:p>
    <w:p>
      <w:pPr>
        <w:widowControl/>
        <w:numPr>
          <w:ilvl w:val="0"/>
          <w:numId w:val="12"/>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计算机技术</w:t>
      </w:r>
    </w:p>
    <w:p>
      <w:pPr>
        <w:widowControl/>
        <w:numPr>
          <w:ilvl w:val="0"/>
          <w:numId w:val="12"/>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大数据与云计算</w:t>
      </w:r>
    </w:p>
    <w:p>
      <w:pPr>
        <w:widowControl/>
        <w:numPr>
          <w:ilvl w:val="0"/>
          <w:numId w:val="12"/>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移动互联网</w:t>
      </w:r>
    </w:p>
    <w:p>
      <w:pPr>
        <w:widowControl/>
        <w:numPr>
          <w:ilvl w:val="0"/>
          <w:numId w:val="10"/>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企业的互联网运营（公司或部门）管理创新实践</w:t>
      </w:r>
    </w:p>
    <w:p>
      <w:pPr>
        <w:widowControl/>
        <w:numPr>
          <w:ilvl w:val="0"/>
          <w:numId w:val="1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考核目标</w:t>
      </w:r>
    </w:p>
    <w:p>
      <w:pPr>
        <w:widowControl/>
        <w:numPr>
          <w:ilvl w:val="0"/>
          <w:numId w:val="1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运营管理职能设计</w:t>
      </w:r>
    </w:p>
    <w:p>
      <w:pPr>
        <w:widowControl/>
        <w:numPr>
          <w:ilvl w:val="0"/>
          <w:numId w:val="1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运营管理人员基本技能和创新思维</w:t>
      </w:r>
    </w:p>
    <w:p>
      <w:pPr>
        <w:widowControl/>
        <w:numPr>
          <w:ilvl w:val="0"/>
          <w:numId w:val="1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基于互联网＋下的供应链管理创新</w:t>
      </w:r>
    </w:p>
    <w:p>
      <w:pPr>
        <w:widowControl/>
        <w:numPr>
          <w:ilvl w:val="0"/>
          <w:numId w:val="13"/>
        </w:numPr>
        <w:autoSpaceDE w:val="0"/>
        <w:autoSpaceDN w:val="0"/>
        <w:adjustRightInd w:val="0"/>
        <w:spacing w:line="540" w:lineRule="atLeast"/>
        <w:jc w:val="left"/>
        <w:rPr>
          <w:rFonts w:ascii="仿宋" w:hAnsi="仿宋" w:eastAsia="微软雅黑" w:cs="宋体"/>
          <w:color w:val="000000"/>
          <w:kern w:val="0"/>
          <w:sz w:val="24"/>
          <w:szCs w:val="21"/>
        </w:rPr>
      </w:pPr>
      <w:r>
        <w:rPr>
          <w:rFonts w:hint="eastAsia" w:ascii="仿宋" w:hAnsi="仿宋" w:eastAsia="微软雅黑" w:cs="宋体"/>
          <w:color w:val="000000"/>
          <w:kern w:val="0"/>
          <w:sz w:val="24"/>
          <w:szCs w:val="21"/>
        </w:rPr>
        <w:t>差异化服务模式创新</w:t>
      </w:r>
    </w:p>
    <w:p>
      <w:pPr>
        <w:widowControl/>
        <w:autoSpaceDE w:val="0"/>
        <w:autoSpaceDN w:val="0"/>
        <w:adjustRightInd w:val="0"/>
        <w:spacing w:line="540" w:lineRule="atLeast"/>
        <w:ind w:left="1680"/>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 xml:space="preserve">案例分享：易果生鲜电商企业  </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 xml:space="preserve">       第四讲、课程总结</w:t>
      </w:r>
    </w:p>
    <w:p>
      <w:pPr>
        <w:widowControl/>
        <w:autoSpaceDE w:val="0"/>
        <w:autoSpaceDN w:val="0"/>
        <w:adjustRightInd w:val="0"/>
        <w:spacing w:line="540" w:lineRule="atLeast"/>
        <w:jc w:val="left"/>
        <w:rPr>
          <w:rFonts w:ascii="仿宋" w:hAnsi="仿宋" w:eastAsia="微软雅黑" w:cs="宋体"/>
          <w:b/>
          <w:color w:val="000000"/>
          <w:kern w:val="0"/>
          <w:sz w:val="24"/>
          <w:szCs w:val="21"/>
        </w:rPr>
      </w:pPr>
      <w:r>
        <w:rPr>
          <w:rFonts w:hint="eastAsia" w:ascii="仿宋" w:hAnsi="仿宋" w:eastAsia="微软雅黑" w:cs="宋体"/>
          <w:b/>
          <w:color w:val="000000"/>
          <w:kern w:val="0"/>
          <w:sz w:val="24"/>
          <w:szCs w:val="21"/>
        </w:rPr>
        <w:t>第二部分：创新创业公司股权设计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第一讲  总体认知</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一、 公司顶层设计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如何看待失败与成功案例</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马云】的“湖畔合伙人”掌控阿里巴巴——控制董事会是掌控上市公司的最直接的方法，湖畔合伙人的设计基础核心是美国上市的灵活性，将董事会席位设计成两条线选出，使得马云的“合伙人体系”成为新型的权利机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2）【百度李彦宏】的牛卡计划“AB股”）——作为有着30年历史经验控制权结构牛卡计划一直被美国科技公司所青睐，著名的FACEBOOK等大牌互联网上市公司也都惯用这类结构。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3）当年的【真功夫】内耗——作为典型的中国市家族起家发展的民营企业，发展到现在的状况是非常不易的，可惜因为中国式的“硬伤“使得它的核心领袖人物成为牺牲品。</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4）【西少爷】当年的融资分歧——虽然在经历过此次分裂风波后的西少爷依然能继续发展，但当年的教训也成为一个在股权融资领域的学习典型，了解它的过程，对大多数创业合伙人而言，是非常值得借鉴的。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有限责任的精妙</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1）对外责任</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【案例推演】</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A是一家创业公在对外承担责任、股权投融资、利润分配等最常规最典型的一系列问题上，注册资本是100万还是1000万，竟然引发了天翻地覆的变化。通过本次演练，使大家深入了解了公司的基本精髓——有限责任。</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2）刺穿法人面纱</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 注册资本设定</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1）案例分析与演变</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案例之股东责任的理解</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案例之投资人与股东的分配</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案例之股权价值</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 有限公司与股份公司的区别</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【图表对比】清晰的看出两种组织形式对创业项目的根本影响。</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二、如何搭建合伙人股权</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知名企业早期股权结构分析</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1）【苹果】的三分天下埋下乔布斯的出局十年</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2）【华为】也有平均分的败笔</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3）【腾讯】的看不懂到恍然大悟</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4）【小米】的绝对优势</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5）【新东方】的早期经典</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股权结构搭建原则</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 合伙人如何分配股权</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1）人、钱、意的贡献度</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2）总分结合与估值次序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3）避开愚型的操作</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 合伙人如何与种子投资人组建公司</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5. 出现“股比倒置”硬伤后如何重构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某创业者与种子投资人共同设立一家公司，其中，资金全部由投资人出资，创业者技术入股，并全盘设计和管理该公司，占比为各50%。此后，项目发展不错，有望引入天使投资，但天使投资人希望这样的股权结构能得到优化，特别是创业者持股比例过低，对后续股权融资造成障碍。</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如何才能说服早期投资人退让股份但又不损害其利益？有哪些方法和建议？</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第二讲  股权投资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三、股权投资对股权的稀释</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资本的引入</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投资协议核心条款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1）增资条款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2）股权成熟条款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3）清算优先权条款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4）反稀释条款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5）领售、共同出售条款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6）董事会条款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7）对赌条款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【案例分析】俏江南的对赌惊心动魄，外界的评价和现实的意义，是每一位创业者应当明明白白看懂的。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 早期项目估值</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1）估值的本质</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2）估值与评估</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3）估值与项目融资阶段的关系</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 有限合伙妙用</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1）基本用途</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2）如何当GP</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3）口袋LP的作用</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现场演练】创业团队拿出了股权池进行股权激励，但通过有限合伙企业继续持有股权池的表决权，但，这里存在的一个重大法律风险是，GP可能因为过错而导致丧失GP地位，如何才能确保股权池失控呢？通过一次场景化的实例演练，让大家深刻领会有限合伙口袋LP的本质和重大作用。</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四、加盟连锁股权设计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加盟连锁类别</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1）债权模式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2）股权模式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3）内部激励模式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控制力设计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1）债务模式下的控制</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2）股权模式下的控制</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3）内部激励模式下的控制</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3．利益共享模式设计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第三讲  股权激励</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五、创业项目股权激励</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股权激励基础知识</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1）基本激励类型</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2）适合股权激励的阶段</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3）退出的意义</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4）股权激励的双刃剑</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5）技术入股与股权激励</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企业基础价的确定方式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1）净资产法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2）评估值法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3）收益市盈法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4）估值折算法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 行权价格的确定方法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1）平价法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2）折价法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3）送股法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4）溢价法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 回购</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1）回购价格体系</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2）回购价阶梯设计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3）锁定期与解锁后</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4）过错的认定</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5. 期限条款</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6. 循环授予</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7. 持股方式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8. 找到适合自己的方式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9. 知名企业股权激励要点</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【华为】——前无古人、后无来者的虚拟股巅峰</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【万科】——事业合伙人的倡导者</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【腾讯】——上市公司标准激励的典范</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【阿里】——循环授予的精确把握</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【小米】——员工自由选择的妙处</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【绿地】——有限合伙的极致运用</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第四讲  股权众筹</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六、股权众筹</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1. 认识股权众筹</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2. 现行法律对股权众筹的指引</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3. 股权众筹的法律操作</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4. 众筹资本引入方式</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【案例分析】3W咖啡的经典之作</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【案例分析】国内第一例股权众筹</w:t>
      </w:r>
    </w:p>
    <w:p>
      <w:pPr>
        <w:widowControl/>
        <w:autoSpaceDE w:val="0"/>
        <w:autoSpaceDN w:val="0"/>
        <w:adjustRightInd w:val="0"/>
        <w:spacing w:line="540" w:lineRule="atLeast"/>
        <w:jc w:val="left"/>
        <w:rPr>
          <w:rFonts w:ascii="仿宋" w:hAnsi="仿宋" w:eastAsia="微软雅黑" w:cs="宋体"/>
          <w:bCs/>
          <w:color w:val="000000"/>
          <w:kern w:val="0"/>
          <w:sz w:val="24"/>
          <w:szCs w:val="21"/>
        </w:rPr>
      </w:pPr>
      <w:r>
        <w:rPr>
          <w:rFonts w:hint="eastAsia" w:ascii="仿宋" w:hAnsi="仿宋" w:eastAsia="微软雅黑" w:cs="宋体"/>
          <w:bCs/>
          <w:color w:val="000000"/>
          <w:kern w:val="0"/>
          <w:sz w:val="24"/>
          <w:szCs w:val="21"/>
        </w:rPr>
        <w:t>【案例分析】边缘性众筹与法律意义上的股权众筹综合案例分析</w:t>
      </w:r>
    </w:p>
    <w:p>
      <w:pPr>
        <w:rPr>
          <w:rFonts w:ascii="微软雅黑" w:hAnsi="微软雅黑" w:eastAsia="微软雅黑" w:cs="微软雅黑"/>
          <w:b/>
          <w:sz w:val="24"/>
          <w:szCs w:val="24"/>
        </w:rPr>
      </w:pPr>
      <w:r>
        <w:rPr>
          <w:rFonts w:hint="eastAsia" w:ascii="微软雅黑" w:hAnsi="微软雅黑" w:eastAsia="微软雅黑" w:cs="微软雅黑"/>
          <w:b/>
          <w:sz w:val="24"/>
          <w:szCs w:val="24"/>
        </w:rPr>
        <w:t>第三部分：创业企业的团队经营：合伙人、核心人才、技术团队</w:t>
      </w:r>
    </w:p>
    <w:p>
      <w:pPr>
        <w:rPr>
          <w:rFonts w:ascii="微软雅黑" w:hAnsi="微软雅黑" w:eastAsia="微软雅黑" w:cs="微软雅黑"/>
          <w:bCs/>
          <w:sz w:val="24"/>
          <w:szCs w:val="24"/>
        </w:rPr>
      </w:pPr>
      <w:r>
        <w:rPr>
          <w:rFonts w:hint="eastAsia" w:ascii="微软雅黑" w:hAnsi="微软雅黑" w:eastAsia="微软雅黑" w:cs="微软雅黑"/>
          <w:bCs/>
          <w:sz w:val="24"/>
          <w:szCs w:val="24"/>
        </w:rPr>
        <w:t>1.合伙人的选择、分工、股份、激励和退出</w:t>
      </w:r>
    </w:p>
    <w:p>
      <w:pPr>
        <w:rPr>
          <w:rFonts w:ascii="微软雅黑" w:hAnsi="微软雅黑" w:eastAsia="微软雅黑" w:cs="微软雅黑"/>
          <w:bCs/>
          <w:sz w:val="24"/>
          <w:szCs w:val="24"/>
        </w:rPr>
      </w:pPr>
      <w:r>
        <w:rPr>
          <w:rFonts w:hint="eastAsia" w:ascii="微软雅黑" w:hAnsi="微软雅黑" w:eastAsia="微软雅黑" w:cs="微软雅黑"/>
          <w:bCs/>
          <w:sz w:val="24"/>
          <w:szCs w:val="24"/>
        </w:rPr>
        <w:t>2.核心人员吸引、待遇、股份和激励</w:t>
      </w:r>
    </w:p>
    <w:p>
      <w:pPr>
        <w:rPr>
          <w:rFonts w:ascii="微软雅黑" w:hAnsi="微软雅黑" w:eastAsia="微软雅黑" w:cs="微软雅黑"/>
          <w:bCs/>
          <w:sz w:val="24"/>
          <w:szCs w:val="24"/>
        </w:rPr>
      </w:pPr>
      <w:r>
        <w:rPr>
          <w:rFonts w:hint="eastAsia" w:ascii="微软雅黑" w:hAnsi="微软雅黑" w:eastAsia="微软雅黑" w:cs="微软雅黑"/>
          <w:bCs/>
          <w:sz w:val="24"/>
          <w:szCs w:val="24"/>
        </w:rPr>
        <w:t>3.创业企业的技术团队管理要点</w:t>
      </w:r>
    </w:p>
    <w:p>
      <w:pPr>
        <w:rPr>
          <w:rFonts w:ascii="微软雅黑" w:hAnsi="微软雅黑" w:eastAsia="微软雅黑" w:cs="微软雅黑"/>
          <w:bCs/>
          <w:sz w:val="24"/>
          <w:szCs w:val="24"/>
        </w:rPr>
      </w:pPr>
      <w:r>
        <w:rPr>
          <w:rFonts w:hint="eastAsia" w:ascii="微软雅黑" w:hAnsi="微软雅黑" w:eastAsia="微软雅黑" w:cs="微软雅黑"/>
          <w:bCs/>
          <w:sz w:val="24"/>
          <w:szCs w:val="24"/>
        </w:rPr>
        <w:t>4.合伙人的自我认知和创造共识</w:t>
      </w:r>
    </w:p>
    <w:p>
      <w:pPr>
        <w:rPr>
          <w:rFonts w:ascii="宋体" w:hAnsi="宋体" w:eastAsia="微软雅黑"/>
          <w:b/>
          <w:sz w:val="24"/>
          <w:szCs w:val="32"/>
        </w:rPr>
      </w:pPr>
      <w:r>
        <w:rPr>
          <w:rFonts w:hint="eastAsia" w:ascii="微软雅黑" w:hAnsi="微软雅黑" w:eastAsia="微软雅黑" w:cs="微软雅黑"/>
          <w:b/>
          <w:sz w:val="24"/>
          <w:szCs w:val="24"/>
        </w:rPr>
        <w:t>第四部分：</w:t>
      </w:r>
      <w:r>
        <w:rPr>
          <w:rFonts w:hint="eastAsia" w:ascii="宋体" w:hAnsi="宋体" w:eastAsia="微软雅黑"/>
          <w:b/>
          <w:sz w:val="24"/>
          <w:szCs w:val="32"/>
        </w:rPr>
        <w:t>双创企业的融资策略、如何路演、如何写商业计划书</w:t>
      </w:r>
    </w:p>
    <w:p>
      <w:pPr>
        <w:numPr>
          <w:ilvl w:val="0"/>
          <w:numId w:val="14"/>
        </w:numPr>
        <w:rPr>
          <w:rFonts w:ascii="宋体" w:hAnsi="宋体" w:eastAsia="微软雅黑"/>
          <w:bCs/>
          <w:sz w:val="24"/>
          <w:szCs w:val="32"/>
        </w:rPr>
      </w:pPr>
      <w:r>
        <w:rPr>
          <w:rFonts w:hint="eastAsia" w:ascii="宋体" w:hAnsi="宋体" w:eastAsia="微软雅黑"/>
          <w:bCs/>
          <w:sz w:val="24"/>
          <w:szCs w:val="32"/>
        </w:rPr>
        <w:t>双创企业的融资策略及案例分析</w:t>
      </w:r>
    </w:p>
    <w:p>
      <w:pPr>
        <w:numPr>
          <w:ilvl w:val="0"/>
          <w:numId w:val="14"/>
        </w:numPr>
        <w:rPr>
          <w:rFonts w:ascii="宋体" w:hAnsi="宋体" w:eastAsia="微软雅黑"/>
          <w:bCs/>
          <w:sz w:val="24"/>
          <w:szCs w:val="32"/>
        </w:rPr>
      </w:pPr>
      <w:r>
        <w:rPr>
          <w:rFonts w:hint="eastAsia" w:ascii="宋体" w:hAnsi="宋体" w:eastAsia="微软雅黑"/>
          <w:bCs/>
          <w:sz w:val="24"/>
          <w:szCs w:val="32"/>
        </w:rPr>
        <w:t>双创企业如何路演及案例分析</w:t>
      </w:r>
    </w:p>
    <w:p>
      <w:pPr>
        <w:numPr>
          <w:ilvl w:val="0"/>
          <w:numId w:val="14"/>
        </w:numPr>
        <w:rPr>
          <w:rFonts w:ascii="宋体" w:hAnsi="宋体" w:eastAsia="微软雅黑"/>
          <w:bCs/>
          <w:sz w:val="24"/>
          <w:szCs w:val="32"/>
        </w:rPr>
      </w:pPr>
      <w:r>
        <w:rPr>
          <w:rFonts w:hint="eastAsia" w:ascii="宋体" w:hAnsi="宋体" w:eastAsia="微软雅黑"/>
          <w:bCs/>
          <w:sz w:val="24"/>
          <w:szCs w:val="32"/>
        </w:rPr>
        <w:t>双创企业如何写商业计划书</w:t>
      </w:r>
    </w:p>
    <w:p>
      <w:pPr>
        <w:rPr>
          <w:rFonts w:ascii="宋体" w:hAnsi="宋体" w:eastAsia="微软雅黑"/>
          <w:bCs/>
          <w:sz w:val="24"/>
          <w:szCs w:val="32"/>
        </w:rPr>
      </w:pPr>
    </w:p>
    <w:p>
      <w:pPr>
        <w:rPr>
          <w:rFonts w:ascii="宋体" w:hAnsi="宋体" w:eastAsia="微软雅黑"/>
          <w:b/>
          <w:sz w:val="24"/>
          <w:szCs w:val="32"/>
        </w:rPr>
      </w:pPr>
      <w:r>
        <w:rPr>
          <w:rFonts w:hint="eastAsia" w:ascii="宋体" w:hAnsi="宋体" w:eastAsia="微软雅黑"/>
          <w:b/>
          <w:sz w:val="24"/>
          <w:szCs w:val="32"/>
        </w:rPr>
        <w:t>讲师团队</w:t>
      </w:r>
    </w:p>
    <w:p>
      <w:pPr>
        <w:rPr>
          <w:rFonts w:ascii="微软雅黑" w:hAnsi="微软雅黑" w:eastAsia="微软雅黑"/>
          <w:b/>
          <w:sz w:val="28"/>
          <w:szCs w:val="28"/>
        </w:rPr>
      </w:pPr>
      <w:r>
        <w:rPr>
          <w:rFonts w:hint="eastAsia" w:ascii="微软雅黑" w:hAnsi="微软雅黑" w:eastAsia="微软雅黑"/>
          <w:b/>
          <w:sz w:val="28"/>
          <w:szCs w:val="28"/>
        </w:rPr>
        <w:t>双创运营和团队管理老师：</w:t>
      </w:r>
    </w:p>
    <w:p>
      <w:pPr>
        <w:rPr>
          <w:rFonts w:ascii="微软雅黑" w:hAnsi="微软雅黑" w:eastAsia="微软雅黑"/>
          <w:bCs/>
          <w:sz w:val="28"/>
          <w:szCs w:val="28"/>
        </w:rPr>
      </w:pPr>
      <w:r>
        <w:rPr>
          <w:rFonts w:hint="eastAsia" w:ascii="微软雅黑" w:hAnsi="微软雅黑" w:eastAsia="微软雅黑"/>
          <w:bCs/>
          <w:sz w:val="28"/>
          <w:szCs w:val="28"/>
        </w:rPr>
        <w:t>实战型能落地营销/管理专家-张文升讲师介绍</w:t>
      </w:r>
    </w:p>
    <w:p>
      <w:pPr>
        <w:ind w:firstLine="420"/>
        <w:rPr>
          <w:rFonts w:ascii="微软雅黑" w:hAnsi="微软雅黑" w:eastAsia="微软雅黑"/>
          <w:sz w:val="24"/>
          <w:szCs w:val="24"/>
        </w:rPr>
      </w:pPr>
      <w:r>
        <w:rPr>
          <w:rFonts w:hint="eastAsia" w:ascii="微软雅黑" w:hAnsi="微软雅黑" w:eastAsia="微软雅黑"/>
          <w:sz w:val="24"/>
          <w:szCs w:val="24"/>
        </w:rPr>
        <w:t xml:space="preserve">滨江双创联盟理事长；营销新理论“迎销理论”创立者；天津财经大学客座教授；上海蓝草企业管理咨询有限公司首席研究员；北京维沃联合品牌设计顾问有限公司总经理；多家知名企业特聘高级管理顾问；专著《迎销－大数据时代的营销出路》 </w:t>
      </w:r>
    </w:p>
    <w:p>
      <w:pPr>
        <w:rPr>
          <w:rFonts w:ascii="微软雅黑" w:hAnsi="微软雅黑" w:eastAsia="微软雅黑"/>
          <w:sz w:val="24"/>
          <w:szCs w:val="24"/>
        </w:rPr>
      </w:pPr>
      <w:r>
        <w:rPr>
          <w:rFonts w:ascii="微软雅黑" w:hAnsi="微软雅黑" w:eastAsia="微软雅黑"/>
          <w:sz w:val="24"/>
          <w:szCs w:val="24"/>
        </w:rPr>
        <w:t xml:space="preserve">  </w:t>
      </w:r>
      <w:r>
        <w:rPr>
          <w:rFonts w:hint="eastAsia" w:ascii="微软雅黑" w:hAnsi="微软雅黑" w:eastAsia="微软雅黑"/>
          <w:sz w:val="24"/>
          <w:szCs w:val="24"/>
        </w:rPr>
        <w:t xml:space="preserve">  张老师1991年南开大学硕士毕业后在南开大学任教，后进入企业界长期服务于国际国内著名企业集团和上市公司如可口可乐有限公司、华润集团、上海罗莱家用纺织品有限公司（中国家纺领军企业，上市公司）担任总监、常务副总经理、总经理等高级管理职务，在著名外资企业、特大型国有企业、大型民营企业等类型以及海外企业的历练，深刻理解了多种企业类型的运作方略和多元化的企业文化建设战略与策略。张老师多年在企业管理、公司战略规划、市场营销、品牌建设、员工管理、绩效考核、上市公司等等方面有着丰富的实践经验；深刻理解了东西方管理精髓。听张老师上课，可以聆听他的职场经历，分享他的成绩，如何建立可口可乐的多渠道市场；如何让罗莱家纺在市场成为第一的故事；如何让香榭里纺织品成为业界领先者；如何在海外营销及客服经历，干货多多！</w:t>
      </w:r>
    </w:p>
    <w:p>
      <w:pPr>
        <w:rPr>
          <w:rFonts w:ascii="微软雅黑" w:hAnsi="微软雅黑" w:eastAsia="微软雅黑"/>
          <w:sz w:val="24"/>
          <w:szCs w:val="24"/>
        </w:rPr>
      </w:pPr>
      <w:r>
        <w:rPr>
          <w:rFonts w:hint="eastAsia" w:ascii="微软雅黑" w:hAnsi="微软雅黑" w:eastAsia="微软雅黑"/>
          <w:b/>
          <w:sz w:val="24"/>
          <w:szCs w:val="24"/>
        </w:rPr>
        <w:t>擅长领域</w:t>
      </w:r>
      <w:r>
        <w:rPr>
          <w:rFonts w:hint="eastAsia" w:ascii="微软雅黑" w:hAnsi="微软雅黑" w:eastAsia="微软雅黑"/>
          <w:sz w:val="24"/>
          <w:szCs w:val="24"/>
        </w:rPr>
        <w:t>：战略管理</w:t>
      </w:r>
      <w:r>
        <w:rPr>
          <w:rFonts w:ascii="微软雅黑" w:hAnsi="微软雅黑" w:eastAsia="微软雅黑"/>
          <w:sz w:val="24"/>
          <w:szCs w:val="24"/>
        </w:rPr>
        <w:t xml:space="preserve"> </w:t>
      </w:r>
      <w:r>
        <w:rPr>
          <w:rFonts w:hint="eastAsia" w:ascii="微软雅黑" w:hAnsi="微软雅黑" w:eastAsia="微软雅黑"/>
          <w:sz w:val="24"/>
          <w:szCs w:val="24"/>
        </w:rPr>
        <w:t>/领导力系列</w:t>
      </w:r>
      <w:r>
        <w:rPr>
          <w:rFonts w:ascii="微软雅黑" w:hAnsi="微软雅黑" w:eastAsia="微软雅黑"/>
          <w:sz w:val="24"/>
          <w:szCs w:val="24"/>
        </w:rPr>
        <w:t xml:space="preserve"> </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经典营销</w:t>
      </w:r>
      <w:r>
        <w:rPr>
          <w:rFonts w:ascii="微软雅黑" w:hAnsi="微软雅黑" w:eastAsia="微软雅黑"/>
          <w:sz w:val="24"/>
          <w:szCs w:val="24"/>
        </w:rPr>
        <w:t xml:space="preserve"> </w:t>
      </w:r>
      <w:r>
        <w:rPr>
          <w:rFonts w:hint="eastAsia" w:ascii="微软雅黑" w:hAnsi="微软雅黑" w:eastAsia="微软雅黑"/>
          <w:sz w:val="24"/>
          <w:szCs w:val="24"/>
        </w:rPr>
        <w:t>/新营销</w:t>
      </w:r>
      <w:r>
        <w:rPr>
          <w:rFonts w:ascii="微软雅黑" w:hAnsi="微软雅黑" w:eastAsia="微软雅黑"/>
          <w:sz w:val="24"/>
          <w:szCs w:val="24"/>
        </w:rPr>
        <w:t xml:space="preserve"> </w:t>
      </w:r>
      <w:r>
        <w:rPr>
          <w:rFonts w:hint="eastAsia" w:ascii="微软雅黑" w:hAnsi="微软雅黑" w:eastAsia="微软雅黑" w:cs="Calibri"/>
          <w:sz w:val="24"/>
          <w:szCs w:val="24"/>
        </w:rPr>
        <w:t>/</w:t>
      </w:r>
      <w:r>
        <w:rPr>
          <w:rFonts w:hint="eastAsia" w:ascii="微软雅黑" w:hAnsi="微软雅黑" w:eastAsia="微软雅黑"/>
          <w:sz w:val="24"/>
          <w:szCs w:val="24"/>
        </w:rPr>
        <w:t>大数据营销</w:t>
      </w:r>
    </w:p>
    <w:p>
      <w:pPr>
        <w:rPr>
          <w:rFonts w:ascii="微软雅黑" w:hAnsi="微软雅黑" w:eastAsia="微软雅黑"/>
          <w:sz w:val="24"/>
          <w:szCs w:val="24"/>
        </w:rPr>
      </w:pPr>
      <w:r>
        <w:rPr>
          <w:rFonts w:hint="eastAsia" w:ascii="微软雅黑" w:hAnsi="微软雅黑" w:eastAsia="微软雅黑"/>
          <w:b/>
          <w:sz w:val="24"/>
          <w:szCs w:val="24"/>
        </w:rPr>
        <w:t>授课风格：</w:t>
      </w:r>
      <w:r>
        <w:rPr>
          <w:rFonts w:hint="eastAsia" w:ascii="微软雅黑" w:hAnsi="微软雅黑" w:eastAsia="微软雅黑"/>
          <w:sz w:val="24"/>
          <w:szCs w:val="24"/>
        </w:rPr>
        <w:t xml:space="preserve"> 广大的学员认为授课风格为：幽默风趣、条理清晰、实战、理论联系实际。具备独立知识产权的独特课程，为国内培训课程系列中罕见。</w:t>
      </w:r>
    </w:p>
    <w:p>
      <w:pPr>
        <w:rPr>
          <w:rFonts w:ascii="宋体" w:hAnsi="宋体" w:eastAsia="微软雅黑"/>
          <w:b/>
          <w:sz w:val="24"/>
          <w:szCs w:val="32"/>
        </w:rPr>
      </w:pPr>
    </w:p>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股权设计老师介绍：</w:t>
      </w:r>
    </w:p>
    <w:p>
      <w:pPr>
        <w:rPr>
          <w:rFonts w:ascii="微软雅黑" w:hAnsi="微软雅黑" w:eastAsia="微软雅黑" w:cs="微软雅黑"/>
          <w:sz w:val="24"/>
          <w:szCs w:val="24"/>
        </w:rPr>
      </w:pPr>
      <w:r>
        <w:rPr>
          <w:rFonts w:hint="eastAsia" w:ascii="微软雅黑" w:hAnsi="微软雅黑" w:eastAsia="微软雅黑" w:cs="微软雅黑"/>
          <w:sz w:val="24"/>
          <w:szCs w:val="24"/>
        </w:rPr>
        <w:t>朱老师曾就学于浙江大学法律专业。从事律师职业以来，先后在浙江，上海执业.有执业期间参与过多次重大项目的法律论证、合同管理、劳资关系处理、债权债务清偿、企业破产等法律事务，代理过千余起企业法律纠纷案件。较多公司治理的经验案例.致力于公司治理与家族传承业务，在公司金融领域素有研究。朱律师经常就法律问题接受China Law and Practice， Financial Times 等业内著名媒体的采访与为他们撰稿，或受邀发表专题演讲。.现为多家上市公司法律顾问。曾为世界五百强的跨国公司就他们在中国的投资、重组等宏观层面，业务运营、人事安排等微观层面提供与法律相结合而更加全面、更加实务的专业意见。</w:t>
      </w:r>
    </w:p>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融资策略及商业计划书老师：</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黄老师资历</w:t>
      </w:r>
      <w:r>
        <w:rPr>
          <w:rFonts w:hint="eastAsia" w:ascii="微软雅黑" w:hAnsi="微软雅黑" w:eastAsia="微软雅黑" w:cs="微软雅黑"/>
          <w:sz w:val="24"/>
          <w:szCs w:val="24"/>
        </w:rPr>
        <w:t>：滨江创业联盟秘书长、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黄老师背景：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黄老师主讲课程：《</w:t>
      </w:r>
      <w:r>
        <w:rPr>
          <w:rFonts w:hint="eastAsia" w:ascii="微软雅黑" w:hAnsi="微软雅黑" w:eastAsia="微软雅黑" w:cs="微软雅黑"/>
          <w:sz w:val="24"/>
          <w:szCs w:val="24"/>
        </w:rPr>
        <w:t>总经理的财务管理》、《财务报表解读与分析》、《非财务经理的财务管理》、《内部控制及风险管理》、《EVA》、《成本会计》、《全面质量成本管理》、《税务策划与税务管理》、《全面预算管理与控制》、《成本控制与分析》</w:t>
      </w:r>
    </w:p>
    <w:p>
      <w:pPr>
        <w:rPr>
          <w:rFonts w:ascii="微软雅黑" w:hAnsi="微软雅黑" w:eastAsia="微软雅黑" w:cs="微软雅黑"/>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微软雅黑"/>
          <w:b/>
          <w:bCs/>
          <w:sz w:val="24"/>
          <w:szCs w:val="24"/>
        </w:rPr>
      </w:pPr>
      <w:r>
        <w:rPr>
          <w:rFonts w:hint="eastAsia" w:ascii="微软雅黑" w:hAnsi="微软雅黑" w:eastAsia="微软雅黑" w:cs="微软雅黑"/>
          <w:sz w:val="24"/>
          <w:szCs w:val="24"/>
        </w:rPr>
        <w:t>推荐理由:黄老师分享都是干货，内容实战又不缺乏幽默；课程突出实用性、故事性、新鲜性和幽默性。通过一系列财务管理案例剖析点评，使企业管理人员快速掌握一些财务管理先进理念，分析技巧、提高解决问题的能力。</w:t>
      </w:r>
    </w:p>
    <w:p>
      <w:pPr>
        <w:rPr>
          <w:rFonts w:ascii="微软雅黑" w:hAnsi="微软雅黑" w:eastAsia="微软雅黑" w:cs="微软雅黑"/>
          <w:bCs/>
          <w:sz w:val="24"/>
          <w:szCs w:val="24"/>
        </w:rPr>
      </w:pPr>
    </w:p>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rPr>
          <w:rFonts w:ascii="微软雅黑" w:hAnsi="微软雅黑" w:eastAsia="微软雅黑" w:cs="微软雅黑"/>
          <w:sz w:val="24"/>
          <w:szCs w:val="24"/>
        </w:rPr>
      </w:pPr>
    </w:p>
    <w:p>
      <w:pPr>
        <w:rPr>
          <w:rFonts w:ascii="微软雅黑" w:hAnsi="微软雅黑" w:eastAsia="微软雅黑" w:cs="微软雅黑"/>
          <w:sz w:val="24"/>
          <w:szCs w:val="24"/>
        </w:rPr>
      </w:pPr>
    </w:p>
    <w:tbl>
      <w:tblPr>
        <w:tblStyle w:val="11"/>
        <w:tblW w:w="9716"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
      <w:tblGrid>
        <w:gridCol w:w="1239"/>
        <w:gridCol w:w="964"/>
        <w:gridCol w:w="146"/>
        <w:gridCol w:w="1564"/>
        <w:gridCol w:w="945"/>
        <w:gridCol w:w="1532"/>
        <w:gridCol w:w="583"/>
        <w:gridCol w:w="525"/>
        <w:gridCol w:w="2218"/>
      </w:tblGrid>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shd w:val="clear" w:color="auto" w:fill="A50021"/>
            <w:vAlign w:val="top"/>
          </w:tcPr>
          <w:p>
            <w:pPr>
              <w:spacing w:line="400" w:lineRule="exact"/>
              <w:jc w:val="left"/>
              <w:rPr>
                <w:rFonts w:ascii="微软雅黑" w:hAnsi="微软雅黑" w:eastAsia="微软雅黑" w:cs="微软雅黑"/>
                <w:b/>
                <w:bCs/>
                <w:color w:val="FFFFFF"/>
              </w:rPr>
            </w:pPr>
            <w:r>
              <w:rPr>
                <w:rFonts w:hint="eastAsia" w:ascii="微软雅黑" w:hAnsi="微软雅黑" w:eastAsia="微软雅黑" w:cs="微软雅黑"/>
                <w:b/>
                <w:bCs/>
                <w:color w:val="FFFFFF"/>
                <w:kern w:val="0"/>
                <w:sz w:val="22"/>
                <w:szCs w:val="24"/>
              </w:rPr>
              <w:t>单 位 名 称:</w:t>
            </w:r>
          </w:p>
        </w:tc>
        <w:tc>
          <w:tcPr>
            <w:tcW w:w="7513" w:type="dxa"/>
            <w:gridSpan w:val="7"/>
            <w:shd w:val="clear" w:color="auto" w:fill="A50021"/>
            <w:vAlign w:val="top"/>
          </w:tcPr>
          <w:p>
            <w:pPr>
              <w:spacing w:line="400" w:lineRule="exact"/>
              <w:jc w:val="left"/>
              <w:rPr>
                <w:rFonts w:ascii="微软雅黑" w:hAnsi="微软雅黑" w:eastAsia="微软雅黑" w:cs="微软雅黑"/>
                <w:color w:val="FFFFFF"/>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联系人姓名:</w:t>
            </w:r>
          </w:p>
        </w:tc>
        <w:tc>
          <w:tcPr>
            <w:tcW w:w="2655" w:type="dxa"/>
            <w:gridSpan w:val="3"/>
            <w:vAlign w:val="top"/>
          </w:tcPr>
          <w:p>
            <w:pPr>
              <w:spacing w:line="400" w:lineRule="exact"/>
              <w:jc w:val="left"/>
              <w:rPr>
                <w:rFonts w:ascii="微软雅黑" w:hAnsi="微软雅黑" w:eastAsia="微软雅黑" w:cs="微软雅黑"/>
              </w:rPr>
            </w:pPr>
          </w:p>
        </w:tc>
        <w:tc>
          <w:tcPr>
            <w:tcW w:w="2115"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部门/职务:</w:t>
            </w:r>
          </w:p>
        </w:tc>
        <w:tc>
          <w:tcPr>
            <w:tcW w:w="2743" w:type="dxa"/>
            <w:gridSpan w:val="2"/>
            <w:vAlign w:val="top"/>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手 机:</w:t>
            </w:r>
          </w:p>
        </w:tc>
        <w:tc>
          <w:tcPr>
            <w:tcW w:w="2655" w:type="dxa"/>
            <w:gridSpan w:val="3"/>
            <w:vAlign w:val="top"/>
          </w:tcPr>
          <w:p>
            <w:pPr>
              <w:spacing w:line="400" w:lineRule="exact"/>
              <w:jc w:val="left"/>
              <w:rPr>
                <w:rFonts w:ascii="微软雅黑" w:hAnsi="微软雅黑" w:eastAsia="微软雅黑" w:cs="微软雅黑"/>
              </w:rPr>
            </w:pPr>
          </w:p>
        </w:tc>
        <w:tc>
          <w:tcPr>
            <w:tcW w:w="2115"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E-mail:</w:t>
            </w:r>
          </w:p>
        </w:tc>
        <w:tc>
          <w:tcPr>
            <w:tcW w:w="2743" w:type="dxa"/>
            <w:gridSpan w:val="2"/>
            <w:vAlign w:val="top"/>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Q Q:</w:t>
            </w:r>
          </w:p>
        </w:tc>
        <w:tc>
          <w:tcPr>
            <w:tcW w:w="2655" w:type="dxa"/>
            <w:gridSpan w:val="3"/>
            <w:vAlign w:val="top"/>
          </w:tcPr>
          <w:p>
            <w:pPr>
              <w:spacing w:line="400" w:lineRule="exact"/>
              <w:jc w:val="left"/>
              <w:rPr>
                <w:rFonts w:ascii="微软雅黑" w:hAnsi="微软雅黑" w:eastAsia="微软雅黑" w:cs="微软雅黑"/>
              </w:rPr>
            </w:pPr>
          </w:p>
        </w:tc>
        <w:tc>
          <w:tcPr>
            <w:tcW w:w="2115" w:type="dxa"/>
            <w:gridSpan w:val="2"/>
            <w:vAlign w:val="top"/>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微 信:</w:t>
            </w:r>
          </w:p>
        </w:tc>
        <w:tc>
          <w:tcPr>
            <w:tcW w:w="2743" w:type="dxa"/>
            <w:gridSpan w:val="2"/>
            <w:vAlign w:val="top"/>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ascii="微软雅黑" w:hAnsi="微软雅黑" w:eastAsia="微软雅黑" w:cs="微软雅黑"/>
                <w:b/>
                <w:bCs/>
                <w:kern w:val="0"/>
              </w:rPr>
            </w:pPr>
            <w:r>
              <w:rPr>
                <w:rFonts w:hint="eastAsia" w:ascii="微软雅黑" w:hAnsi="微软雅黑" w:eastAsia="微软雅黑" w:cs="微软雅黑"/>
                <w:b/>
                <w:bCs/>
                <w:kern w:val="0"/>
              </w:rPr>
              <w:t>业务性质：</w:t>
            </w:r>
          </w:p>
        </w:tc>
        <w:tc>
          <w:tcPr>
            <w:tcW w:w="2655" w:type="dxa"/>
            <w:gridSpan w:val="3"/>
            <w:vAlign w:val="top"/>
          </w:tcPr>
          <w:p>
            <w:pPr>
              <w:spacing w:line="400" w:lineRule="exact"/>
              <w:jc w:val="left"/>
              <w:rPr>
                <w:rFonts w:ascii="微软雅黑" w:hAnsi="微软雅黑" w:eastAsia="微软雅黑" w:cs="微软雅黑"/>
              </w:rPr>
            </w:pPr>
          </w:p>
        </w:tc>
        <w:tc>
          <w:tcPr>
            <w:tcW w:w="2115" w:type="dxa"/>
            <w:gridSpan w:val="2"/>
            <w:vAlign w:val="top"/>
          </w:tcPr>
          <w:p>
            <w:pPr>
              <w:spacing w:line="400" w:lineRule="exact"/>
              <w:jc w:val="left"/>
              <w:rPr>
                <w:rFonts w:ascii="微软雅黑" w:hAnsi="微软雅黑" w:eastAsia="微软雅黑" w:cs="微软雅黑"/>
                <w:b/>
                <w:bCs/>
                <w:kern w:val="0"/>
              </w:rPr>
            </w:pPr>
            <w:r>
              <w:rPr>
                <w:rFonts w:hint="eastAsia" w:ascii="微软雅黑" w:hAnsi="微软雅黑" w:eastAsia="微软雅黑" w:cs="微软雅黑"/>
                <w:b/>
                <w:bCs/>
                <w:kern w:val="0"/>
              </w:rPr>
              <w:t>企业规模/人数：</w:t>
            </w:r>
          </w:p>
        </w:tc>
        <w:tc>
          <w:tcPr>
            <w:tcW w:w="2743" w:type="dxa"/>
            <w:gridSpan w:val="2"/>
            <w:vAlign w:val="top"/>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9716" w:type="dxa"/>
            <w:gridSpan w:val="9"/>
            <w:shd w:val="clear" w:color="auto" w:fill="A50021"/>
            <w:vAlign w:val="top"/>
          </w:tcPr>
          <w:p>
            <w:pPr>
              <w:spacing w:line="400" w:lineRule="exact"/>
              <w:jc w:val="center"/>
              <w:rPr>
                <w:rFonts w:ascii="微软雅黑" w:hAnsi="微软雅黑" w:eastAsia="微软雅黑" w:cs="微软雅黑"/>
              </w:rPr>
            </w:pPr>
            <w:r>
              <w:rPr>
                <w:rFonts w:hint="eastAsia" w:ascii="微软雅黑" w:hAnsi="微软雅黑" w:eastAsia="微软雅黑" w:cs="微软雅黑"/>
                <w:b/>
                <w:bCs/>
                <w:color w:val="FFFFFF"/>
                <w:kern w:val="0"/>
                <w:sz w:val="24"/>
                <w:szCs w:val="28"/>
              </w:rPr>
              <w:t>培 训 学 员 信 息</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kern w:val="0"/>
              </w:rPr>
              <w:t>姓 名</w:t>
            </w:r>
          </w:p>
        </w:tc>
        <w:tc>
          <w:tcPr>
            <w:tcW w:w="1110" w:type="dxa"/>
            <w:gridSpan w:val="2"/>
            <w:vAlign w:val="top"/>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性 别</w:t>
            </w:r>
          </w:p>
        </w:tc>
        <w:tc>
          <w:tcPr>
            <w:tcW w:w="1564" w:type="dxa"/>
            <w:vAlign w:val="top"/>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职 位</w:t>
            </w:r>
          </w:p>
        </w:tc>
        <w:tc>
          <w:tcPr>
            <w:tcW w:w="2477" w:type="dxa"/>
            <w:gridSpan w:val="2"/>
            <w:vAlign w:val="top"/>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手   机</w:t>
            </w:r>
          </w:p>
        </w:tc>
        <w:tc>
          <w:tcPr>
            <w:tcW w:w="3326" w:type="dxa"/>
            <w:gridSpan w:val="3"/>
            <w:vAlign w:val="top"/>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kern w:val="0"/>
              </w:rPr>
              <w:t>E-mail</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p>
        </w:tc>
        <w:tc>
          <w:tcPr>
            <w:tcW w:w="1110" w:type="dxa"/>
            <w:gridSpan w:val="2"/>
            <w:vAlign w:val="top"/>
          </w:tcPr>
          <w:p>
            <w:pPr>
              <w:spacing w:line="400" w:lineRule="exact"/>
              <w:jc w:val="center"/>
              <w:rPr>
                <w:rFonts w:ascii="微软雅黑" w:hAnsi="微软雅黑" w:eastAsia="微软雅黑" w:cs="微软雅黑"/>
              </w:rPr>
            </w:pPr>
          </w:p>
        </w:tc>
        <w:tc>
          <w:tcPr>
            <w:tcW w:w="1564" w:type="dxa"/>
            <w:vAlign w:val="top"/>
          </w:tcPr>
          <w:p>
            <w:pPr>
              <w:spacing w:line="400" w:lineRule="exact"/>
              <w:jc w:val="center"/>
              <w:rPr>
                <w:rFonts w:ascii="微软雅黑" w:hAnsi="微软雅黑" w:eastAsia="微软雅黑" w:cs="微软雅黑"/>
              </w:rPr>
            </w:pPr>
          </w:p>
        </w:tc>
        <w:tc>
          <w:tcPr>
            <w:tcW w:w="2477" w:type="dxa"/>
            <w:gridSpan w:val="2"/>
            <w:vAlign w:val="top"/>
          </w:tcPr>
          <w:p>
            <w:pPr>
              <w:spacing w:line="400" w:lineRule="exact"/>
              <w:jc w:val="center"/>
              <w:rPr>
                <w:rFonts w:ascii="微软雅黑" w:hAnsi="微软雅黑" w:eastAsia="微软雅黑" w:cs="微软雅黑"/>
              </w:rPr>
            </w:pPr>
          </w:p>
        </w:tc>
        <w:tc>
          <w:tcPr>
            <w:tcW w:w="3326" w:type="dxa"/>
            <w:gridSpan w:val="3"/>
            <w:vAlign w:val="top"/>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p>
        </w:tc>
        <w:tc>
          <w:tcPr>
            <w:tcW w:w="1110" w:type="dxa"/>
            <w:gridSpan w:val="2"/>
            <w:vAlign w:val="top"/>
          </w:tcPr>
          <w:p>
            <w:pPr>
              <w:spacing w:line="400" w:lineRule="exact"/>
              <w:jc w:val="center"/>
              <w:rPr>
                <w:rFonts w:ascii="微软雅黑" w:hAnsi="微软雅黑" w:eastAsia="微软雅黑" w:cs="微软雅黑"/>
              </w:rPr>
            </w:pPr>
          </w:p>
        </w:tc>
        <w:tc>
          <w:tcPr>
            <w:tcW w:w="1564" w:type="dxa"/>
            <w:vAlign w:val="top"/>
          </w:tcPr>
          <w:p>
            <w:pPr>
              <w:spacing w:line="400" w:lineRule="exact"/>
              <w:jc w:val="center"/>
              <w:rPr>
                <w:rFonts w:ascii="微软雅黑" w:hAnsi="微软雅黑" w:eastAsia="微软雅黑" w:cs="微软雅黑"/>
              </w:rPr>
            </w:pPr>
          </w:p>
        </w:tc>
        <w:tc>
          <w:tcPr>
            <w:tcW w:w="2477" w:type="dxa"/>
            <w:gridSpan w:val="2"/>
            <w:vAlign w:val="top"/>
          </w:tcPr>
          <w:p>
            <w:pPr>
              <w:spacing w:line="400" w:lineRule="exact"/>
              <w:jc w:val="center"/>
              <w:rPr>
                <w:rFonts w:ascii="微软雅黑" w:hAnsi="微软雅黑" w:eastAsia="微软雅黑" w:cs="微软雅黑"/>
              </w:rPr>
            </w:pPr>
          </w:p>
        </w:tc>
        <w:tc>
          <w:tcPr>
            <w:tcW w:w="3326" w:type="dxa"/>
            <w:gridSpan w:val="3"/>
            <w:vAlign w:val="top"/>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p>
        </w:tc>
        <w:tc>
          <w:tcPr>
            <w:tcW w:w="1110" w:type="dxa"/>
            <w:gridSpan w:val="2"/>
            <w:vAlign w:val="top"/>
          </w:tcPr>
          <w:p>
            <w:pPr>
              <w:spacing w:line="400" w:lineRule="exact"/>
              <w:jc w:val="center"/>
              <w:rPr>
                <w:rFonts w:ascii="微软雅黑" w:hAnsi="微软雅黑" w:eastAsia="微软雅黑" w:cs="微软雅黑"/>
              </w:rPr>
            </w:pPr>
          </w:p>
        </w:tc>
        <w:tc>
          <w:tcPr>
            <w:tcW w:w="1564" w:type="dxa"/>
            <w:vAlign w:val="top"/>
          </w:tcPr>
          <w:p>
            <w:pPr>
              <w:spacing w:line="400" w:lineRule="exact"/>
              <w:jc w:val="center"/>
              <w:rPr>
                <w:rFonts w:ascii="微软雅黑" w:hAnsi="微软雅黑" w:eastAsia="微软雅黑" w:cs="微软雅黑"/>
              </w:rPr>
            </w:pPr>
          </w:p>
        </w:tc>
        <w:tc>
          <w:tcPr>
            <w:tcW w:w="2477" w:type="dxa"/>
            <w:gridSpan w:val="2"/>
            <w:vAlign w:val="top"/>
          </w:tcPr>
          <w:p>
            <w:pPr>
              <w:spacing w:line="400" w:lineRule="exact"/>
              <w:jc w:val="center"/>
              <w:rPr>
                <w:rFonts w:ascii="微软雅黑" w:hAnsi="微软雅黑" w:eastAsia="微软雅黑" w:cs="微软雅黑"/>
              </w:rPr>
            </w:pPr>
          </w:p>
        </w:tc>
        <w:tc>
          <w:tcPr>
            <w:tcW w:w="3326" w:type="dxa"/>
            <w:gridSpan w:val="3"/>
            <w:vAlign w:val="top"/>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p>
        </w:tc>
        <w:tc>
          <w:tcPr>
            <w:tcW w:w="1110" w:type="dxa"/>
            <w:gridSpan w:val="2"/>
            <w:vAlign w:val="top"/>
          </w:tcPr>
          <w:p>
            <w:pPr>
              <w:spacing w:line="400" w:lineRule="exact"/>
              <w:jc w:val="center"/>
              <w:rPr>
                <w:rFonts w:ascii="微软雅黑" w:hAnsi="微软雅黑" w:eastAsia="微软雅黑" w:cs="微软雅黑"/>
              </w:rPr>
            </w:pPr>
          </w:p>
        </w:tc>
        <w:tc>
          <w:tcPr>
            <w:tcW w:w="1564" w:type="dxa"/>
            <w:vAlign w:val="top"/>
          </w:tcPr>
          <w:p>
            <w:pPr>
              <w:spacing w:line="400" w:lineRule="exact"/>
              <w:jc w:val="center"/>
              <w:rPr>
                <w:rFonts w:ascii="微软雅黑" w:hAnsi="微软雅黑" w:eastAsia="微软雅黑" w:cs="微软雅黑"/>
              </w:rPr>
            </w:pPr>
          </w:p>
        </w:tc>
        <w:tc>
          <w:tcPr>
            <w:tcW w:w="2477" w:type="dxa"/>
            <w:gridSpan w:val="2"/>
            <w:vAlign w:val="top"/>
          </w:tcPr>
          <w:p>
            <w:pPr>
              <w:spacing w:line="400" w:lineRule="exact"/>
              <w:jc w:val="center"/>
              <w:rPr>
                <w:rFonts w:ascii="微软雅黑" w:hAnsi="微软雅黑" w:eastAsia="微软雅黑" w:cs="微软雅黑"/>
              </w:rPr>
            </w:pPr>
          </w:p>
        </w:tc>
        <w:tc>
          <w:tcPr>
            <w:tcW w:w="3326" w:type="dxa"/>
            <w:gridSpan w:val="3"/>
            <w:vAlign w:val="top"/>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1239" w:type="dxa"/>
            <w:vAlign w:val="top"/>
          </w:tcPr>
          <w:p>
            <w:pPr>
              <w:spacing w:line="400" w:lineRule="exact"/>
              <w:jc w:val="center"/>
              <w:rPr>
                <w:rFonts w:ascii="微软雅黑" w:hAnsi="微软雅黑" w:eastAsia="微软雅黑" w:cs="微软雅黑"/>
              </w:rPr>
            </w:pPr>
          </w:p>
        </w:tc>
        <w:tc>
          <w:tcPr>
            <w:tcW w:w="1110" w:type="dxa"/>
            <w:gridSpan w:val="2"/>
            <w:vAlign w:val="top"/>
          </w:tcPr>
          <w:p>
            <w:pPr>
              <w:spacing w:line="400" w:lineRule="exact"/>
              <w:jc w:val="center"/>
              <w:rPr>
                <w:rFonts w:ascii="微软雅黑" w:hAnsi="微软雅黑" w:eastAsia="微软雅黑" w:cs="微软雅黑"/>
              </w:rPr>
            </w:pPr>
          </w:p>
        </w:tc>
        <w:tc>
          <w:tcPr>
            <w:tcW w:w="1564" w:type="dxa"/>
            <w:vAlign w:val="top"/>
          </w:tcPr>
          <w:p>
            <w:pPr>
              <w:spacing w:line="400" w:lineRule="exact"/>
              <w:jc w:val="center"/>
              <w:rPr>
                <w:rFonts w:ascii="微软雅黑" w:hAnsi="微软雅黑" w:eastAsia="微软雅黑" w:cs="微软雅黑"/>
              </w:rPr>
            </w:pPr>
          </w:p>
        </w:tc>
        <w:tc>
          <w:tcPr>
            <w:tcW w:w="2477" w:type="dxa"/>
            <w:gridSpan w:val="2"/>
            <w:vAlign w:val="top"/>
          </w:tcPr>
          <w:p>
            <w:pPr>
              <w:spacing w:line="400" w:lineRule="exact"/>
              <w:jc w:val="center"/>
              <w:rPr>
                <w:rFonts w:ascii="微软雅黑" w:hAnsi="微软雅黑" w:eastAsia="微软雅黑" w:cs="微软雅黑"/>
              </w:rPr>
            </w:pPr>
          </w:p>
        </w:tc>
        <w:tc>
          <w:tcPr>
            <w:tcW w:w="3326" w:type="dxa"/>
            <w:gridSpan w:val="3"/>
            <w:vAlign w:val="top"/>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缴费方式</w:t>
            </w:r>
          </w:p>
        </w:tc>
        <w:tc>
          <w:tcPr>
            <w:tcW w:w="5151" w:type="dxa"/>
            <w:gridSpan w:val="5"/>
            <w:vAlign w:val="top"/>
          </w:tcPr>
          <w:p>
            <w:pPr>
              <w:spacing w:line="400" w:lineRule="exact"/>
              <w:jc w:val="left"/>
              <w:rPr>
                <w:rFonts w:ascii="微软雅黑" w:hAnsi="微软雅黑" w:eastAsia="微软雅黑" w:cs="微软雅黑"/>
              </w:rPr>
            </w:pPr>
            <w:r>
              <w:rPr>
                <w:rFonts w:hint="eastAsia" w:ascii="微软雅黑" w:hAnsi="微软雅黑" w:eastAsia="微软雅黑" w:cs="微软雅黑"/>
                <w:kern w:val="0"/>
              </w:rPr>
              <w:t xml:space="preserve">   □ 转帐     □ 现金  （请选择 在□打√）</w:t>
            </w:r>
          </w:p>
        </w:tc>
        <w:tc>
          <w:tcPr>
            <w:tcW w:w="1108" w:type="dxa"/>
            <w:gridSpan w:val="2"/>
            <w:vAlign w:val="top"/>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金  额</w:t>
            </w:r>
          </w:p>
        </w:tc>
        <w:tc>
          <w:tcPr>
            <w:tcW w:w="2218" w:type="dxa"/>
            <w:vAlign w:val="top"/>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费用总计</w:t>
            </w:r>
          </w:p>
        </w:tc>
        <w:tc>
          <w:tcPr>
            <w:tcW w:w="8477" w:type="dxa"/>
            <w:gridSpan w:val="8"/>
            <w:vAlign w:val="top"/>
          </w:tcPr>
          <w:p>
            <w:pPr>
              <w:spacing w:line="400" w:lineRule="exact"/>
              <w:jc w:val="left"/>
              <w:rPr>
                <w:rFonts w:ascii="微软雅黑" w:hAnsi="微软雅黑" w:eastAsia="微软雅黑" w:cs="微软雅黑"/>
              </w:rPr>
            </w:pPr>
            <w:r>
              <w:rPr>
                <w:rFonts w:hint="eastAsia" w:ascii="微软雅黑" w:hAnsi="微软雅黑" w:eastAsia="微软雅黑" w:cs="微软雅黑"/>
                <w:kern w:val="0"/>
              </w:rPr>
              <w:t>￥</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元　（共</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人参会）</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ascii="微软雅黑" w:hAnsi="微软雅黑" w:eastAsia="微软雅黑" w:cs="微软雅黑"/>
                <w:b/>
                <w:bCs/>
                <w:kern w:val="0"/>
              </w:rPr>
            </w:pPr>
            <w:r>
              <w:rPr>
                <w:rFonts w:hint="eastAsia" w:ascii="微软雅黑" w:hAnsi="微软雅黑" w:eastAsia="微软雅黑" w:cs="微软雅黑"/>
                <w:b/>
                <w:bCs/>
                <w:kern w:val="0"/>
              </w:rPr>
              <w:t>住宿要求</w:t>
            </w:r>
          </w:p>
        </w:tc>
        <w:tc>
          <w:tcPr>
            <w:tcW w:w="8477" w:type="dxa"/>
            <w:gridSpan w:val="8"/>
            <w:vAlign w:val="top"/>
          </w:tcPr>
          <w:p>
            <w:pPr>
              <w:widowControl/>
              <w:adjustRightInd w:val="0"/>
              <w:snapToGrid w:val="0"/>
              <w:spacing w:line="400" w:lineRule="exact"/>
              <w:jc w:val="left"/>
              <w:rPr>
                <w:rFonts w:ascii="微软雅黑" w:hAnsi="微软雅黑" w:eastAsia="微软雅黑" w:cs="微软雅黑"/>
                <w:kern w:val="0"/>
              </w:rPr>
            </w:pPr>
            <w:r>
              <w:rPr>
                <w:rFonts w:hint="eastAsia" w:ascii="微软雅黑" w:hAnsi="微软雅黑" w:eastAsia="微软雅黑" w:cs="微软雅黑"/>
                <w:kern w:val="0"/>
              </w:rPr>
              <w:t>预定：双人房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间；单人房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间，住宿时间：</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月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至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日   (不用预定请留空)</w:t>
            </w:r>
          </w:p>
        </w:tc>
      </w:tr>
    </w:tbl>
    <w:p>
      <w:pPr>
        <w:rPr>
          <w:rFonts w:ascii="微软雅黑" w:hAnsi="微软雅黑" w:eastAsia="微软雅黑" w:cs="微软雅黑"/>
          <w:sz w:val="24"/>
          <w:szCs w:val="24"/>
        </w:rPr>
      </w:pPr>
    </w:p>
    <w:p>
      <w:pPr>
        <w:rPr>
          <w:rFonts w:ascii="微软雅黑" w:hAnsi="微软雅黑" w:eastAsia="微软雅黑" w:cs="微软雅黑"/>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微软雅黑"/>
          <w:sz w:val="24"/>
          <w:szCs w:val="24"/>
        </w:rPr>
      </w:pPr>
      <w:r>
        <w:rPr>
          <w:rFonts w:hint="eastAsia" w:ascii="微软雅黑" w:hAnsi="微软雅黑" w:eastAsia="微软雅黑" w:cs="微软雅黑"/>
          <w:sz w:val="24"/>
          <w:szCs w:val="24"/>
        </w:rPr>
        <w:t>注意：</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请将报名表填写完整，发至我方即可。我方收到报名表后，将以电话、传真或E-mail等方式确认收到报名表。</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请在培训之前三个工作日内将报名表回传,课前一周另行发送详细会务安排</w:t>
      </w:r>
    </w:p>
    <w:p>
      <w:pPr>
        <w:rPr>
          <w:rFonts w:ascii="微软雅黑" w:hAnsi="微软雅黑" w:eastAsia="微软雅黑" w:cs="微软雅黑"/>
          <w:sz w:val="24"/>
          <w:szCs w:val="24"/>
        </w:rPr>
      </w:pPr>
      <w:r>
        <w:rPr>
          <w:rFonts w:hint="eastAsia" w:ascii="微软雅黑" w:hAnsi="微软雅黑" w:eastAsia="微软雅黑" w:cs="微软雅黑"/>
          <w:sz w:val="24"/>
          <w:szCs w:val="24"/>
        </w:rPr>
        <w:t>→ 本课程可针对企业需求，上门服务，组织内训，欢迎咨询。</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请参会学员准备一盒名片,以便学员间交流学习。</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请准备几个工作中遇到的问题以便进行讨论。</w:t>
      </w:r>
    </w:p>
    <w:p>
      <w:pPr>
        <w:rPr>
          <w:rFonts w:ascii="微软雅黑" w:hAnsi="微软雅黑" w:eastAsia="微软雅黑" w:cs="微软雅黑"/>
          <w:sz w:val="24"/>
          <w:szCs w:val="24"/>
        </w:rPr>
      </w:pPr>
    </w:p>
    <w:p>
      <w:pPr>
        <w:rPr>
          <w:rFonts w:ascii="微软雅黑" w:hAnsi="微软雅黑" w:eastAsia="微软雅黑" w:cs="微软雅黑"/>
          <w:sz w:val="24"/>
          <w:szCs w:val="24"/>
        </w:rPr>
      </w:pPr>
      <w:r>
        <w:rPr>
          <w:rFonts w:hint="eastAsia" w:ascii="微软雅黑" w:hAnsi="微软雅黑" w:eastAsia="微软雅黑" w:cs="微软雅黑"/>
          <w:sz w:val="24"/>
          <w:szCs w:val="24"/>
          <w:lang w:val="zh-CN"/>
        </w:rPr>
        <w:t>此表所填信息仅用于招生工作，对所填写的客户信息，我司严格保密，如需参加请填写回传给我们</w:t>
      </w:r>
      <w:r>
        <w:rPr>
          <w:rFonts w:hint="eastAsia" w:ascii="微软雅黑" w:hAnsi="微软雅黑" w:eastAsia="微软雅黑" w:cs="微软雅黑"/>
          <w:sz w:val="24"/>
          <w:szCs w:val="24"/>
        </w:rPr>
        <w:t>，以便及时为您安排会务并发确认函，谢谢支持！</w:t>
      </w:r>
    </w:p>
    <w:p>
      <w:pPr>
        <w:rPr>
          <w:rFonts w:ascii="微软雅黑" w:hAnsi="微软雅黑" w:eastAsia="微软雅黑" w:cs="微软雅黑"/>
          <w:sz w:val="24"/>
          <w:szCs w:val="24"/>
        </w:rPr>
      </w:pPr>
    </w:p>
    <w:p>
      <w:pPr>
        <w:rPr>
          <w:rFonts w:ascii="微软雅黑" w:hAnsi="微软雅黑" w:eastAsia="微软雅黑" w:cs="微软雅黑"/>
          <w:sz w:val="24"/>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Brush Script MT">
    <w:altName w:val="Estrangelo Edessa"/>
    <w:panose1 w:val="03060802040406070304"/>
    <w:charset w:val="00"/>
    <w:family w:val="auto"/>
    <w:pitch w:val="default"/>
    <w:sig w:usb0="00000000"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Estrangelo Edessa">
    <w:panose1 w:val="03080600000000000000"/>
    <w:charset w:val="00"/>
    <w:family w:val="auto"/>
    <w:pitch w:val="default"/>
    <w:sig w:usb0="80006040" w:usb1="00000000" w:usb2="0000008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4"/>
                  <w:rPr>
                    <w:rFonts w:ascii="华文行楷" w:eastAsia="微软雅黑"/>
                    <w:b/>
                    <w:color w:val="00B0F0"/>
                    <w:sz w:val="28"/>
                    <w:szCs w:val="24"/>
                  </w:rPr>
                </w:pPr>
                <w:r>
                  <w:rPr>
                    <w:rFonts w:hint="eastAsia" w:ascii="华文行楷" w:eastAsia="微软雅黑"/>
                    <w:b/>
                    <w:color w:val="00B0F0"/>
                    <w:sz w:val="28"/>
                    <w:szCs w:val="24"/>
                  </w:rPr>
                  <w:t>蓝草企业  为快乐而培训 为培训更快乐乐！</w:t>
                </w: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pt;margin-top:-3.45pt;height:0.5pt;width:584.95pt;z-index:251660288;mso-width-relative:page;mso-height-relative:page;" fillcolor="#FFFFFF" filled="f" o:preferrelative="t" stroked="t" coordsize="21600,21600">
          <v:path arrowok="t"/>
          <v:fill on="f" color2="#FFFFFF" focussize="0,0"/>
          <v:stroke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808080" opacity="19005f" offset="0pt,3pt" origin="0f,-32768f"/>
          <v:textbox>
            <w:txbxContent>
              <w:p>
                <w:pPr>
                  <w:pStyle w:val="5"/>
                  <w:jc w:val="center"/>
                  <w:rPr>
                    <w:rFonts w:eastAsia="微软雅黑"/>
                    <w:b/>
                    <w:color w:val="FFFFFF"/>
                    <w:sz w:val="28"/>
                  </w:rPr>
                </w:pPr>
                <w:r>
                  <w:rPr>
                    <w:rFonts w:hint="eastAsia" w:ascii="华文行楷" w:eastAsia="微软雅黑"/>
                    <w:b/>
                    <w:color w:val="FFFFFF"/>
                    <w:sz w:val="28"/>
                    <w:szCs w:val="32"/>
                  </w:rPr>
                  <w:t xml:space="preserve">携手蓝草企业 为事业腾飞蓄能  </w:t>
                </w:r>
                <w:r>
                  <w:rPr>
                    <w:rFonts w:hint="eastAsia" w:eastAsia="微软雅黑"/>
                    <w:b/>
                    <w:color w:val="FFFFFF"/>
                    <w:sz w:val="28"/>
                  </w:rPr>
                  <w:t xml:space="preserve"> </w:t>
                </w:r>
                <w:r>
                  <w:fldChar w:fldCharType="begin"/>
                </w:r>
                <w:r>
                  <w:instrText xml:space="preserve">HYPERLINK "http://www.bgwahaha.cn/" </w:instrText>
                </w:r>
                <w:r>
                  <w:fldChar w:fldCharType="separate"/>
                </w:r>
                <w:r>
                  <w:rPr>
                    <w:rStyle w:val="10"/>
                    <w:rFonts w:hint="eastAsia" w:ascii="Calibri" w:hAnsi="Calibri" w:eastAsia="微软雅黑" w:cs="Brush Script MT"/>
                    <w:b/>
                    <w:color w:val="FFFFFF"/>
                    <w:sz w:val="28"/>
                    <w:u w:val="none"/>
                  </w:rPr>
                  <w:t>http://www.bgwahaha.cn</w:t>
                </w:r>
                <w:r>
                  <w:fldChar w:fldCharType="end"/>
                </w:r>
                <w:r>
                  <w:rPr>
                    <w:rFonts w:ascii="Calibri" w:hAnsi="Calibri" w:eastAsia="微软雅黑" w:cs="Brush Script MT"/>
                    <w:b/>
                    <w:color w:val="FFFFFF"/>
                    <w:sz w:val="28"/>
                  </w:rPr>
                  <w:t xml:space="preserve"> </w:t>
                </w:r>
                <w:r>
                  <w:rPr>
                    <w:rFonts w:hint="eastAsia" w:ascii="Calibri" w:hAnsi="Calibri" w:eastAsia="微软雅黑" w:cs="Brush Script MT"/>
                    <w:b/>
                    <w:color w:val="FFFFFF"/>
                    <w:sz w:val="28"/>
                  </w:rPr>
                  <w:t xml:space="preserve"> </w:t>
                </w:r>
                <w:r>
                  <w:rPr>
                    <w:rFonts w:hint="eastAsia" w:eastAsia="微软雅黑"/>
                    <w:b/>
                    <w:color w:val="FFFFFF"/>
                    <w:sz w:val="28"/>
                  </w:rPr>
                  <w:t>13601837936</w:t>
                </w:r>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pt;margin-top:17.65pt;height:0.05pt;width:584.95pt;z-index:251659264;mso-width-relative:page;mso-height-relative:page;" fillcolor="#FFFFFF" filled="f" o:preferrelative="t" stroked="t" coordsize="21600,21600">
          <v:path arrowok="t"/>
          <v:fill on="f" color2="#FFFFFF" focussize="0,0"/>
          <v:stroke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F8"/>
    <w:multiLevelType w:val="multilevel"/>
    <w:tmpl w:val="045736F8"/>
    <w:lvl w:ilvl="0" w:tentative="0">
      <w:start w:val="1"/>
      <w:numFmt w:val="chineseCountingThousand"/>
      <w:lvlText w:val="%1、"/>
      <w:lvlJc w:val="left"/>
      <w:pPr>
        <w:ind w:left="1200" w:hanging="480"/>
      </w:pPr>
      <w:rPr>
        <w:rFonts w:hint="eastAsia" w:ascii="宋体" w:hAnsi="宋体" w:eastAsia="宋体"/>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abstractNum w:abstractNumId="1">
    <w:nsid w:val="0E4802C0"/>
    <w:multiLevelType w:val="multilevel"/>
    <w:tmpl w:val="0E4802C0"/>
    <w:lvl w:ilvl="0" w:tentative="0">
      <w:start w:val="1"/>
      <w:numFmt w:val="decimal"/>
      <w:lvlText w:val="%1."/>
      <w:lvlJc w:val="left"/>
      <w:pPr>
        <w:ind w:left="1680" w:hanging="480"/>
      </w:pPr>
      <w:rPr>
        <w:rFonts w:hint="eastAsia"/>
      </w:rPr>
    </w:lvl>
    <w:lvl w:ilvl="1" w:tentative="0">
      <w:start w:val="1"/>
      <w:numFmt w:val="lowerLetter"/>
      <w:lvlText w:val="%2)"/>
      <w:lvlJc w:val="left"/>
      <w:pPr>
        <w:ind w:left="2160" w:hanging="480"/>
      </w:pPr>
    </w:lvl>
    <w:lvl w:ilvl="2" w:tentative="0">
      <w:start w:val="1"/>
      <w:numFmt w:val="lowerRoman"/>
      <w:lvlText w:val="%3."/>
      <w:lvlJc w:val="right"/>
      <w:pPr>
        <w:ind w:left="2640" w:hanging="480"/>
      </w:pPr>
    </w:lvl>
    <w:lvl w:ilvl="3" w:tentative="0">
      <w:start w:val="1"/>
      <w:numFmt w:val="decimal"/>
      <w:lvlText w:val="%4."/>
      <w:lvlJc w:val="left"/>
      <w:pPr>
        <w:ind w:left="3120" w:hanging="480"/>
      </w:pPr>
    </w:lvl>
    <w:lvl w:ilvl="4" w:tentative="0">
      <w:start w:val="1"/>
      <w:numFmt w:val="lowerLetter"/>
      <w:lvlText w:val="%5)"/>
      <w:lvlJc w:val="left"/>
      <w:pPr>
        <w:ind w:left="3600" w:hanging="480"/>
      </w:pPr>
    </w:lvl>
    <w:lvl w:ilvl="5" w:tentative="0">
      <w:start w:val="1"/>
      <w:numFmt w:val="lowerRoman"/>
      <w:lvlText w:val="%6."/>
      <w:lvlJc w:val="right"/>
      <w:pPr>
        <w:ind w:left="4080" w:hanging="480"/>
      </w:pPr>
    </w:lvl>
    <w:lvl w:ilvl="6" w:tentative="0">
      <w:start w:val="1"/>
      <w:numFmt w:val="decimal"/>
      <w:lvlText w:val="%7."/>
      <w:lvlJc w:val="left"/>
      <w:pPr>
        <w:ind w:left="4560" w:hanging="480"/>
      </w:pPr>
    </w:lvl>
    <w:lvl w:ilvl="7" w:tentative="0">
      <w:start w:val="1"/>
      <w:numFmt w:val="lowerLetter"/>
      <w:lvlText w:val="%8)"/>
      <w:lvlJc w:val="left"/>
      <w:pPr>
        <w:ind w:left="5040" w:hanging="480"/>
      </w:pPr>
    </w:lvl>
    <w:lvl w:ilvl="8" w:tentative="0">
      <w:start w:val="1"/>
      <w:numFmt w:val="lowerRoman"/>
      <w:lvlText w:val="%9."/>
      <w:lvlJc w:val="right"/>
      <w:pPr>
        <w:ind w:left="5520" w:hanging="480"/>
      </w:pPr>
    </w:lvl>
  </w:abstractNum>
  <w:abstractNum w:abstractNumId="2">
    <w:nsid w:val="13EE481D"/>
    <w:multiLevelType w:val="multilevel"/>
    <w:tmpl w:val="13EE481D"/>
    <w:lvl w:ilvl="0" w:tentative="0">
      <w:start w:val="1"/>
      <w:numFmt w:val="decimal"/>
      <w:lvlText w:val="%1."/>
      <w:lvlJc w:val="left"/>
      <w:pPr>
        <w:ind w:left="1680" w:hanging="480"/>
      </w:pPr>
      <w:rPr>
        <w:rFonts w:hint="eastAsia"/>
      </w:rPr>
    </w:lvl>
    <w:lvl w:ilvl="1" w:tentative="0">
      <w:start w:val="1"/>
      <w:numFmt w:val="lowerLetter"/>
      <w:lvlText w:val="%2)"/>
      <w:lvlJc w:val="left"/>
      <w:pPr>
        <w:ind w:left="2160" w:hanging="480"/>
      </w:pPr>
    </w:lvl>
    <w:lvl w:ilvl="2" w:tentative="0">
      <w:start w:val="1"/>
      <w:numFmt w:val="lowerRoman"/>
      <w:lvlText w:val="%3."/>
      <w:lvlJc w:val="right"/>
      <w:pPr>
        <w:ind w:left="2640" w:hanging="480"/>
      </w:pPr>
    </w:lvl>
    <w:lvl w:ilvl="3" w:tentative="0">
      <w:start w:val="1"/>
      <w:numFmt w:val="decimal"/>
      <w:lvlText w:val="%4."/>
      <w:lvlJc w:val="left"/>
      <w:pPr>
        <w:ind w:left="3120" w:hanging="480"/>
      </w:pPr>
    </w:lvl>
    <w:lvl w:ilvl="4" w:tentative="0">
      <w:start w:val="1"/>
      <w:numFmt w:val="lowerLetter"/>
      <w:lvlText w:val="%5)"/>
      <w:lvlJc w:val="left"/>
      <w:pPr>
        <w:ind w:left="3600" w:hanging="480"/>
      </w:pPr>
    </w:lvl>
    <w:lvl w:ilvl="5" w:tentative="0">
      <w:start w:val="1"/>
      <w:numFmt w:val="lowerRoman"/>
      <w:lvlText w:val="%6."/>
      <w:lvlJc w:val="right"/>
      <w:pPr>
        <w:ind w:left="4080" w:hanging="480"/>
      </w:pPr>
    </w:lvl>
    <w:lvl w:ilvl="6" w:tentative="0">
      <w:start w:val="1"/>
      <w:numFmt w:val="decimal"/>
      <w:lvlText w:val="%7."/>
      <w:lvlJc w:val="left"/>
      <w:pPr>
        <w:ind w:left="4560" w:hanging="480"/>
      </w:pPr>
    </w:lvl>
    <w:lvl w:ilvl="7" w:tentative="0">
      <w:start w:val="1"/>
      <w:numFmt w:val="lowerLetter"/>
      <w:lvlText w:val="%8)"/>
      <w:lvlJc w:val="left"/>
      <w:pPr>
        <w:ind w:left="5040" w:hanging="480"/>
      </w:pPr>
    </w:lvl>
    <w:lvl w:ilvl="8" w:tentative="0">
      <w:start w:val="1"/>
      <w:numFmt w:val="lowerRoman"/>
      <w:lvlText w:val="%9."/>
      <w:lvlJc w:val="right"/>
      <w:pPr>
        <w:ind w:left="5520" w:hanging="480"/>
      </w:pPr>
    </w:lvl>
  </w:abstractNum>
  <w:abstractNum w:abstractNumId="3">
    <w:nsid w:val="1808174E"/>
    <w:multiLevelType w:val="multilevel"/>
    <w:tmpl w:val="1808174E"/>
    <w:lvl w:ilvl="0" w:tentative="0">
      <w:start w:val="1"/>
      <w:numFmt w:val="decimal"/>
      <w:lvlText w:val="%1."/>
      <w:lvlJc w:val="left"/>
      <w:pPr>
        <w:ind w:left="1669" w:hanging="480"/>
      </w:pPr>
      <w:rPr>
        <w:rFonts w:hint="eastAsia"/>
      </w:rPr>
    </w:lvl>
    <w:lvl w:ilvl="1" w:tentative="0">
      <w:start w:val="1"/>
      <w:numFmt w:val="lowerLetter"/>
      <w:lvlText w:val="%2)"/>
      <w:lvlJc w:val="left"/>
      <w:pPr>
        <w:ind w:left="2149" w:hanging="480"/>
      </w:pPr>
    </w:lvl>
    <w:lvl w:ilvl="2" w:tentative="0">
      <w:start w:val="1"/>
      <w:numFmt w:val="lowerRoman"/>
      <w:lvlText w:val="%3."/>
      <w:lvlJc w:val="right"/>
      <w:pPr>
        <w:ind w:left="2629" w:hanging="480"/>
      </w:pPr>
    </w:lvl>
    <w:lvl w:ilvl="3" w:tentative="0">
      <w:start w:val="1"/>
      <w:numFmt w:val="decimal"/>
      <w:lvlText w:val="%4."/>
      <w:lvlJc w:val="left"/>
      <w:pPr>
        <w:ind w:left="3109" w:hanging="480"/>
      </w:pPr>
    </w:lvl>
    <w:lvl w:ilvl="4" w:tentative="0">
      <w:start w:val="1"/>
      <w:numFmt w:val="lowerLetter"/>
      <w:lvlText w:val="%5)"/>
      <w:lvlJc w:val="left"/>
      <w:pPr>
        <w:ind w:left="3589" w:hanging="480"/>
      </w:pPr>
    </w:lvl>
    <w:lvl w:ilvl="5" w:tentative="0">
      <w:start w:val="1"/>
      <w:numFmt w:val="lowerRoman"/>
      <w:lvlText w:val="%6."/>
      <w:lvlJc w:val="right"/>
      <w:pPr>
        <w:ind w:left="4069" w:hanging="480"/>
      </w:pPr>
    </w:lvl>
    <w:lvl w:ilvl="6" w:tentative="0">
      <w:start w:val="1"/>
      <w:numFmt w:val="decimal"/>
      <w:lvlText w:val="%7."/>
      <w:lvlJc w:val="left"/>
      <w:pPr>
        <w:ind w:left="4549" w:hanging="480"/>
      </w:pPr>
    </w:lvl>
    <w:lvl w:ilvl="7" w:tentative="0">
      <w:start w:val="1"/>
      <w:numFmt w:val="lowerLetter"/>
      <w:lvlText w:val="%8)"/>
      <w:lvlJc w:val="left"/>
      <w:pPr>
        <w:ind w:left="5029" w:hanging="480"/>
      </w:pPr>
    </w:lvl>
    <w:lvl w:ilvl="8" w:tentative="0">
      <w:start w:val="1"/>
      <w:numFmt w:val="lowerRoman"/>
      <w:lvlText w:val="%9."/>
      <w:lvlJc w:val="right"/>
      <w:pPr>
        <w:ind w:left="5509" w:hanging="480"/>
      </w:pPr>
    </w:lvl>
  </w:abstractNum>
  <w:abstractNum w:abstractNumId="4">
    <w:nsid w:val="2C8E0F24"/>
    <w:multiLevelType w:val="multilevel"/>
    <w:tmpl w:val="2C8E0F24"/>
    <w:lvl w:ilvl="0" w:tentative="0">
      <w:start w:val="1"/>
      <w:numFmt w:val="decimal"/>
      <w:lvlText w:val="%1."/>
      <w:lvlJc w:val="left"/>
      <w:pPr>
        <w:ind w:left="1669" w:hanging="480"/>
      </w:pPr>
      <w:rPr>
        <w:rFonts w:hint="eastAsia"/>
      </w:rPr>
    </w:lvl>
    <w:lvl w:ilvl="1" w:tentative="0">
      <w:start w:val="1"/>
      <w:numFmt w:val="lowerLetter"/>
      <w:lvlText w:val="%2)"/>
      <w:lvlJc w:val="left"/>
      <w:pPr>
        <w:ind w:left="2149" w:hanging="480"/>
      </w:pPr>
    </w:lvl>
    <w:lvl w:ilvl="2" w:tentative="0">
      <w:start w:val="1"/>
      <w:numFmt w:val="lowerRoman"/>
      <w:lvlText w:val="%3."/>
      <w:lvlJc w:val="right"/>
      <w:pPr>
        <w:ind w:left="2629" w:hanging="480"/>
      </w:pPr>
    </w:lvl>
    <w:lvl w:ilvl="3" w:tentative="0">
      <w:start w:val="1"/>
      <w:numFmt w:val="decimal"/>
      <w:lvlText w:val="%4."/>
      <w:lvlJc w:val="left"/>
      <w:pPr>
        <w:ind w:left="3109" w:hanging="480"/>
      </w:pPr>
    </w:lvl>
    <w:lvl w:ilvl="4" w:tentative="0">
      <w:start w:val="1"/>
      <w:numFmt w:val="lowerLetter"/>
      <w:lvlText w:val="%5)"/>
      <w:lvlJc w:val="left"/>
      <w:pPr>
        <w:ind w:left="3589" w:hanging="480"/>
      </w:pPr>
    </w:lvl>
    <w:lvl w:ilvl="5" w:tentative="0">
      <w:start w:val="1"/>
      <w:numFmt w:val="lowerRoman"/>
      <w:lvlText w:val="%6."/>
      <w:lvlJc w:val="right"/>
      <w:pPr>
        <w:ind w:left="4069" w:hanging="480"/>
      </w:pPr>
    </w:lvl>
    <w:lvl w:ilvl="6" w:tentative="0">
      <w:start w:val="1"/>
      <w:numFmt w:val="decimal"/>
      <w:lvlText w:val="%7."/>
      <w:lvlJc w:val="left"/>
      <w:pPr>
        <w:ind w:left="4549" w:hanging="480"/>
      </w:pPr>
    </w:lvl>
    <w:lvl w:ilvl="7" w:tentative="0">
      <w:start w:val="1"/>
      <w:numFmt w:val="lowerLetter"/>
      <w:lvlText w:val="%8)"/>
      <w:lvlJc w:val="left"/>
      <w:pPr>
        <w:ind w:left="5029" w:hanging="480"/>
      </w:pPr>
    </w:lvl>
    <w:lvl w:ilvl="8" w:tentative="0">
      <w:start w:val="1"/>
      <w:numFmt w:val="lowerRoman"/>
      <w:lvlText w:val="%9."/>
      <w:lvlJc w:val="right"/>
      <w:pPr>
        <w:ind w:left="5509" w:hanging="480"/>
      </w:pPr>
    </w:lvl>
  </w:abstractNum>
  <w:abstractNum w:abstractNumId="5">
    <w:nsid w:val="2DA70ADF"/>
    <w:multiLevelType w:val="multilevel"/>
    <w:tmpl w:val="2DA70ADF"/>
    <w:lvl w:ilvl="0" w:tentative="0">
      <w:start w:val="1"/>
      <w:numFmt w:val="decimal"/>
      <w:lvlText w:val="%1."/>
      <w:lvlJc w:val="left"/>
      <w:pPr>
        <w:ind w:left="1669" w:hanging="480"/>
      </w:pPr>
      <w:rPr>
        <w:rFonts w:hint="eastAsia"/>
      </w:rPr>
    </w:lvl>
    <w:lvl w:ilvl="1" w:tentative="0">
      <w:start w:val="1"/>
      <w:numFmt w:val="lowerLetter"/>
      <w:lvlText w:val="%2)"/>
      <w:lvlJc w:val="left"/>
      <w:pPr>
        <w:ind w:left="2149" w:hanging="480"/>
      </w:pPr>
    </w:lvl>
    <w:lvl w:ilvl="2" w:tentative="0">
      <w:start w:val="1"/>
      <w:numFmt w:val="lowerRoman"/>
      <w:lvlText w:val="%3."/>
      <w:lvlJc w:val="right"/>
      <w:pPr>
        <w:ind w:left="2629" w:hanging="480"/>
      </w:pPr>
    </w:lvl>
    <w:lvl w:ilvl="3" w:tentative="0">
      <w:start w:val="1"/>
      <w:numFmt w:val="decimal"/>
      <w:lvlText w:val="%4."/>
      <w:lvlJc w:val="left"/>
      <w:pPr>
        <w:ind w:left="3109" w:hanging="480"/>
      </w:pPr>
    </w:lvl>
    <w:lvl w:ilvl="4" w:tentative="0">
      <w:start w:val="1"/>
      <w:numFmt w:val="lowerLetter"/>
      <w:lvlText w:val="%5)"/>
      <w:lvlJc w:val="left"/>
      <w:pPr>
        <w:ind w:left="3589" w:hanging="480"/>
      </w:pPr>
    </w:lvl>
    <w:lvl w:ilvl="5" w:tentative="0">
      <w:start w:val="1"/>
      <w:numFmt w:val="lowerRoman"/>
      <w:lvlText w:val="%6."/>
      <w:lvlJc w:val="right"/>
      <w:pPr>
        <w:ind w:left="4069" w:hanging="480"/>
      </w:pPr>
    </w:lvl>
    <w:lvl w:ilvl="6" w:tentative="0">
      <w:start w:val="1"/>
      <w:numFmt w:val="decimal"/>
      <w:lvlText w:val="%7."/>
      <w:lvlJc w:val="left"/>
      <w:pPr>
        <w:ind w:left="4549" w:hanging="480"/>
      </w:pPr>
    </w:lvl>
    <w:lvl w:ilvl="7" w:tentative="0">
      <w:start w:val="1"/>
      <w:numFmt w:val="lowerLetter"/>
      <w:lvlText w:val="%8)"/>
      <w:lvlJc w:val="left"/>
      <w:pPr>
        <w:ind w:left="5029" w:hanging="480"/>
      </w:pPr>
    </w:lvl>
    <w:lvl w:ilvl="8" w:tentative="0">
      <w:start w:val="1"/>
      <w:numFmt w:val="lowerRoman"/>
      <w:lvlText w:val="%9."/>
      <w:lvlJc w:val="right"/>
      <w:pPr>
        <w:ind w:left="5509" w:hanging="480"/>
      </w:pPr>
    </w:lvl>
  </w:abstractNum>
  <w:abstractNum w:abstractNumId="6">
    <w:nsid w:val="38944F09"/>
    <w:multiLevelType w:val="multilevel"/>
    <w:tmpl w:val="38944F09"/>
    <w:lvl w:ilvl="0" w:tentative="0">
      <w:start w:val="1"/>
      <w:numFmt w:val="decimal"/>
      <w:lvlText w:val="%1."/>
      <w:lvlJc w:val="left"/>
      <w:pPr>
        <w:ind w:left="1680" w:hanging="480"/>
      </w:pPr>
      <w:rPr>
        <w:rFonts w:hint="eastAsia"/>
      </w:rPr>
    </w:lvl>
    <w:lvl w:ilvl="1" w:tentative="0">
      <w:start w:val="1"/>
      <w:numFmt w:val="lowerLetter"/>
      <w:lvlText w:val="%2)"/>
      <w:lvlJc w:val="left"/>
      <w:pPr>
        <w:ind w:left="2160" w:hanging="480"/>
      </w:pPr>
    </w:lvl>
    <w:lvl w:ilvl="2" w:tentative="0">
      <w:start w:val="1"/>
      <w:numFmt w:val="lowerRoman"/>
      <w:lvlText w:val="%3."/>
      <w:lvlJc w:val="right"/>
      <w:pPr>
        <w:ind w:left="2640" w:hanging="480"/>
      </w:pPr>
    </w:lvl>
    <w:lvl w:ilvl="3" w:tentative="0">
      <w:start w:val="1"/>
      <w:numFmt w:val="decimal"/>
      <w:lvlText w:val="%4."/>
      <w:lvlJc w:val="left"/>
      <w:pPr>
        <w:ind w:left="3120" w:hanging="480"/>
      </w:pPr>
    </w:lvl>
    <w:lvl w:ilvl="4" w:tentative="0">
      <w:start w:val="1"/>
      <w:numFmt w:val="lowerLetter"/>
      <w:lvlText w:val="%5)"/>
      <w:lvlJc w:val="left"/>
      <w:pPr>
        <w:ind w:left="3600" w:hanging="480"/>
      </w:pPr>
    </w:lvl>
    <w:lvl w:ilvl="5" w:tentative="0">
      <w:start w:val="1"/>
      <w:numFmt w:val="lowerRoman"/>
      <w:lvlText w:val="%6."/>
      <w:lvlJc w:val="right"/>
      <w:pPr>
        <w:ind w:left="4080" w:hanging="480"/>
      </w:pPr>
    </w:lvl>
    <w:lvl w:ilvl="6" w:tentative="0">
      <w:start w:val="1"/>
      <w:numFmt w:val="decimal"/>
      <w:lvlText w:val="%7."/>
      <w:lvlJc w:val="left"/>
      <w:pPr>
        <w:ind w:left="4560" w:hanging="480"/>
      </w:pPr>
    </w:lvl>
    <w:lvl w:ilvl="7" w:tentative="0">
      <w:start w:val="1"/>
      <w:numFmt w:val="lowerLetter"/>
      <w:lvlText w:val="%8)"/>
      <w:lvlJc w:val="left"/>
      <w:pPr>
        <w:ind w:left="5040" w:hanging="480"/>
      </w:pPr>
    </w:lvl>
    <w:lvl w:ilvl="8" w:tentative="0">
      <w:start w:val="1"/>
      <w:numFmt w:val="lowerRoman"/>
      <w:lvlText w:val="%9."/>
      <w:lvlJc w:val="right"/>
      <w:pPr>
        <w:ind w:left="5520" w:hanging="480"/>
      </w:pPr>
    </w:lvl>
  </w:abstractNum>
  <w:abstractNum w:abstractNumId="7">
    <w:nsid w:val="47041BA5"/>
    <w:multiLevelType w:val="multilevel"/>
    <w:tmpl w:val="47041BA5"/>
    <w:lvl w:ilvl="0" w:tentative="0">
      <w:start w:val="1"/>
      <w:numFmt w:val="decimal"/>
      <w:lvlText w:val="%1."/>
      <w:lvlJc w:val="left"/>
      <w:pPr>
        <w:ind w:left="1680" w:hanging="480"/>
      </w:pPr>
      <w:rPr>
        <w:rFonts w:hint="eastAsia"/>
      </w:rPr>
    </w:lvl>
    <w:lvl w:ilvl="1" w:tentative="0">
      <w:start w:val="1"/>
      <w:numFmt w:val="lowerLetter"/>
      <w:lvlText w:val="%2)"/>
      <w:lvlJc w:val="left"/>
      <w:pPr>
        <w:ind w:left="2160" w:hanging="480"/>
      </w:pPr>
    </w:lvl>
    <w:lvl w:ilvl="2" w:tentative="0">
      <w:start w:val="1"/>
      <w:numFmt w:val="lowerRoman"/>
      <w:lvlText w:val="%3."/>
      <w:lvlJc w:val="right"/>
      <w:pPr>
        <w:ind w:left="2640" w:hanging="480"/>
      </w:pPr>
    </w:lvl>
    <w:lvl w:ilvl="3" w:tentative="0">
      <w:start w:val="1"/>
      <w:numFmt w:val="decimal"/>
      <w:lvlText w:val="%4."/>
      <w:lvlJc w:val="left"/>
      <w:pPr>
        <w:ind w:left="3120" w:hanging="480"/>
      </w:pPr>
    </w:lvl>
    <w:lvl w:ilvl="4" w:tentative="0">
      <w:start w:val="1"/>
      <w:numFmt w:val="lowerLetter"/>
      <w:lvlText w:val="%5)"/>
      <w:lvlJc w:val="left"/>
      <w:pPr>
        <w:ind w:left="3600" w:hanging="480"/>
      </w:pPr>
    </w:lvl>
    <w:lvl w:ilvl="5" w:tentative="0">
      <w:start w:val="1"/>
      <w:numFmt w:val="lowerRoman"/>
      <w:lvlText w:val="%6."/>
      <w:lvlJc w:val="right"/>
      <w:pPr>
        <w:ind w:left="4080" w:hanging="480"/>
      </w:pPr>
    </w:lvl>
    <w:lvl w:ilvl="6" w:tentative="0">
      <w:start w:val="1"/>
      <w:numFmt w:val="decimal"/>
      <w:lvlText w:val="%7."/>
      <w:lvlJc w:val="left"/>
      <w:pPr>
        <w:ind w:left="4560" w:hanging="480"/>
      </w:pPr>
    </w:lvl>
    <w:lvl w:ilvl="7" w:tentative="0">
      <w:start w:val="1"/>
      <w:numFmt w:val="lowerLetter"/>
      <w:lvlText w:val="%8)"/>
      <w:lvlJc w:val="left"/>
      <w:pPr>
        <w:ind w:left="5040" w:hanging="480"/>
      </w:pPr>
    </w:lvl>
    <w:lvl w:ilvl="8" w:tentative="0">
      <w:start w:val="1"/>
      <w:numFmt w:val="lowerRoman"/>
      <w:lvlText w:val="%9."/>
      <w:lvlJc w:val="right"/>
      <w:pPr>
        <w:ind w:left="5520" w:hanging="480"/>
      </w:pPr>
    </w:lvl>
  </w:abstractNum>
  <w:abstractNum w:abstractNumId="8">
    <w:nsid w:val="54586BD6"/>
    <w:multiLevelType w:val="multilevel"/>
    <w:tmpl w:val="54586BD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599C0473"/>
    <w:multiLevelType w:val="multilevel"/>
    <w:tmpl w:val="599C047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5B30A310"/>
    <w:multiLevelType w:val="singleLevel"/>
    <w:tmpl w:val="5B30A310"/>
    <w:lvl w:ilvl="0" w:tentative="0">
      <w:start w:val="1"/>
      <w:numFmt w:val="decimal"/>
      <w:suff w:val="nothing"/>
      <w:lvlText w:val="%1."/>
      <w:lvlJc w:val="left"/>
    </w:lvl>
  </w:abstractNum>
  <w:abstractNum w:abstractNumId="11">
    <w:nsid w:val="77C9309F"/>
    <w:multiLevelType w:val="multilevel"/>
    <w:tmpl w:val="77C9309F"/>
    <w:lvl w:ilvl="0" w:tentative="0">
      <w:start w:val="1"/>
      <w:numFmt w:val="decimal"/>
      <w:lvlText w:val="%1."/>
      <w:lvlJc w:val="left"/>
      <w:pPr>
        <w:ind w:left="1680" w:hanging="480"/>
      </w:pPr>
      <w:rPr>
        <w:rFonts w:hint="eastAsia"/>
      </w:rPr>
    </w:lvl>
    <w:lvl w:ilvl="1" w:tentative="0">
      <w:start w:val="1"/>
      <w:numFmt w:val="lowerLetter"/>
      <w:lvlText w:val="%2)"/>
      <w:lvlJc w:val="left"/>
      <w:pPr>
        <w:ind w:left="2160" w:hanging="480"/>
      </w:pPr>
    </w:lvl>
    <w:lvl w:ilvl="2" w:tentative="0">
      <w:start w:val="1"/>
      <w:numFmt w:val="lowerRoman"/>
      <w:lvlText w:val="%3."/>
      <w:lvlJc w:val="right"/>
      <w:pPr>
        <w:ind w:left="2640" w:hanging="480"/>
      </w:pPr>
    </w:lvl>
    <w:lvl w:ilvl="3" w:tentative="0">
      <w:start w:val="1"/>
      <w:numFmt w:val="decimal"/>
      <w:lvlText w:val="%4."/>
      <w:lvlJc w:val="left"/>
      <w:pPr>
        <w:ind w:left="3120" w:hanging="480"/>
      </w:pPr>
    </w:lvl>
    <w:lvl w:ilvl="4" w:tentative="0">
      <w:start w:val="1"/>
      <w:numFmt w:val="lowerLetter"/>
      <w:lvlText w:val="%5)"/>
      <w:lvlJc w:val="left"/>
      <w:pPr>
        <w:ind w:left="3600" w:hanging="480"/>
      </w:pPr>
    </w:lvl>
    <w:lvl w:ilvl="5" w:tentative="0">
      <w:start w:val="1"/>
      <w:numFmt w:val="lowerRoman"/>
      <w:lvlText w:val="%6."/>
      <w:lvlJc w:val="right"/>
      <w:pPr>
        <w:ind w:left="4080" w:hanging="480"/>
      </w:pPr>
    </w:lvl>
    <w:lvl w:ilvl="6" w:tentative="0">
      <w:start w:val="1"/>
      <w:numFmt w:val="decimal"/>
      <w:lvlText w:val="%7."/>
      <w:lvlJc w:val="left"/>
      <w:pPr>
        <w:ind w:left="4560" w:hanging="480"/>
      </w:pPr>
    </w:lvl>
    <w:lvl w:ilvl="7" w:tentative="0">
      <w:start w:val="1"/>
      <w:numFmt w:val="lowerLetter"/>
      <w:lvlText w:val="%8)"/>
      <w:lvlJc w:val="left"/>
      <w:pPr>
        <w:ind w:left="5040" w:hanging="480"/>
      </w:pPr>
    </w:lvl>
    <w:lvl w:ilvl="8" w:tentative="0">
      <w:start w:val="1"/>
      <w:numFmt w:val="lowerRoman"/>
      <w:lvlText w:val="%9."/>
      <w:lvlJc w:val="right"/>
      <w:pPr>
        <w:ind w:left="5520" w:hanging="480"/>
      </w:pPr>
    </w:lvl>
  </w:abstractNum>
  <w:abstractNum w:abstractNumId="12">
    <w:nsid w:val="785F2DFD"/>
    <w:multiLevelType w:val="multilevel"/>
    <w:tmpl w:val="785F2DFD"/>
    <w:lvl w:ilvl="0" w:tentative="0">
      <w:start w:val="1"/>
      <w:numFmt w:val="japaneseCounting"/>
      <w:lvlText w:val="%1、"/>
      <w:lvlJc w:val="left"/>
      <w:pPr>
        <w:ind w:left="1189" w:hanging="480"/>
      </w:pPr>
      <w:rPr>
        <w:rFonts w:hint="eastAsia"/>
      </w:rPr>
    </w:lvl>
    <w:lvl w:ilvl="1" w:tentative="0">
      <w:start w:val="1"/>
      <w:numFmt w:val="lowerLetter"/>
      <w:lvlText w:val="%2)"/>
      <w:lvlJc w:val="left"/>
      <w:pPr>
        <w:ind w:left="1669" w:hanging="480"/>
      </w:pPr>
    </w:lvl>
    <w:lvl w:ilvl="2" w:tentative="0">
      <w:start w:val="1"/>
      <w:numFmt w:val="lowerRoman"/>
      <w:lvlText w:val="%3."/>
      <w:lvlJc w:val="right"/>
      <w:pPr>
        <w:ind w:left="2149" w:hanging="480"/>
      </w:pPr>
    </w:lvl>
    <w:lvl w:ilvl="3" w:tentative="0">
      <w:start w:val="1"/>
      <w:numFmt w:val="decimal"/>
      <w:lvlText w:val="%4."/>
      <w:lvlJc w:val="left"/>
      <w:pPr>
        <w:ind w:left="2629" w:hanging="480"/>
      </w:pPr>
    </w:lvl>
    <w:lvl w:ilvl="4" w:tentative="0">
      <w:start w:val="1"/>
      <w:numFmt w:val="lowerLetter"/>
      <w:lvlText w:val="%5)"/>
      <w:lvlJc w:val="left"/>
      <w:pPr>
        <w:ind w:left="3109" w:hanging="480"/>
      </w:pPr>
    </w:lvl>
    <w:lvl w:ilvl="5" w:tentative="0">
      <w:start w:val="1"/>
      <w:numFmt w:val="lowerRoman"/>
      <w:lvlText w:val="%6."/>
      <w:lvlJc w:val="right"/>
      <w:pPr>
        <w:ind w:left="3589" w:hanging="480"/>
      </w:pPr>
    </w:lvl>
    <w:lvl w:ilvl="6" w:tentative="0">
      <w:start w:val="1"/>
      <w:numFmt w:val="decimal"/>
      <w:lvlText w:val="%7."/>
      <w:lvlJc w:val="left"/>
      <w:pPr>
        <w:ind w:left="4069" w:hanging="480"/>
      </w:pPr>
    </w:lvl>
    <w:lvl w:ilvl="7" w:tentative="0">
      <w:start w:val="1"/>
      <w:numFmt w:val="lowerLetter"/>
      <w:lvlText w:val="%8)"/>
      <w:lvlJc w:val="left"/>
      <w:pPr>
        <w:ind w:left="4549" w:hanging="480"/>
      </w:pPr>
    </w:lvl>
    <w:lvl w:ilvl="8" w:tentative="0">
      <w:start w:val="1"/>
      <w:numFmt w:val="lowerRoman"/>
      <w:lvlText w:val="%9."/>
      <w:lvlJc w:val="right"/>
      <w:pPr>
        <w:ind w:left="5029" w:hanging="480"/>
      </w:pPr>
    </w:lvl>
  </w:abstractNum>
  <w:abstractNum w:abstractNumId="13">
    <w:nsid w:val="79EF1347"/>
    <w:multiLevelType w:val="multilevel"/>
    <w:tmpl w:val="79EF1347"/>
    <w:lvl w:ilvl="0" w:tentative="0">
      <w:start w:val="1"/>
      <w:numFmt w:val="chineseCountingThousand"/>
      <w:lvlText w:val="%1、"/>
      <w:lvlJc w:val="left"/>
      <w:pPr>
        <w:ind w:left="1200" w:hanging="480"/>
      </w:pPr>
      <w:rPr>
        <w:rFonts w:hint="eastAsia" w:ascii="宋体" w:hAnsi="宋体" w:eastAsia="宋体"/>
      </w:rPr>
    </w:lvl>
    <w:lvl w:ilvl="1" w:tentative="0">
      <w:start w:val="1"/>
      <w:numFmt w:val="lowerLetter"/>
      <w:lvlText w:val="%2)"/>
      <w:lvlJc w:val="left"/>
      <w:pPr>
        <w:ind w:left="1680" w:hanging="480"/>
      </w:pPr>
    </w:lvl>
    <w:lvl w:ilvl="2" w:tentative="0">
      <w:start w:val="1"/>
      <w:numFmt w:val="lowerRoman"/>
      <w:lvlText w:val="%3."/>
      <w:lvlJc w:val="right"/>
      <w:pPr>
        <w:ind w:left="2160" w:hanging="480"/>
      </w:pPr>
    </w:lvl>
    <w:lvl w:ilvl="3" w:tentative="0">
      <w:start w:val="1"/>
      <w:numFmt w:val="decimal"/>
      <w:lvlText w:val="%4."/>
      <w:lvlJc w:val="left"/>
      <w:pPr>
        <w:ind w:left="2640" w:hanging="480"/>
      </w:pPr>
    </w:lvl>
    <w:lvl w:ilvl="4" w:tentative="0">
      <w:start w:val="1"/>
      <w:numFmt w:val="lowerLetter"/>
      <w:lvlText w:val="%5)"/>
      <w:lvlJc w:val="left"/>
      <w:pPr>
        <w:ind w:left="3120" w:hanging="480"/>
      </w:pPr>
    </w:lvl>
    <w:lvl w:ilvl="5" w:tentative="0">
      <w:start w:val="1"/>
      <w:numFmt w:val="lowerRoman"/>
      <w:lvlText w:val="%6."/>
      <w:lvlJc w:val="right"/>
      <w:pPr>
        <w:ind w:left="3600" w:hanging="480"/>
      </w:pPr>
    </w:lvl>
    <w:lvl w:ilvl="6" w:tentative="0">
      <w:start w:val="1"/>
      <w:numFmt w:val="decimal"/>
      <w:lvlText w:val="%7."/>
      <w:lvlJc w:val="left"/>
      <w:pPr>
        <w:ind w:left="4080" w:hanging="480"/>
      </w:pPr>
    </w:lvl>
    <w:lvl w:ilvl="7" w:tentative="0">
      <w:start w:val="1"/>
      <w:numFmt w:val="lowerLetter"/>
      <w:lvlText w:val="%8)"/>
      <w:lvlJc w:val="left"/>
      <w:pPr>
        <w:ind w:left="4560" w:hanging="480"/>
      </w:pPr>
    </w:lvl>
    <w:lvl w:ilvl="8" w:tentative="0">
      <w:start w:val="1"/>
      <w:numFmt w:val="lowerRoman"/>
      <w:lvlText w:val="%9."/>
      <w:lvlJc w:val="right"/>
      <w:pPr>
        <w:ind w:left="5040" w:hanging="480"/>
      </w:pPr>
    </w:lvl>
  </w:abstractNum>
  <w:num w:numId="1">
    <w:abstractNumId w:val="8"/>
  </w:num>
  <w:num w:numId="2">
    <w:abstractNumId w:val="9"/>
  </w:num>
  <w:num w:numId="3">
    <w:abstractNumId w:val="13"/>
  </w:num>
  <w:num w:numId="4">
    <w:abstractNumId w:val="7"/>
  </w:num>
  <w:num w:numId="5">
    <w:abstractNumId w:val="2"/>
  </w:num>
  <w:num w:numId="6">
    <w:abstractNumId w:val="12"/>
  </w:num>
  <w:num w:numId="7">
    <w:abstractNumId w:val="5"/>
  </w:num>
  <w:num w:numId="8">
    <w:abstractNumId w:val="4"/>
  </w:num>
  <w:num w:numId="9">
    <w:abstractNumId w:val="3"/>
  </w:num>
  <w:num w:numId="10">
    <w:abstractNumId w:val="0"/>
  </w:num>
  <w:num w:numId="11">
    <w:abstractNumId w:val="6"/>
  </w:num>
  <w:num w:numId="12">
    <w:abstractNumId w:val="11"/>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A2596"/>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95321"/>
    <w:rsid w:val="009B74C9"/>
    <w:rsid w:val="009F1362"/>
    <w:rsid w:val="00AB3A77"/>
    <w:rsid w:val="00B05CFB"/>
    <w:rsid w:val="00B944D8"/>
    <w:rsid w:val="00C473A3"/>
    <w:rsid w:val="00CD04FE"/>
    <w:rsid w:val="00D46862"/>
    <w:rsid w:val="00D47868"/>
    <w:rsid w:val="00D61ADB"/>
    <w:rsid w:val="00DA7308"/>
    <w:rsid w:val="00FA3F21"/>
    <w:rsid w:val="03013F78"/>
    <w:rsid w:val="09497C15"/>
    <w:rsid w:val="0D29619B"/>
    <w:rsid w:val="120C5579"/>
    <w:rsid w:val="16767684"/>
    <w:rsid w:val="180839B6"/>
    <w:rsid w:val="18AA49CE"/>
    <w:rsid w:val="1E0846AD"/>
    <w:rsid w:val="1E9513D1"/>
    <w:rsid w:val="1FF73B08"/>
    <w:rsid w:val="24FE1C1A"/>
    <w:rsid w:val="2A9946CC"/>
    <w:rsid w:val="2E8F4157"/>
    <w:rsid w:val="2F20473C"/>
    <w:rsid w:val="359F2EF3"/>
    <w:rsid w:val="3EC641CB"/>
    <w:rsid w:val="41FA4F75"/>
    <w:rsid w:val="4289324C"/>
    <w:rsid w:val="4ABE0178"/>
    <w:rsid w:val="4B9A0D61"/>
    <w:rsid w:val="50E94570"/>
    <w:rsid w:val="526117B6"/>
    <w:rsid w:val="528637C2"/>
    <w:rsid w:val="557D798A"/>
    <w:rsid w:val="5AE41122"/>
    <w:rsid w:val="5CBC1B2B"/>
    <w:rsid w:val="616F4FA8"/>
    <w:rsid w:val="63352E4C"/>
    <w:rsid w:val="645A42B3"/>
    <w:rsid w:val="64CB7612"/>
    <w:rsid w:val="656F550D"/>
    <w:rsid w:val="68EE2B26"/>
    <w:rsid w:val="6AA221E0"/>
    <w:rsid w:val="6B996D3E"/>
    <w:rsid w:val="6FA974C0"/>
    <w:rsid w:val="704D4DCA"/>
    <w:rsid w:val="713E5EB9"/>
    <w:rsid w:val="749B5A6C"/>
    <w:rsid w:val="7A6A11E6"/>
    <w:rsid w:val="7A725560"/>
    <w:rsid w:val="7C2F6D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nhideWhenUsed/>
    <w:qFormat/>
    <w:uiPriority w:val="0"/>
  </w:style>
  <w:style w:type="character" w:styleId="9">
    <w:name w:val="FollowedHyperlink"/>
    <w:unhideWhenUsed/>
    <w:qFormat/>
    <w:uiPriority w:val="0"/>
    <w:rPr>
      <w:color w:val="800080"/>
      <w:u w:val="single"/>
    </w:rPr>
  </w:style>
  <w:style w:type="character" w:styleId="10">
    <w:name w:val="Hyperlink"/>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无间隔1"/>
    <w:qFormat/>
    <w:uiPriority w:val="1"/>
    <w:rPr>
      <w:rFonts w:ascii="DengXian" w:hAnsi="DengXian" w:eastAsia="Microsoft YaHei UI" w:cs="Arial"/>
      <w:sz w:val="22"/>
      <w:szCs w:val="22"/>
      <w:lang w:val="en-US" w:eastAsia="zh-CN" w:bidi="ar-SA"/>
    </w:rPr>
  </w:style>
  <w:style w:type="paragraph" w:customStyle="1" w:styleId="14">
    <w:name w:val="列出段落2"/>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5"/>
    <w:qFormat/>
    <w:uiPriority w:val="99"/>
    <w:rPr>
      <w:kern w:val="2"/>
      <w:sz w:val="18"/>
      <w:szCs w:val="22"/>
    </w:rPr>
  </w:style>
  <w:style w:type="character" w:customStyle="1" w:styleId="17">
    <w:name w:val="标题 1字符"/>
    <w:link w:val="2"/>
    <w:qFormat/>
    <w:uiPriority w:val="9"/>
    <w:rPr>
      <w:rFonts w:ascii="Calibri" w:hAnsi="Calibri"/>
      <w:b/>
      <w:bCs/>
      <w:kern w:val="44"/>
      <w:sz w:val="44"/>
      <w:szCs w:val="44"/>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941</Words>
  <Characters>5367</Characters>
  <Lines>44</Lines>
  <Paragraphs>12</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Administrator</cp:lastModifiedBy>
  <dcterms:modified xsi:type="dcterms:W3CDTF">2018-07-19T06:47:14Z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