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ascii="仿宋" w:hAnsi="仿宋" w:eastAsia="微软雅黑"/>
          <w:sz w:val="24"/>
          <w:szCs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" w:hAnsi="仿宋" w:eastAsia="微软雅黑"/>
          <w:sz w:val="24"/>
          <w:szCs w:val="24"/>
        </w:rPr>
      </w:pPr>
      <w:r>
        <w:rPr>
          <w:rFonts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52.25pt;width:414.9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总经理的HR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/>
        </w:rPr>
        <w:t>018年蓝草企业特别为学员终端客户推出“快乐Plus大礼包”政策（适用范围）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1.2人以上（含2人）同时报名，享受实际报价的90%。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2.5人以上（含5人）同时报名，享受实际报价的80%。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3.学员学习期间可以得到“快乐培训增值礼” 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成为“蓝草club”会员的学员，报名参加另外蓝草举办的培训课程的，可以享受该培训课程9折优惠。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4.学员学习期间可以得到“快乐Plus大礼包”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免费中午营养午餐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可获课件（PDF版）及教材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培训期间学习态度认真的，并表现优异可有机会获得奖学金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来临授课城市外地学员，享受当地旅游观光费用补贴（价值100元）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蓝草企业：为快乐培训 为培训更快乐！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未尽事宜，恭请致电13601837936，了解详情。</w:t>
      </w: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          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1F4E79"/>
        </w:rPr>
        <w:t>课程对象：</w:t>
      </w:r>
      <w:r>
        <w:rPr>
          <w:rFonts w:ascii="微软雅黑" w:hAnsi="微软雅黑" w:eastAsia="微软雅黑"/>
        </w:rPr>
        <w:t>人力资源工作者、企业高层管理者、企业中层管理者、企业基层管理者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1F4E79"/>
        </w:rPr>
      </w:pPr>
      <w:r>
        <w:rPr>
          <w:rFonts w:ascii="微软雅黑" w:hAnsi="微软雅黑" w:eastAsia="微软雅黑"/>
          <w:b/>
          <w:color w:val="1F4E79"/>
        </w:rPr>
        <w:t>课程</w:t>
      </w:r>
      <w:r>
        <w:rPr>
          <w:rFonts w:hint="eastAsia" w:ascii="微软雅黑" w:hAnsi="微软雅黑" w:eastAsia="微软雅黑"/>
          <w:b/>
          <w:color w:val="1F4E79"/>
        </w:rPr>
        <w:t>价值</w:t>
      </w:r>
      <w:r>
        <w:rPr>
          <w:rFonts w:ascii="微软雅黑" w:hAnsi="微软雅黑" w:eastAsia="微软雅黑"/>
          <w:b/>
          <w:color w:val="1F4E79"/>
        </w:rPr>
        <w:t>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</w:t>
      </w:r>
      <w:r>
        <w:rPr>
          <w:rFonts w:ascii="微软雅黑" w:hAnsi="微软雅黑" w:eastAsia="微软雅黑"/>
        </w:rPr>
        <w:t>.学术性强：主要针对具有一定管理经验，人力资源岗位工作者而设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</w:t>
      </w:r>
      <w:r>
        <w:rPr>
          <w:rFonts w:ascii="微软雅黑" w:hAnsi="微软雅黑" w:eastAsia="微软雅黑"/>
        </w:rPr>
        <w:t>.实用性强：案例丰富而经典，相关技术操作为企业人力资源规划落地提供帮助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</w:t>
      </w:r>
      <w:r>
        <w:rPr>
          <w:rFonts w:ascii="微软雅黑" w:hAnsi="微软雅黑" w:eastAsia="微软雅黑"/>
        </w:rPr>
        <w:t>.系统性强：关于人力资源规划的全部内容与各阶层均包容在内，是企业人力资源高、中、基层与管理层学习的最佳课程。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</w:t>
      </w:r>
      <w:r>
        <w:rPr>
          <w:rFonts w:ascii="微软雅黑" w:hAnsi="微软雅黑" w:eastAsia="微软雅黑"/>
        </w:rPr>
        <w:t>.可操作性强：企业可依据课程进行辅导操作得明显效果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通过本课程的学习，将让员工达到掌握战略人力资源规划制定的步骤，学习战略分析工具，应用SWOT、RBV等工具分析企业核心竞争优势。学习人力资源规划中的需求预测技术、供给盘点技术，以及人力资源行动计划的有关方法。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1F4E79"/>
        </w:rPr>
        <w:t>课程时间：</w:t>
      </w:r>
      <w:r>
        <w:rPr>
          <w:rFonts w:ascii="微软雅黑" w:hAnsi="微软雅黑" w:eastAsia="微软雅黑"/>
        </w:rPr>
        <w:t>2天，6小时</w:t>
      </w:r>
      <w:r>
        <w:rPr>
          <w:rFonts w:hint="eastAsia" w:ascii="微软雅黑" w:hAnsi="微软雅黑" w:eastAsia="微软雅黑"/>
        </w:rPr>
        <w:t>/天</w:t>
      </w:r>
    </w:p>
    <w:p>
      <w:pPr>
        <w:pStyle w:val="6"/>
        <w:spacing w:before="0" w:beforeAutospacing="0" w:after="0" w:afterAutospacing="0" w:line="460" w:lineRule="exact"/>
        <w:jc w:val="center"/>
        <w:rPr>
          <w:rFonts w:ascii="微软雅黑" w:hAnsi="微软雅黑" w:eastAsia="微软雅黑"/>
          <w:b/>
          <w:color w:val="1F4E79"/>
        </w:rPr>
      </w:pPr>
      <w:r>
        <w:rPr>
          <w:rFonts w:ascii="微软雅黑" w:hAnsi="微软雅黑" w:eastAsia="微软雅黑"/>
          <w:b/>
          <w:color w:val="1F4E79"/>
        </w:rPr>
        <w:t>课程大纲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第一讲</w:t>
      </w:r>
      <w:r>
        <w:rPr>
          <w:rFonts w:ascii="微软雅黑" w:hAnsi="微软雅黑" w:eastAsia="微软雅黑"/>
          <w:b/>
          <w:color w:val="1F4E79"/>
        </w:rPr>
        <w:t>：新经济时代的人力资源“战略规划”——高度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一、</w:t>
      </w:r>
      <w:r>
        <w:rPr>
          <w:rFonts w:ascii="微软雅黑" w:hAnsi="微软雅黑" w:eastAsia="微软雅黑"/>
          <w:b/>
          <w:color w:val="C45911"/>
        </w:rPr>
        <w:t>战略HR 规划历程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经验管理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科学管理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人本管理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现代管理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二、</w:t>
      </w:r>
      <w:r>
        <w:rPr>
          <w:rFonts w:ascii="微软雅黑" w:hAnsi="微软雅黑" w:eastAsia="微软雅黑"/>
          <w:b/>
          <w:color w:val="C45911"/>
        </w:rPr>
        <w:t>战略HR规划标准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五个标准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案例教学：</w:t>
      </w:r>
      <w:r>
        <w:rPr>
          <w:rFonts w:ascii="微软雅黑" w:hAnsi="微软雅黑" w:eastAsia="微软雅黑"/>
        </w:rPr>
        <w:t>国家级战略HR规划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案例教学：</w:t>
      </w:r>
      <w:r>
        <w:rPr>
          <w:rFonts w:ascii="微软雅黑" w:hAnsi="微软雅黑" w:eastAsia="微软雅黑"/>
        </w:rPr>
        <w:t>三个企业战略HR规划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案例教学：</w:t>
      </w:r>
      <w:r>
        <w:rPr>
          <w:rFonts w:ascii="微软雅黑" w:hAnsi="微软雅黑" w:eastAsia="微软雅黑"/>
        </w:rPr>
        <w:t>大学生HR战略规划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三、</w:t>
      </w:r>
      <w:r>
        <w:rPr>
          <w:rFonts w:ascii="微软雅黑" w:hAnsi="微软雅黑" w:eastAsia="微软雅黑"/>
          <w:b/>
          <w:color w:val="C45911"/>
        </w:rPr>
        <w:t>战略HR规划方法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本企业战略分析：物美、价廉型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战略HR规划三套标准工具介绍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分组演练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以本企业为案例+点评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第二讲</w:t>
      </w:r>
      <w:r>
        <w:rPr>
          <w:rFonts w:ascii="微软雅黑" w:hAnsi="微软雅黑" w:eastAsia="微软雅黑"/>
          <w:b/>
          <w:color w:val="1F4E79"/>
        </w:rPr>
        <w:t>：战略培训体系设计与“人才评估”——宽度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一、</w:t>
      </w:r>
      <w:r>
        <w:rPr>
          <w:rFonts w:ascii="微软雅黑" w:hAnsi="微软雅黑" w:eastAsia="微软雅黑"/>
          <w:b/>
          <w:color w:val="C45911"/>
        </w:rPr>
        <w:t>培训需求分析源自企业战略(分组演练)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战略导向的培训体系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培训核心是组织学习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培训是管理者的职责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手把手教你做出需求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二、</w:t>
      </w:r>
      <w:r>
        <w:rPr>
          <w:rFonts w:ascii="微软雅黑" w:hAnsi="微软雅黑" w:eastAsia="微软雅黑"/>
          <w:b/>
          <w:color w:val="C45911"/>
        </w:rPr>
        <w:t>培训需求分析与年度培训绩效(分组演练)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侧重在职培训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与业务贴身走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内容聚集业务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手把手教你培训如何落地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三、</w:t>
      </w:r>
      <w:r>
        <w:rPr>
          <w:rFonts w:ascii="微软雅黑" w:hAnsi="微软雅黑" w:eastAsia="微软雅黑"/>
          <w:b/>
          <w:color w:val="C45911"/>
        </w:rPr>
        <w:t>如何进行员工年度系统培训(分组演练)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搭起课程框架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开发标准课程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职业生涯规划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手把手教你做出年度计划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四、</w:t>
      </w:r>
      <w:r>
        <w:rPr>
          <w:rFonts w:ascii="微软雅黑" w:hAnsi="微软雅黑" w:eastAsia="微软雅黑"/>
          <w:b/>
          <w:color w:val="C45911"/>
        </w:rPr>
        <w:t>人才评估体系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测试员工的职业优势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职业定位：对员工进行可塑性挖掘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职业通路 ：为员工设计辅导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4. 人才盘点与人才评估体系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第三讲</w:t>
      </w:r>
      <w:r>
        <w:rPr>
          <w:rFonts w:ascii="微软雅黑" w:hAnsi="微软雅黑" w:eastAsia="微软雅黑"/>
          <w:b/>
          <w:color w:val="1F4E79"/>
        </w:rPr>
        <w:t>：企业战略性绩效管理OKR模型——深度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(绩效数据管理的OKR(Objectives and Key Results目标和主要成果) 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一、</w:t>
      </w:r>
      <w:r>
        <w:rPr>
          <w:rFonts w:ascii="微软雅黑" w:hAnsi="微软雅黑" w:eastAsia="微软雅黑"/>
          <w:b/>
          <w:color w:val="C45911"/>
        </w:rPr>
        <w:t>绩效计划的OKR模型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绩效计划的2个OKR原则：必须量化与战略化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绩效计划沟通的“5+3”OKR模型：PBC文书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演示：心理学为OKR的贡献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二、</w:t>
      </w:r>
      <w:r>
        <w:rPr>
          <w:rFonts w:ascii="微软雅黑" w:hAnsi="微软雅黑" w:eastAsia="微软雅黑"/>
          <w:b/>
          <w:color w:val="C45911"/>
        </w:rPr>
        <w:t>绩效控制的OKR模型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过程控制三步曲模型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动态计划与复盘总结“表格与5个分级”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授权管理的5个档位与企业网格积分管理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三、</w:t>
      </w:r>
      <w:r>
        <w:rPr>
          <w:rFonts w:ascii="微软雅黑" w:hAnsi="微软雅黑" w:eastAsia="微软雅黑"/>
          <w:b/>
          <w:color w:val="C45911"/>
        </w:rPr>
        <w:t>绩效评估的OKR模型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潜能维度与绩效维度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绩效评估的OKR模型：九宫格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分组演练：</w:t>
      </w:r>
      <w:r>
        <w:rPr>
          <w:rFonts w:ascii="微软雅黑" w:hAnsi="微软雅黑" w:eastAsia="微软雅黑"/>
        </w:rPr>
        <w:t>情境案例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四、</w:t>
      </w:r>
      <w:r>
        <w:rPr>
          <w:rFonts w:ascii="微软雅黑" w:hAnsi="微软雅黑" w:eastAsia="微软雅黑"/>
          <w:b/>
          <w:color w:val="C45911"/>
        </w:rPr>
        <w:t>绩效面谈的OKR模型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绩效面谈的标准表格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绩效辅导10要点(源自日资企业的辅导思考)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大型演练：</w:t>
      </w:r>
      <w:r>
        <w:rPr>
          <w:rFonts w:ascii="微软雅黑" w:hAnsi="微软雅黑" w:eastAsia="微软雅黑"/>
        </w:rPr>
        <w:t>情境绩效面谈与辅导(推演出：绩效面谈的OKR模型)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五、</w:t>
      </w:r>
      <w:r>
        <w:rPr>
          <w:rFonts w:ascii="微软雅黑" w:hAnsi="微软雅黑" w:eastAsia="微软雅黑"/>
          <w:b/>
          <w:color w:val="C45911"/>
        </w:rPr>
        <w:t>绩效结果应用的OKR模型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绩效结果应用的OKR模型：人力资本的经营三方略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一枚硬币的两个面：绩效结果与薪酬调整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职业生涯规划的第一手资料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1F4E79"/>
        </w:rPr>
      </w:pPr>
      <w:r>
        <w:rPr>
          <w:rFonts w:hint="eastAsia" w:ascii="微软雅黑" w:hAnsi="微软雅黑" w:eastAsia="微软雅黑"/>
          <w:b/>
          <w:color w:val="1F4E79"/>
        </w:rPr>
        <w:t>第四讲</w:t>
      </w:r>
      <w:r>
        <w:rPr>
          <w:rFonts w:ascii="微软雅黑" w:hAnsi="微软雅黑" w:eastAsia="微软雅黑"/>
          <w:b/>
          <w:color w:val="1F4E79"/>
        </w:rPr>
        <w:t>：薪酬福利与激励政策设计——刻度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一、</w:t>
      </w:r>
      <w:r>
        <w:rPr>
          <w:rFonts w:ascii="微软雅黑" w:hAnsi="微软雅黑" w:eastAsia="微软雅黑"/>
          <w:b/>
          <w:color w:val="C45911"/>
        </w:rPr>
        <w:t>研讨：企业薪酬管理中存在的问题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影响员工薪酬的元素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薪酬设计的五大法则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分组：说说您的企业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二、</w:t>
      </w:r>
      <w:r>
        <w:rPr>
          <w:rFonts w:ascii="微软雅黑" w:hAnsi="微软雅黑" w:eastAsia="微软雅黑"/>
          <w:b/>
          <w:color w:val="C45911"/>
        </w:rPr>
        <w:t>薪酬调查，把握外部竞争力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薪酬调查市场报告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自己进行薪酬市场调查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员工薪酬满意度调查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二、</w:t>
      </w:r>
      <w:r>
        <w:rPr>
          <w:rFonts w:ascii="微软雅黑" w:hAnsi="微软雅黑" w:eastAsia="微软雅黑"/>
          <w:b/>
          <w:color w:val="C45911"/>
        </w:rPr>
        <w:t>岗位评价，把握内部的公平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案例：</w:t>
      </w:r>
      <w:r>
        <w:rPr>
          <w:rFonts w:ascii="微软雅黑" w:hAnsi="微软雅黑" w:eastAsia="微软雅黑"/>
        </w:rPr>
        <w:t>我们一起来比较新老员工这两个岗位的收入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国际上知名的评价方法介绍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案例展示：</w:t>
      </w:r>
      <w:r>
        <w:rPr>
          <w:rFonts w:ascii="微软雅黑" w:hAnsi="微软雅黑" w:eastAsia="微软雅黑"/>
        </w:rPr>
        <w:t>市场对标与贵企业薪酬设计(国内+国际案例)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四、</w:t>
      </w:r>
      <w:r>
        <w:rPr>
          <w:rFonts w:ascii="微软雅黑" w:hAnsi="微软雅黑" w:eastAsia="微软雅黑"/>
          <w:b/>
          <w:color w:val="C45911"/>
        </w:rPr>
        <w:t>薪酬设计的成本管理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绩效结果的科学应用模型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长工资的两个刚性理论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绩效矩阵应用解读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  <w:b/>
          <w:color w:val="C45911"/>
        </w:rPr>
      </w:pPr>
      <w:r>
        <w:rPr>
          <w:rFonts w:hint="eastAsia" w:ascii="微软雅黑" w:hAnsi="微软雅黑" w:eastAsia="微软雅黑"/>
          <w:b/>
          <w:color w:val="C45911"/>
        </w:rPr>
        <w:t>五、</w:t>
      </w:r>
      <w:r>
        <w:rPr>
          <w:rFonts w:ascii="微软雅黑" w:hAnsi="微软雅黑" w:eastAsia="微软雅黑"/>
          <w:b/>
          <w:color w:val="C45911"/>
        </w:rPr>
        <w:t>薪酬的激励配方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 薪酬激励模式的选择与设计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 非物质激励的模型设计</w:t>
      </w:r>
    </w:p>
    <w:p>
      <w:pPr>
        <w:pStyle w:val="6"/>
        <w:spacing w:before="0" w:beforeAutospacing="0" w:after="0" w:afterAutospacing="0" w:line="4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3. 一图抵千言：薪酬激励的专业综合图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</w:rPr>
      </w:pPr>
      <w:r>
        <w:pict>
          <v:shape id="_x0000_s1026" o:spid="_x0000_s1026" o:spt="75" type="#_x0000_t75" style="position:absolute;left:0pt;margin-left:287.25pt;margin-top:-16.95pt;height:146.5pt;width:145.5pt;z-index:251661312;mso-width-relative:page;mso-height-relative:page;" filled="f" stroked="f" coordsize="21600,21600">
            <v:path/>
            <v:fill on="f" focussize="0,0"/>
            <v:stroke on="f"/>
            <v:imagedata r:id="rId7" o:title="微信图片_20170719201729"/>
            <o:lock v:ext="edit" aspectratio="t"/>
          </v:shape>
        </w:pict>
      </w:r>
      <w:r>
        <w:rPr>
          <w:rStyle w:val="18"/>
          <w:rFonts w:hint="eastAsia"/>
          <w:sz w:val="84"/>
          <w:szCs w:val="84"/>
        </w:rPr>
        <w:t xml:space="preserve">陈晓华 </w:t>
      </w:r>
      <w:r>
        <w:rPr>
          <w:rFonts w:hint="eastAsia" w:ascii="微软雅黑" w:hAnsi="微软雅黑" w:eastAsia="微软雅黑"/>
          <w:b/>
          <w:bCs/>
          <w:color w:val="000000"/>
          <w:sz w:val="24"/>
        </w:rPr>
        <w:t xml:space="preserve"> 英文名 lucky 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副总经理 </w:t>
      </w:r>
      <w:r>
        <w:rPr>
          <w:rFonts w:hint="eastAsia" w:ascii="微软雅黑" w:hAnsi="微软雅黑" w:eastAsia="微软雅黑"/>
          <w:kern w:val="0"/>
          <w:sz w:val="24"/>
        </w:rPr>
        <w:t>资深自由职业培训师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心理学硕士 国家二级心理咨询师 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众多知名企业总经理私人心理顾问及人才管理顾问；曾担任多家知名企业面试官，负责人才选拔晋升等评估工作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具有深厚幸福心理学研究背景的高级实战讲师，独创90后员工幸福指数、幸福度管理体系；（满意度-敬业度-幸福度）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2008年开始拜师</w:t>
      </w:r>
      <w:r>
        <w:rPr>
          <w:rFonts w:ascii="微软雅黑" w:hAnsi="微软雅黑" w:eastAsia="微软雅黑"/>
          <w:sz w:val="24"/>
        </w:rPr>
        <w:t>美国著名的心理学家斯蒂文.海斯（Steven C.Hayes) 教授</w:t>
      </w:r>
      <w:r>
        <w:rPr>
          <w:rFonts w:hint="eastAsia" w:ascii="微软雅黑" w:hAnsi="微软雅黑" w:eastAsia="微软雅黑"/>
          <w:sz w:val="24"/>
        </w:rPr>
        <w:t>——</w:t>
      </w:r>
      <w:r>
        <w:rPr>
          <w:rFonts w:ascii="微软雅黑" w:hAnsi="微软雅黑" w:eastAsia="微软雅黑"/>
          <w:sz w:val="24"/>
        </w:rPr>
        <w:t>接</w:t>
      </w:r>
      <w:r>
        <w:rPr>
          <w:rFonts w:hint="eastAsia" w:ascii="微软雅黑" w:hAnsi="微软雅黑" w:eastAsia="微软雅黑"/>
          <w:sz w:val="24"/>
        </w:rPr>
        <w:t>纳</w:t>
      </w:r>
      <w:r>
        <w:rPr>
          <w:rFonts w:ascii="微软雅黑" w:hAnsi="微软雅黑" w:eastAsia="微软雅黑"/>
          <w:sz w:val="24"/>
        </w:rPr>
        <w:t>与承诺法</w:t>
      </w:r>
      <w:r>
        <w:rPr>
          <w:rFonts w:hint="eastAsia" w:ascii="微软雅黑" w:hAnsi="微软雅黑" w:eastAsia="微软雅黑"/>
          <w:sz w:val="24"/>
        </w:rPr>
        <w:t>ACT创始人，致力于</w:t>
      </w:r>
      <w:r>
        <w:rPr>
          <w:rFonts w:eastAsia="微软雅黑"/>
          <w:sz w:val="24"/>
        </w:rPr>
        <w:t>ACT</w:t>
      </w:r>
      <w:r>
        <w:rPr>
          <w:rFonts w:hint="eastAsia" w:ascii="微软雅黑" w:hAnsi="微软雅黑" w:eastAsia="微软雅黑"/>
          <w:sz w:val="24"/>
        </w:rPr>
        <w:t>在人力资源方面的应用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曾担任多家知名企业人才管理专家，负责人才选拔晋升及绩效薪酬等工作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陈老师在心理学领域具有12年实战经验，2006年创建晨晓心理工作室，个案咨询累积超过1000小时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陈老师是以下课题组主要成员：教育部哲学社会科学研究重大课题攻关项目：中国心理健康服务体系的对策与现状研究（批准号：05JZD00031）；教育部人文社会科学研究规划基金项目 (08JAXLX014)，学生体质健康突出问题（超重和肥胖）的影响因素及干预研究 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TT87B6030tCID-WinCharSetFFFF-H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TT87B6030tCID-WinCharSetFFFF-H"/>
          <w:b/>
          <w:kern w:val="0"/>
          <w:sz w:val="24"/>
        </w:rPr>
      </w:pPr>
      <w:r>
        <w:rPr>
          <w:rFonts w:hint="eastAsia" w:ascii="微软雅黑" w:hAnsi="微软雅黑" w:eastAsia="微软雅黑" w:cs="TT87B6030tCID-WinCharSetFFFF-H"/>
          <w:b/>
          <w:kern w:val="0"/>
          <w:sz w:val="24"/>
        </w:rPr>
        <w:t>授课风格：</w:t>
      </w:r>
    </w:p>
    <w:p>
      <w:pPr>
        <w:spacing w:line="360" w:lineRule="auto"/>
        <w:ind w:left="420" w:leftChars="200" w:firstLine="600" w:firstLineChars="2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陈老师多年来一直致力于心理学在人力资源方面的应用，具有10余年心理学及人力资源实战经验，国家二级心理咨询师，人才管理专家，是一名实战派讲师。她从人才管理咨询培训基层研发岗做起，一直到副总，曾为数百家企业及政府部门做过培训或定制化咨询服务，长期负责人力资源管理，包括组织结构、岗位设置、人员招募、员工培训、雇佣管理、评估考核、绩效管理、薪酬奖惩和员工关系处理、员工规划和发展，熟悉现代企业人力资源管理体系建立、运行和操作实务。善于处理员工关系，协调和沟通劳资问题，以及在HR规划与开发，职位等级和薪酬设计、员工评估，绩效管理，员工满意度和激励等方面的管理实践。擅于讲解和辅导企业人力资源管理体系各模块的框架建立、流程设计和运行操作。服务过的客户不乏恒大地产、旭辉地产、城市地产、中国工商银行、中国银行、上海银行、一汽大众等知名企业。</w:t>
      </w:r>
    </w:p>
    <w:p>
      <w:pPr>
        <w:spacing w:line="360" w:lineRule="auto"/>
        <w:ind w:left="420" w:leftChars="200" w:firstLine="600" w:firstLineChars="2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陈老师有丰富的管理实践和培训经验，善于将日常生活中的点滴体会与课程相结合，并融入管理心理学理论、组织行为学和服务理论的知识，使深奥的理论提炼萃取简单显化，容易理解和掌握，启迪学员的思维。</w:t>
      </w:r>
      <w:r>
        <w:rPr>
          <w:rFonts w:hint="eastAsia" w:ascii="微软雅黑" w:hAnsi="微软雅黑" w:eastAsia="微软雅黑" w:cs="TT79771083tCID-WinCharSetFFFF-H"/>
          <w:color w:val="000000"/>
          <w:kern w:val="0"/>
          <w:sz w:val="24"/>
        </w:rPr>
        <w:t>课程深入浅出，生动详实，感染力强，善于在潜移默化之间激发学员及团队思考潜力，学员反响热烈。</w:t>
      </w:r>
      <w:r>
        <w:rPr>
          <w:rFonts w:hint="eastAsia" w:ascii="微软雅黑" w:hAnsi="微软雅黑" w:eastAsia="微软雅黑"/>
          <w:sz w:val="24"/>
        </w:rPr>
        <w:t>陈老师的课程独具风格，尤其擅长“案例式深度互动培训”，易于激发思考，内容精彩纷呈，深受广大学员喜爱！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微软雅黑" w:hAnsi="微软雅黑" w:eastAsia="微软雅黑" w:cs="TT79771083tCID-WinCharSetFFFF-H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最佳实践：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《压力与情绪管理》ACT系列课程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《正念解压》八次系列课程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《正念领导力》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《非人力资源的人力资源管理》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《推倒沟通的心墙-实现职场的加速成长》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《职涯规划与职场人士的激励》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《职业化心态与职业规划》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《中层储备干部职业生涯规划与职场激励》</w:t>
      </w:r>
    </w:p>
    <w:p>
      <w:pPr>
        <w:numPr>
          <w:ilvl w:val="0"/>
          <w:numId w:val="3"/>
        </w:numPr>
        <w:spacing w:line="360" w:lineRule="auto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《管理层心态修炼》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《金牌面试官培训》</w:t>
      </w:r>
    </w:p>
    <w:p>
      <w:pPr>
        <w:spacing w:line="360" w:lineRule="auto"/>
        <w:ind w:left="420"/>
        <w:rPr>
          <w:rFonts w:hint="eastAsia" w:ascii="微软雅黑" w:hAnsi="微软雅黑" w:eastAsia="微软雅黑"/>
          <w:color w:val="000000"/>
          <w:sz w:val="24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部分客户：</w:t>
      </w:r>
    </w:p>
    <w:p>
      <w:pPr>
        <w:tabs>
          <w:tab w:val="left" w:pos="42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政府学校及事业单位：</w:t>
      </w:r>
    </w:p>
    <w:p>
      <w:pPr>
        <w:tabs>
          <w:tab w:val="left" w:pos="4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复旦大学MBA、华东政法大学、上海工程技术大学、淮海街道、松江方松街道、松江妇联、上海司法警官学校、上海市13所监狱狱警</w:t>
      </w:r>
    </w:p>
    <w:p>
      <w:pPr>
        <w:tabs>
          <w:tab w:val="left" w:pos="42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 w:cs="Lucida Sans Unicode"/>
          <w:b/>
          <w:szCs w:val="21"/>
        </w:rPr>
        <w:t>金融保险：</w:t>
      </w:r>
    </w:p>
    <w:p>
      <w:pPr>
        <w:tabs>
          <w:tab w:val="left" w:pos="4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银行、上海银行苏州分行、工商银行、招商银行、上海印钞、上海造币、德丰杰、上海城投控股、鹏华资产、民生银行（上海）、光大银行（重庆分行、杭州分行）、中国农业银行（哈尔滨分行、浙江分行余姚支行）、邮政储蓄银行（深圳）、农村合作银行（浙江余杭）</w:t>
      </w:r>
      <w:r>
        <w:rPr>
          <w:rFonts w:ascii="宋体" w:hAnsi="宋体"/>
          <w:szCs w:val="21"/>
        </w:rPr>
        <w:t>……</w:t>
      </w:r>
    </w:p>
    <w:p>
      <w:pPr>
        <w:tabs>
          <w:tab w:val="left" w:pos="42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互联网通信：</w:t>
      </w:r>
    </w:p>
    <w:p>
      <w:pPr>
        <w:tabs>
          <w:tab w:val="left" w:pos="4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腾讯、盛大游戏、游族网络；中国国航、中石化、达丰电脑、中移动、中国电信；上海移动、甘肃移动、兰州移动、贵州移动、四川移动</w:t>
      </w:r>
      <w:r>
        <w:rPr>
          <w:rFonts w:ascii="宋体" w:hAnsi="宋体"/>
          <w:szCs w:val="21"/>
        </w:rPr>
        <w:t>……</w:t>
      </w:r>
    </w:p>
    <w:p>
      <w:pPr>
        <w:tabs>
          <w:tab w:val="left" w:pos="420"/>
        </w:tabs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地产制造：</w:t>
      </w:r>
    </w:p>
    <w:p>
      <w:pPr>
        <w:tabs>
          <w:tab w:val="left" w:pos="420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恒大地产、旭辉地产、城市地产、越秀地产、中国建筑设计院上海分院、欣和企业、多利农庄、巴德富；一汽大众、吉利控股、佳通轮胎、正新轮胎；同仁堂医药、合生元、大金物流、上海美农</w:t>
      </w:r>
      <w:r>
        <w:rPr>
          <w:rFonts w:ascii="宋体" w:hAnsi="宋体"/>
          <w:szCs w:val="21"/>
        </w:rPr>
        <w:t>……</w:t>
      </w:r>
    </w:p>
    <w:p>
      <w:pPr>
        <w:spacing w:line="360" w:lineRule="auto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微软雅黑" w:hAnsi="微软雅黑" w:eastAsia="微软雅黑" w:cs="TT87B6030tCID-WinCharSetFFFF-H"/>
          <w:b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微软雅黑" w:hAnsi="微软雅黑" w:eastAsia="微软雅黑" w:cs="TT87B6030tCID-WinCharSetFFFF-H"/>
          <w:b/>
          <w:kern w:val="0"/>
          <w:sz w:val="24"/>
        </w:rPr>
      </w:pPr>
      <w:r>
        <w:rPr>
          <w:rFonts w:hint="eastAsia" w:ascii="微软雅黑" w:hAnsi="微软雅黑" w:eastAsia="微软雅黑" w:cs="TT87B6030tCID-WinCharSetFFFF-H"/>
          <w:b/>
          <w:kern w:val="0"/>
          <w:sz w:val="24"/>
        </w:rPr>
        <w:t>客户评语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微软雅黑" w:hAnsi="微软雅黑" w:eastAsia="微软雅黑" w:cs="TT79771083tCID-WinCharSetFFFF-H"/>
          <w:color w:val="000000"/>
          <w:kern w:val="0"/>
          <w:szCs w:val="21"/>
        </w:rPr>
      </w:pPr>
      <w:r>
        <w:rPr>
          <w:rFonts w:hint="eastAsia" w:ascii="微软雅黑" w:hAnsi="微软雅黑" w:eastAsia="微软雅黑" w:cs="TT79771083tCID-WinCharSetFFFF-H"/>
          <w:color w:val="000000"/>
          <w:kern w:val="0"/>
          <w:szCs w:val="21"/>
        </w:rPr>
        <w:t>学习只是一个过程，学以致用才是目的，通过学习，发现自己的差距，通过学习、明白以后工作的方向。</w:t>
      </w:r>
    </w:p>
    <w:p>
      <w:pPr>
        <w:autoSpaceDE w:val="0"/>
        <w:autoSpaceDN w:val="0"/>
        <w:adjustRightInd w:val="0"/>
        <w:spacing w:line="360" w:lineRule="auto"/>
        <w:ind w:firstLine="4830" w:firstLineChars="2300"/>
        <w:jc w:val="left"/>
        <w:rPr>
          <w:rFonts w:hint="eastAsia" w:ascii="微软雅黑" w:hAnsi="微软雅黑" w:eastAsia="微软雅黑" w:cs="TT79771083tCID-WinCharSetFFFF-H"/>
          <w:color w:val="000000"/>
          <w:kern w:val="0"/>
          <w:szCs w:val="21"/>
        </w:rPr>
      </w:pPr>
      <w:r>
        <w:rPr>
          <w:rFonts w:hint="eastAsia" w:ascii="微软雅黑" w:hAnsi="微软雅黑" w:eastAsia="微软雅黑" w:cs="TT79771083tCID-WinCharSetFFFF-H"/>
          <w:color w:val="000000"/>
          <w:kern w:val="0"/>
          <w:szCs w:val="21"/>
        </w:rPr>
        <w:t>中石化  人力资源部主任</w:t>
      </w:r>
    </w:p>
    <w:p>
      <w:pPr>
        <w:spacing w:line="360" w:lineRule="auto"/>
        <w:ind w:left="4830" w:hanging="4830" w:hangingChars="23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本次培训感觉内容最为实用，效果也是立竿见影，对部门今后的工作很有帮助。</w:t>
      </w:r>
    </w:p>
    <w:p>
      <w:pPr>
        <w:spacing w:line="360" w:lineRule="auto"/>
        <w:ind w:left="5506" w:leftChars="2622" w:firstLine="315" w:firstLineChars="15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城市地产  副总裁</w:t>
      </w:r>
    </w:p>
    <w:p>
      <w:pPr>
        <w:spacing w:line="360" w:lineRule="auto"/>
        <w:ind w:left="5506" w:leftChars="2622" w:firstLine="105" w:firstLineChars="50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陈老师对课程深度的理解，以及专业又通俗的表述，让我们很容易结合工作并深入理解，获益良多。            </w:t>
      </w:r>
    </w:p>
    <w:p>
      <w:pPr>
        <w:spacing w:line="360" w:lineRule="auto"/>
        <w:ind w:firstLine="5460" w:firstLineChars="26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吉利汽车 HRD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如老师所讲，Again, again……不断地重复与坚持，简单的事情重复做，重复的事情坚持做，我们就会在这重复而又螺旋上升的工作进程当中得到升华，企业团队建设与管理，不仅要做到学以致用，更要用以致学，这样学习型团队打造的目标才会真正落地。</w:t>
      </w:r>
    </w:p>
    <w:p>
      <w:pPr>
        <w:spacing w:line="360" w:lineRule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                                                 和黄（中国）HRD</w:t>
      </w:r>
    </w:p>
    <w:p>
      <w:pPr>
        <w:spacing w:line="360" w:lineRule="auto"/>
        <w:rPr>
          <w:rFonts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培训风格</w:t>
      </w:r>
    </w:p>
    <w:p>
      <w:pPr>
        <w:spacing w:line="360" w:lineRule="auto"/>
        <w:ind w:firstLine="480" w:firstLineChars="200"/>
        <w:rPr>
          <w:rFonts w:ascii="微软雅黑" w:hAnsi="微软雅黑" w:eastAsia="微软雅黑" w:cs="Lucida Sans Unicode"/>
          <w:sz w:val="24"/>
        </w:rPr>
      </w:pPr>
      <w:r>
        <w:rPr>
          <w:rFonts w:hint="eastAsia" w:ascii="微软雅黑" w:hAnsi="微软雅黑" w:eastAsia="微软雅黑" w:cs="Lucida Sans Unicode"/>
          <w:sz w:val="24"/>
        </w:rPr>
        <w:t>激情、哲理、有料，实战、实训、实效；以感悟启发感悟，以心灵撞击心灵；幽默、生动之中领略概念的原理，案例、故事之余掌握技巧的精髓；</w:t>
      </w:r>
    </w:p>
    <w:p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联系方式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4"/>
          <w:szCs w:val="24"/>
        </w:rPr>
      </w:pPr>
    </w:p>
    <w:tbl>
      <w:tblPr>
        <w:tblStyle w:val="11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（需要预定住宿的请参考我司课程《确认函》中的住宿酒店信息）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注意：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→ 请将报名表填写完整，发至我方即可。我方收到报名表后，将以电话、传真或E-mail等方式确认收到报名表。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→ 请在培训之前三个工作日内将报名表回传,课前一周另行发送详细会务安排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→ 本课程可针对企业需求，上门服务，组织内训，欢迎咨询。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→ 请参会学员准备一盒名片,以便学员间交流学习。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→ 请准备几个工作中遇到的问题以便进行讨论。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sz w:val="24"/>
          <w:szCs w:val="24"/>
        </w:rPr>
        <w:t>，以便及时为您安排会务并发确认函，谢谢支持！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T87B6030tCID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9771083tCID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2051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为培训更快乐乐！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2052" o:spt="20" style="position:absolute;left:0pt;margin-left:-85.9pt;margin-top:-3.45pt;height:0.5pt;width:584.95pt;z-index:251660288;mso-width-relative:page;mso-height-relative:page;" fillcolor="#FFFFFF" filled="f" o:preferrelative="t" stroked="t" coordsize="21600,21600">
          <v:path arrowok="t"/>
          <v:fill on="f" color2="#FFFFFF" focussize="0,0"/>
          <v:stroke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2049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808080" opacity="19005f" offset="0pt,3pt" origin="0f,-32768f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olor w:val="FFFFFF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instrText xml:space="preserve">HYPERLINK "http://www.bgwahaha.cn/" </w:instrText>
                </w:r>
                <w:r>
                  <w:fldChar w:fldCharType="separate"/>
                </w:r>
                <w:r>
                  <w:rPr>
                    <w:rStyle w:val="10"/>
                    <w:rFonts w:hint="eastAsia" w:ascii="Calibri" w:hAnsi="Calibri" w:eastAsia="微软雅黑" w:cs="Brush Script MT"/>
                    <w:b/>
                    <w:color w:val="FFFFFF"/>
                    <w:sz w:val="28"/>
                    <w:u w:val="none"/>
                  </w:rPr>
                  <w:t>http://www.bgwahaha.cn</w:t>
                </w:r>
                <w: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2050" o:spt="20" style="position:absolute;left:0pt;margin-left:-85.9pt;margin-top:17.65pt;height:0.05pt;width:584.95pt;z-index:251659264;mso-width-relative:page;mso-height-relative:page;" fillcolor="#FFFFFF" filled="f" o:preferrelative="t" stroked="t" coordsize="21600,21600">
          <v:path arrowok="t"/>
          <v:fill on="f" color2="#FFFFFF" focussize="0,0"/>
          <v:stroke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957"/>
    <w:multiLevelType w:val="multilevel"/>
    <w:tmpl w:val="5103295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3521E1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33D5B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177C2"/>
    <w:rsid w:val="00D46862"/>
    <w:rsid w:val="00D47868"/>
    <w:rsid w:val="00DA7308"/>
    <w:rsid w:val="00FA3F21"/>
    <w:rsid w:val="03013F78"/>
    <w:rsid w:val="05F211D3"/>
    <w:rsid w:val="09497C15"/>
    <w:rsid w:val="0D29619B"/>
    <w:rsid w:val="120C5579"/>
    <w:rsid w:val="180839B6"/>
    <w:rsid w:val="18AA49CE"/>
    <w:rsid w:val="1E0846AD"/>
    <w:rsid w:val="1E9513D1"/>
    <w:rsid w:val="24FE1C1A"/>
    <w:rsid w:val="2913668F"/>
    <w:rsid w:val="2D1A296A"/>
    <w:rsid w:val="2F20473C"/>
    <w:rsid w:val="359F2EF3"/>
    <w:rsid w:val="3C945C4D"/>
    <w:rsid w:val="3EC641CB"/>
    <w:rsid w:val="41FA4F75"/>
    <w:rsid w:val="4289324C"/>
    <w:rsid w:val="4ABE0178"/>
    <w:rsid w:val="4B9A0D61"/>
    <w:rsid w:val="50E94570"/>
    <w:rsid w:val="526117B6"/>
    <w:rsid w:val="528637C2"/>
    <w:rsid w:val="5E736D40"/>
    <w:rsid w:val="60643834"/>
    <w:rsid w:val="63352E4C"/>
    <w:rsid w:val="645A42B3"/>
    <w:rsid w:val="64CB7612"/>
    <w:rsid w:val="656F550D"/>
    <w:rsid w:val="6AA221E0"/>
    <w:rsid w:val="6FA974C0"/>
    <w:rsid w:val="713E5EB9"/>
    <w:rsid w:val="749B5A6C"/>
    <w:rsid w:val="74E96DDE"/>
    <w:rsid w:val="796019EE"/>
    <w:rsid w:val="7A725560"/>
    <w:rsid w:val="7D2C5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FollowedHyperlink"/>
    <w:unhideWhenUsed/>
    <w:qFormat/>
    <w:uiPriority w:val="0"/>
    <w:rPr>
      <w:color w:val="800080"/>
      <w:u w:val="single"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customStyle="1" w:styleId="12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无间隔1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正常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6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7">
    <w:name w:val="标题 1字符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标题 Char"/>
    <w:link w:val="7"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564</Words>
  <Characters>3215</Characters>
  <Lines>26</Lines>
  <Paragraphs>7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2018-07-19T06:47:33Z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