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微软雅黑" w:hAnsi="微软雅黑" w:eastAsia="微软雅黑"/>
          <w:b/>
          <w:color w:val="254E79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“</w:t>
      </w:r>
      <w:r>
        <w:rPr>
          <w:rFonts w:hint="eastAsia" w:ascii="微软雅黑" w:hAnsi="微软雅黑" w:eastAsia="微软雅黑"/>
          <w:b/>
          <w:color w:val="254E79"/>
          <w:sz w:val="44"/>
          <w:szCs w:val="44"/>
        </w:rPr>
        <w:t>精益生产实战技法</w:t>
      </w:r>
    </w:p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74pt;width:360.8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生产-精益生产管理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spacing w:line="460" w:lineRule="exact"/>
        <w:jc w:val="center"/>
        <w:rPr>
          <w:rFonts w:hint="eastAsia" w:ascii="微软雅黑" w:hAnsi="微软雅黑" w:eastAsia="微软雅黑"/>
          <w:b/>
          <w:color w:val="254E79"/>
          <w:sz w:val="44"/>
          <w:szCs w:val="44"/>
        </w:rPr>
      </w:pP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</w:p>
    <w:p>
      <w:pPr>
        <w:spacing w:line="460" w:lineRule="exact"/>
        <w:jc w:val="left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课程对象：</w:t>
      </w:r>
      <w:r>
        <w:rPr>
          <w:rFonts w:hint="eastAsia" w:ascii="微软雅黑" w:hAnsi="微软雅黑" w:eastAsia="微软雅黑"/>
          <w:color w:val="000000"/>
          <w:sz w:val="24"/>
        </w:rPr>
        <w:t>高层管理、中基层生产管理人员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color w:val="254E79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课程收益：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本课程从精益生产“零库存”的核心出发，如何做到原材料、在制品、产成品三个环节的零库存以及精益生产工具在三个环节的具体运用。通过学习，学员将得到以下收益：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了解什么是真正精益生产；</w:t>
      </w:r>
    </w:p>
    <w:p>
      <w:pPr>
        <w:numPr>
          <w:ilvl w:val="0"/>
          <w:numId w:val="3"/>
        </w:num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原材料“零库存”在采购、货运、仓储管理的实操技法；</w:t>
      </w:r>
    </w:p>
    <w:p>
      <w:pPr>
        <w:numPr>
          <w:ilvl w:val="0"/>
          <w:numId w:val="3"/>
        </w:num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在制品“零库存”在工艺、排产、布局、看板管理、防错、IE管理的实操技法；</w:t>
      </w:r>
    </w:p>
    <w:p>
      <w:pPr>
        <w:numPr>
          <w:ilvl w:val="0"/>
          <w:numId w:val="3"/>
        </w:num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产成品“零库存”在订单管理、交期管理的实操技法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460" w:lineRule="exact"/>
        <w:jc w:val="left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课程时间：</w:t>
      </w:r>
      <w:r>
        <w:rPr>
          <w:rFonts w:ascii="微软雅黑" w:hAnsi="微软雅黑" w:eastAsia="微软雅黑"/>
          <w:color w:val="000000"/>
          <w:sz w:val="24"/>
        </w:rPr>
        <w:t>2</w:t>
      </w:r>
      <w:r>
        <w:rPr>
          <w:rFonts w:hint="eastAsia" w:ascii="微软雅黑" w:hAnsi="微软雅黑" w:eastAsia="微软雅黑"/>
          <w:color w:val="000000"/>
          <w:sz w:val="24"/>
        </w:rPr>
        <w:t>天，6小时/天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授课方式：</w:t>
      </w:r>
      <w:r>
        <w:rPr>
          <w:rFonts w:hint="eastAsia" w:ascii="微软雅黑" w:hAnsi="微软雅黑" w:eastAsia="微软雅黑"/>
          <w:sz w:val="24"/>
        </w:rPr>
        <w:t>理论</w:t>
      </w:r>
      <w:r>
        <w:rPr>
          <w:rFonts w:ascii="微软雅黑" w:hAnsi="微软雅黑" w:eastAsia="微软雅黑"/>
          <w:sz w:val="24"/>
        </w:rPr>
        <w:t>讲授</w:t>
      </w:r>
      <w:r>
        <w:rPr>
          <w:rFonts w:hint="eastAsia" w:ascii="微软雅黑" w:hAnsi="微软雅黑" w:eastAsia="微软雅黑"/>
          <w:sz w:val="24"/>
        </w:rPr>
        <w:t>(</w:t>
      </w:r>
      <w:r>
        <w:rPr>
          <w:rFonts w:ascii="微软雅黑" w:hAnsi="微软雅黑" w:eastAsia="微软雅黑"/>
          <w:sz w:val="24"/>
        </w:rPr>
        <w:t>50%</w:t>
      </w:r>
      <w:r>
        <w:rPr>
          <w:rFonts w:hint="eastAsia" w:ascii="微软雅黑" w:hAnsi="微软雅黑" w:eastAsia="微软雅黑"/>
          <w:sz w:val="24"/>
        </w:rPr>
        <w:t>)+</w:t>
      </w:r>
      <w:r>
        <w:rPr>
          <w:rFonts w:ascii="微软雅黑" w:hAnsi="微软雅黑" w:eastAsia="微软雅黑"/>
          <w:sz w:val="24"/>
        </w:rPr>
        <w:t>案例分析、小组研讨</w:t>
      </w:r>
      <w:r>
        <w:rPr>
          <w:rFonts w:hint="eastAsia" w:ascii="微软雅黑" w:hAnsi="微软雅黑" w:eastAsia="微软雅黑"/>
          <w:sz w:val="24"/>
        </w:rPr>
        <w:t>(</w:t>
      </w:r>
      <w:r>
        <w:rPr>
          <w:rFonts w:ascii="微软雅黑" w:hAnsi="微软雅黑" w:eastAsia="微软雅黑"/>
          <w:sz w:val="24"/>
        </w:rPr>
        <w:t>30%</w:t>
      </w:r>
      <w:r>
        <w:rPr>
          <w:rFonts w:hint="eastAsia" w:ascii="微软雅黑" w:hAnsi="微软雅黑" w:eastAsia="微软雅黑"/>
          <w:sz w:val="24"/>
        </w:rPr>
        <w:t>)+</w:t>
      </w:r>
      <w:r>
        <w:rPr>
          <w:rFonts w:ascii="微软雅黑" w:hAnsi="微软雅黑" w:eastAsia="微软雅黑"/>
          <w:sz w:val="24"/>
        </w:rPr>
        <w:t>实操练习</w:t>
      </w:r>
      <w:r>
        <w:rPr>
          <w:rFonts w:hint="eastAsia" w:ascii="微软雅黑" w:hAnsi="微软雅黑" w:eastAsia="微软雅黑"/>
          <w:sz w:val="24"/>
        </w:rPr>
        <w:t>(</w:t>
      </w:r>
      <w:r>
        <w:rPr>
          <w:rFonts w:ascii="微软雅黑" w:hAnsi="微软雅黑" w:eastAsia="微软雅黑"/>
          <w:sz w:val="24"/>
        </w:rPr>
        <w:t>20%</w:t>
      </w:r>
      <w:r>
        <w:rPr>
          <w:rFonts w:hint="eastAsia" w:ascii="微软雅黑" w:hAnsi="微软雅黑" w:eastAsia="微软雅黑"/>
          <w:sz w:val="24"/>
        </w:rPr>
        <w:t>)</w:t>
      </w:r>
    </w:p>
    <w:p>
      <w:pPr>
        <w:spacing w:line="460" w:lineRule="exact"/>
        <w:jc w:val="left"/>
        <w:rPr>
          <w:rFonts w:ascii="微软雅黑" w:hAnsi="微软雅黑" w:eastAsia="微软雅黑"/>
          <w:b/>
          <w:color w:val="254E79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课程提纲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第一讲：精益生产的核心及追求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1.“零库存”是精益生产的核心和目标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2.“零库存”在企业制造链上的表现形式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3.J</w:t>
      </w:r>
      <w:r>
        <w:rPr>
          <w:rFonts w:ascii="微软雅黑" w:hAnsi="微软雅黑" w:eastAsia="微软雅黑"/>
          <w:color w:val="000000"/>
          <w:sz w:val="24"/>
        </w:rPr>
        <w:t>IT</w:t>
      </w:r>
      <w:r>
        <w:rPr>
          <w:rFonts w:hint="eastAsia" w:ascii="微软雅黑" w:hAnsi="微软雅黑" w:eastAsia="微软雅黑"/>
          <w:color w:val="000000"/>
          <w:sz w:val="24"/>
        </w:rPr>
        <w:t>准时化实质内容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4.精益生产的价值体系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5.精益生产定义的七种浪费</w:t>
      </w:r>
    </w:p>
    <w:p>
      <w:pPr>
        <w:spacing w:line="460" w:lineRule="exact"/>
        <w:jc w:val="left"/>
        <w:rPr>
          <w:rFonts w:ascii="微软雅黑" w:hAnsi="微软雅黑" w:eastAsia="微软雅黑"/>
          <w:b/>
          <w:color w:val="254E79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第二讲：原材料“零库存”的采购管理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一、采购及供应商管理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1.采购方与供应商的三大态势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2.优选供应商的16个问题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3.准时制采购的五点制胜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4.如何根据生产计划制定材料采购计划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5.物料最低库存计算法则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6.强势介入采购的控制点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7.交货期延误判定及对策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二、仓储管理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1.货物保管场所的分类原则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2.固定型和流动型的存货方式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3.货区布置的</w:t>
      </w:r>
      <w:r>
        <w:rPr>
          <w:rFonts w:ascii="微软雅黑" w:hAnsi="微软雅黑" w:eastAsia="微软雅黑"/>
          <w:color w:val="000000"/>
          <w:sz w:val="24"/>
        </w:rPr>
        <w:t>5</w:t>
      </w:r>
      <w:r>
        <w:rPr>
          <w:rFonts w:hint="eastAsia" w:ascii="微软雅黑" w:hAnsi="微软雅黑" w:eastAsia="微软雅黑"/>
          <w:color w:val="000000"/>
          <w:sz w:val="24"/>
        </w:rPr>
        <w:t>项基本思路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4.货区的平面和空间布置形式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5.物品堆码的6项基本要求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6.7种常见的堆码方式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7.仓库四号定位法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8.小件货架的布置方法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9.如何制作货架看板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10.板材的堆码方法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11.线材的堆码方法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12.纸箱的堆码方法</w:t>
      </w:r>
    </w:p>
    <w:p>
      <w:pPr>
        <w:spacing w:line="460" w:lineRule="exact"/>
        <w:jc w:val="left"/>
        <w:rPr>
          <w:rFonts w:ascii="微软雅黑" w:hAnsi="微软雅黑" w:eastAsia="微软雅黑"/>
          <w:b/>
          <w:color w:val="254E79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第三讲：在制品“零库存”的精益管理</w:t>
      </w:r>
    </w:p>
    <w:p>
      <w:pPr>
        <w:spacing w:line="460" w:lineRule="exact"/>
        <w:jc w:val="left"/>
        <w:rPr>
          <w:rFonts w:hint="eastAsia"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一、流程改善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1.产生在制品的九大因素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2.流程分析与改善的主要用途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3.流程分析与改善方法－5W2H法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4.流程分析与改善方法－ECRS法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5.产品工艺流程分析检查表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6.流程分析与改善工具－作业流程分析图示符号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7.流程改善案例分析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8.生产线平衡分析的目标和目的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9.作业节拍分析图例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10.作业节拍分析图制作流程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11.工序节拍时间计算方法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12.生产线平衡效率计算方法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13生产线平衡改善2大原则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14.生产线平衡分析流程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15.生产线平衡分析结果的解读方法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16.生产线平衡分析的使用方法</w:t>
      </w:r>
    </w:p>
    <w:p>
      <w:pPr>
        <w:spacing w:line="460" w:lineRule="exact"/>
        <w:jc w:val="left"/>
        <w:rPr>
          <w:rFonts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二、“一件流”原则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1.批量流和“一件流”的生产周期对比分析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2.“一件流”的前提条件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3.科学布局的四大方式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4.厂房与厂房之间布局案例分析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5.设备与设备之间工艺化流程布局的案例分析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6.工作台与工作台之间布局案例分析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7.物品与物品之间布局案例分析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8.布局分析工具－接近相互关联法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9.科学布局中的定置管理原则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10.如何确定老化时间所需的在制品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11.看板在生产中的运用</w:t>
      </w:r>
    </w:p>
    <w:p>
      <w:pPr>
        <w:spacing w:line="460" w:lineRule="exact"/>
        <w:jc w:val="left"/>
        <w:rPr>
          <w:rFonts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三、TPM设备管理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1.TPM的两大核心内容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2.如何设计设备点检表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3.用设备“稼动率”代替“设备完好率”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4.设备“稼动率”统计表的科学运用</w:t>
      </w:r>
    </w:p>
    <w:p>
      <w:pPr>
        <w:spacing w:line="460" w:lineRule="exact"/>
        <w:jc w:val="left"/>
        <w:rPr>
          <w:rFonts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四、IE工程的效率管理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1.目视化管理的两大原则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2.隐性问题显性化案例分析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3.远处问题近处化案例分析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4.防差错的四大方法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5.动作管理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6.肢体使用原则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7.作业配置原则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8.机械设置原则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9.IE工业工程的六大动作浪费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10.快速换模</w:t>
      </w:r>
    </w:p>
    <w:p>
      <w:pPr>
        <w:spacing w:line="460" w:lineRule="exact"/>
        <w:jc w:val="left"/>
        <w:rPr>
          <w:rFonts w:ascii="微软雅黑" w:hAnsi="微软雅黑" w:eastAsia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</w:rPr>
        <w:t>五、“零缺陷”质量管理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1.产生不良品的三大原因和对策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2.生产前做到“五看清”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3.全数检验的原则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4.在工序内检验的原则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5.目视化的原则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6.追究责任的原则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7.逮捕现行犯的原则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8.彻底实施标准化的原则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9.检查岗位的原则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10.没有抱怨的原则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11.任务明确的原则</w:t>
      </w:r>
    </w:p>
    <w:p>
      <w:pPr>
        <w:spacing w:line="460" w:lineRule="exact"/>
        <w:jc w:val="left"/>
        <w:rPr>
          <w:rFonts w:ascii="微软雅黑" w:hAnsi="微软雅黑" w:eastAsia="微软雅黑"/>
          <w:b/>
          <w:color w:val="254E79"/>
          <w:sz w:val="24"/>
        </w:rPr>
      </w:pPr>
      <w:r>
        <w:rPr>
          <w:rFonts w:hint="eastAsia" w:ascii="微软雅黑" w:hAnsi="微软雅黑" w:eastAsia="微软雅黑"/>
          <w:b/>
          <w:color w:val="254E79"/>
          <w:sz w:val="24"/>
        </w:rPr>
        <w:t>第四讲：产成品“零库存”的计划管理</w:t>
      </w:r>
    </w:p>
    <w:p>
      <w:pPr>
        <w:spacing w:line="460" w:lineRule="exact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1.企业常见的2种生产形态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2.企业常见的2种生产流程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3.什么是“订单”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4.常规产品的排产原则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5.常规产品ABC分析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6.定制产品的排产原则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7.坚决杜绝无单生产</w:t>
      </w:r>
    </w:p>
    <w:p>
      <w:pPr>
        <w:widowControl/>
        <w:spacing w:line="252" w:lineRule="atLeast"/>
        <w:jc w:val="left"/>
        <w:textAlignment w:val="baseline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张老师介绍：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惠普质量管理学院 高级顾问 ；丰田精益管理  专职咨询顾问 ；丰田工程技术株式会社 研修顾问；上海市中小企业协会合作顾问；杭州市企业转型升级咨询顾问；国际职业训练协会认证教练；上海市注册管理咨询师；上海大学MBA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经历：曾任上海英业达集团生产课长；昆山华新电子集团厂长，负责精益生产项目培训与推进，精益生产培训（VSM,IE,PMC，SMED,5S与目视化，标准作业，生产线布局等），生产现场管理与效率提升，生产计划物料控制，物流仓储管理，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擅长课程 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精益生产管理培训》《5S与目视化管理》《TPM全员设备自主保全》《生产成本降低与效率提升》《柔性生产计划与物料管理》《物流与供应链管理》《车间准时化生产》《生产质量分析与解决》《TQM全面质量管理》《QCC品管圈操作实务》《金牌班组长实战与能力提升》《现场主管管理技能实战》《时间管理与工作计划》《MTP中层管理人员技能提升》《高效沟通技巧》《TTT内部讲师训练》《优秀员工职业化心态训练》《结果为王-员工执行力提升》《高绩效团队建设》《有效激励员工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培训风格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动风趣、逻辑清晰、剖析深入、案例实用、图文并茂、授课过程极具感染力。培训内容均是在管理实践中总结和感悟而来，很多观点和方法都会给学员极大的启发和改变。培训效果得到参加培训人员及企业内部一致认可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9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/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3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228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98"/>
    <w:multiLevelType w:val="multilevel"/>
    <w:tmpl w:val="09C15F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5787A37"/>
    <w:rsid w:val="06F23850"/>
    <w:rsid w:val="09497C15"/>
    <w:rsid w:val="0D29619B"/>
    <w:rsid w:val="120C5579"/>
    <w:rsid w:val="15FB1739"/>
    <w:rsid w:val="168C7AAA"/>
    <w:rsid w:val="18AA49CE"/>
    <w:rsid w:val="1E0846AD"/>
    <w:rsid w:val="1E9513D1"/>
    <w:rsid w:val="24FE1C1A"/>
    <w:rsid w:val="2F20473C"/>
    <w:rsid w:val="359F2EF3"/>
    <w:rsid w:val="3EC641CB"/>
    <w:rsid w:val="41FA4F75"/>
    <w:rsid w:val="4289324C"/>
    <w:rsid w:val="433E55CE"/>
    <w:rsid w:val="4ABE0178"/>
    <w:rsid w:val="4B9A0D61"/>
    <w:rsid w:val="50E94570"/>
    <w:rsid w:val="526117B6"/>
    <w:rsid w:val="528637C2"/>
    <w:rsid w:val="58145700"/>
    <w:rsid w:val="63352E4C"/>
    <w:rsid w:val="64CB7612"/>
    <w:rsid w:val="656F550D"/>
    <w:rsid w:val="6AA221E0"/>
    <w:rsid w:val="6FA974C0"/>
    <w:rsid w:val="713E5EB9"/>
    <w:rsid w:val="749B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FollowedHyperlink"/>
    <w:basedOn w:val="6"/>
    <w:unhideWhenUsed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4">
    <w:name w:val="标题 1字符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2018-07-19T06:48:56Z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