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drawing>
          <wp:anchor distT="0" distB="0" distL="114300" distR="114300" simplePos="0" relativeHeight="251655168" behindDoc="0" locked="0" layoutInCell="1" allowOverlap="1">
            <wp:simplePos x="0" y="0"/>
            <wp:positionH relativeFrom="column">
              <wp:posOffset>-457200</wp:posOffset>
            </wp:positionH>
            <wp:positionV relativeFrom="page">
              <wp:posOffset>10160</wp:posOffset>
            </wp:positionV>
            <wp:extent cx="7585075" cy="4272280"/>
            <wp:effectExtent l="0" t="0" r="15875" b="13970"/>
            <wp:wrapSquare wrapText="bothSides"/>
            <wp:docPr id="4" name="图片 4" descr="E:\2018\logo\讲师部讲义背景图.jpg讲师部讲义背景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2018\logo\讲师部讲义背景图.jpg讲师部讲义背景图"/>
                    <pic:cNvPicPr>
                      <a:picLocks noChangeAspect="1"/>
                    </pic:cNvPicPr>
                  </pic:nvPicPr>
                  <pic:blipFill>
                    <a:blip r:embed="rId6"/>
                    <a:srcRect/>
                    <a:stretch>
                      <a:fillRect/>
                    </a:stretch>
                  </pic:blipFill>
                  <pic:spPr>
                    <a:xfrm>
                      <a:off x="0" y="0"/>
                      <a:ext cx="7585075" cy="4272280"/>
                    </a:xfrm>
                    <a:prstGeom prst="rect">
                      <a:avLst/>
                    </a:prstGeom>
                  </pic:spPr>
                </pic:pic>
              </a:graphicData>
            </a:graphic>
          </wp:anchor>
        </w:drawing>
      </w:r>
      <w: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1537970</wp:posOffset>
                </wp:positionV>
                <wp:extent cx="7708900" cy="396240"/>
                <wp:effectExtent l="0" t="0" r="0" b="0"/>
                <wp:wrapNone/>
                <wp:docPr id="13" name="文本框 33"/>
                <wp:cNvGraphicFramePr/>
                <a:graphic xmlns:a="http://schemas.openxmlformats.org/drawingml/2006/main">
                  <a:graphicData uri="http://schemas.microsoft.com/office/word/2010/wordprocessingShape">
                    <wps:wsp>
                      <wps:cNvSpPr txBox="1"/>
                      <wps:spPr>
                        <a:xfrm>
                          <a:off x="0" y="0"/>
                          <a:ext cx="7708900" cy="396240"/>
                        </a:xfrm>
                        <a:prstGeom prst="rect">
                          <a:avLst/>
                        </a:prstGeom>
                        <a:noFill/>
                        <a:ln w="15875">
                          <a:noFill/>
                        </a:ln>
                      </wps:spPr>
                      <wps:txbx>
                        <w:txbxContent>
                          <w:p>
                            <w:pPr>
                              <w:jc w:val="cente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Cs w:val="21"/>
                                <w14:textFill>
                                  <w14:solidFill>
                                    <w14:schemeClr w14:val="bg1"/>
                                  </w14:solidFill>
                                </w14:textFill>
                              </w:rPr>
                              <w:t>主办单位：杭州时代光华教育发展有限公司   杭州步步为赢教育科技有限公司</w:t>
                            </w:r>
                            <w:r>
                              <w:rPr>
                                <w:rFonts w:hint="eastAsia" w:ascii="微软雅黑" w:hAnsi="微软雅黑" w:eastAsia="微软雅黑" w:cs="微软雅黑"/>
                                <w:b/>
                                <w:bCs/>
                                <w:color w:val="FFFFFF" w:themeColor="background1"/>
                                <w:sz w:val="28"/>
                                <w:szCs w:val="28"/>
                                <w14:textFill>
                                  <w14:solidFill>
                                    <w14:schemeClr w14:val="bg1"/>
                                  </w14:solidFill>
                                </w14:textFill>
                              </w:rPr>
                              <w:t xml:space="preserve">   </w:t>
                            </w:r>
                          </w:p>
                        </w:txbxContent>
                      </wps:txbx>
                      <wps:bodyPr upright="1"/>
                    </wps:wsp>
                  </a:graphicData>
                </a:graphic>
              </wp:anchor>
            </w:drawing>
          </mc:Choice>
          <mc:Fallback>
            <w:pict>
              <v:shape id="文本框 33" o:spid="_x0000_s1026" o:spt="202" type="#_x0000_t202" style="position:absolute;left:0pt;margin-left:-37pt;margin-top:121.1pt;height:31.2pt;width:607pt;z-index:251658240;mso-width-relative:page;mso-height-relative:page;" filled="f" stroked="f" coordsize="21600,21600" o:gfxdata="UEsDBAoAAAAAAIdO4kAAAAAAAAAAAAAAAAAEAAAAZHJzL1BLAwQUAAAACACHTuJAjk/0lN0AAAAM&#10;AQAADwAAAGRycy9kb3ducmV2LnhtbE2PwU7DMBBE70j8g7VIXFBrJ1ilCtn0QNUDAoQoVeHoxiaJ&#10;iNdR7CQtX497guPsjGbf5Kujbdloet84QkjmApih0umGKoTd+2a2BOaDIq1aRwbhZDysisuLXGXa&#10;TfRmxm2oWCwhnymEOoQu49yXtbHKz11nKHpfrrcqRNlXXPdqiuW25akQC25VQ/FDrTrzUJvyeztY&#10;hPFFyP1z+XEabjbrz8fl69o/TT+I11eJuAcWzDH8heGMH9GhiEwHN5D2rEWY3cm4JSCkMk2BnROJ&#10;FPF0QLgVcgG8yPn/EcUvUEsDBBQAAAAIAIdO4kCYu+PimAEAAAwDAAAOAAAAZHJzL2Uyb0RvYy54&#10;bWytUs1OAyEQvpv4DoS73bVVWzfdmhijF6Mm6gNQFrokwBDA7vYF9A08efHuc/U5HLBWozfjZYD5&#10;+Wa+b5ie9EaTpfBBga3p/qCkRFgOjbKLmt7fne9NKAmR2YZpsKKmKxHoyWx3Z9q5SgyhBd0ITxDE&#10;hqpzNW1jdFVRBN4Kw8IAnLAYlOANi/j0i6LxrEN0o4thWR4VHfjGeeAiBPSefQTpLONLKXi8ljKI&#10;SHRNcbaYrc92nmwxm7Jq4ZlrFd+Mwf4whWHKYtMt1BmLjDx49QvKKO4hgIwDDqYAKRUXmQOy2S9/&#10;sLltmROZC4oT3Fam8H+w/Gp544lqcHcjSiwzuKP189P65W39+khGoyRQ50KFebcOM2N/Cj0mf/oD&#10;OhPvXnqTTmREMI5Sr7byij4Sjs7xuJwclxjiGBsdHw0Psv7FV7XzIV4IMCRdaupxfVlVtrwMESfB&#10;1M+U1MzCudI6r1Bb0uFYh5PxYa7YhrBEW6xMJD6GTbfYz/sNszk0KyT24LxatNg0U8vpKHluufke&#10;aaff3xn06xPP3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OT/SU3QAAAAwBAAAPAAAAAAAAAAEA&#10;IAAAACIAAABkcnMvZG93bnJldi54bWxQSwECFAAUAAAACACHTuJAmLvj4pgBAAAMAwAADgAAAAAA&#10;AAABACAAAAAsAQAAZHJzL2Uyb0RvYy54bWxQSwUGAAAAAAYABgBZAQAANgUAAAAA&#10;">
                <v:fill on="f" focussize="0,0"/>
                <v:stroke on="f" weight="1.25pt"/>
                <v:imagedata o:title=""/>
                <o:lock v:ext="edit" aspectratio="f"/>
                <v:textbox>
                  <w:txbxContent>
                    <w:p>
                      <w:pPr>
                        <w:jc w:val="cente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Cs w:val="21"/>
                          <w14:textFill>
                            <w14:solidFill>
                              <w14:schemeClr w14:val="bg1"/>
                            </w14:solidFill>
                          </w14:textFill>
                        </w:rPr>
                        <w:t>主办单位：杭州时代光华教育发展有限公司   杭州步步为赢教育科技有限公司</w:t>
                      </w:r>
                      <w:r>
                        <w:rPr>
                          <w:rFonts w:hint="eastAsia" w:ascii="微软雅黑" w:hAnsi="微软雅黑" w:eastAsia="微软雅黑" w:cs="微软雅黑"/>
                          <w:b/>
                          <w:bCs/>
                          <w:color w:val="FFFFFF" w:themeColor="background1"/>
                          <w:sz w:val="28"/>
                          <w:szCs w:val="28"/>
                          <w14:textFill>
                            <w14:solidFill>
                              <w14:schemeClr w14:val="bg1"/>
                            </w14:solidFill>
                          </w14:textFill>
                        </w:rPr>
                        <w:t xml:space="preserve">   </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-445770</wp:posOffset>
                </wp:positionH>
                <wp:positionV relativeFrom="paragraph">
                  <wp:posOffset>748030</wp:posOffset>
                </wp:positionV>
                <wp:extent cx="7529830" cy="702945"/>
                <wp:effectExtent l="0" t="0" r="0" b="0"/>
                <wp:wrapNone/>
                <wp:docPr id="8" name="文本框 32"/>
                <wp:cNvGraphicFramePr/>
                <a:graphic xmlns:a="http://schemas.openxmlformats.org/drawingml/2006/main">
                  <a:graphicData uri="http://schemas.microsoft.com/office/word/2010/wordprocessingShape">
                    <wps:wsp>
                      <wps:cNvSpPr txBox="1"/>
                      <wps:spPr>
                        <a:xfrm>
                          <a:off x="0" y="0"/>
                          <a:ext cx="7529830" cy="702945"/>
                        </a:xfrm>
                        <a:prstGeom prst="rect">
                          <a:avLst/>
                        </a:prstGeom>
                        <a:noFill/>
                        <a:ln w="15875">
                          <a:noFill/>
                        </a:ln>
                      </wps:spPr>
                      <wps:txbx>
                        <w:txbxContent>
                          <w:p>
                            <w:pPr>
                              <w:jc w:val="center"/>
                              <w:rPr>
                                <w:rFonts w:hint="eastAsia" w:ascii="微软雅黑" w:hAnsi="微软雅黑" w:eastAsia="微软雅黑" w:cs="微软雅黑"/>
                                <w:b/>
                                <w:bCs/>
                                <w:color w:val="FFFFFF" w:themeColor="background1"/>
                                <w:spacing w:val="20"/>
                                <w:kern w:val="6"/>
                                <w:sz w:val="52"/>
                                <w:szCs w:val="52"/>
                                <w:lang w:eastAsia="zh-CN"/>
                                <w14:textFill>
                                  <w14:solidFill>
                                    <w14:schemeClr w14:val="bg1"/>
                                  </w14:solidFill>
                                </w14:textFill>
                              </w:rPr>
                            </w:pPr>
                            <w:r>
                              <w:rPr>
                                <w:rFonts w:hint="eastAsia" w:ascii="微软雅黑" w:hAnsi="微软雅黑" w:eastAsia="微软雅黑" w:cs="微软雅黑"/>
                                <w:b/>
                                <w:bCs/>
                                <w:color w:val="FFFFFF" w:themeColor="background1"/>
                                <w:spacing w:val="20"/>
                                <w:kern w:val="6"/>
                                <w:sz w:val="52"/>
                                <w:szCs w:val="52"/>
                                <w:lang w:eastAsia="zh-CN"/>
                                <w14:textFill>
                                  <w14:solidFill>
                                    <w14:schemeClr w14:val="bg1"/>
                                  </w14:solidFill>
                                </w14:textFill>
                              </w:rPr>
                              <w:t>《如何让操作工快速上岗--有效工作指导训练》</w:t>
                            </w:r>
                          </w:p>
                        </w:txbxContent>
                      </wps:txbx>
                      <wps:bodyPr upright="1"/>
                    </wps:wsp>
                  </a:graphicData>
                </a:graphic>
              </wp:anchor>
            </w:drawing>
          </mc:Choice>
          <mc:Fallback>
            <w:pict>
              <v:shape id="文本框 32" o:spid="_x0000_s1026" o:spt="202" type="#_x0000_t202" style="position:absolute;left:0pt;margin-left:-35.1pt;margin-top:58.9pt;height:55.35pt;width:592.9pt;z-index:251656192;mso-width-relative:page;mso-height-relative:page;" filled="f" stroked="f" coordsize="21600,21600" o:gfxdata="UEsDBAoAAAAAAIdO4kAAAAAAAAAAAAAAAAAEAAAAZHJzL1BLAwQUAAAACACHTuJAPawqi90AAAAM&#10;AQAADwAAAGRycy9kb3ducmV2LnhtbE2PwU7DMBBE70j8g7VIXFBrO6JtFOL0QNUDAlRREHB04yWJ&#10;iNdR7CQtX497guNqnmbf5OujbdmIvW8cKZBzAQypdKahSsHb63aWAvNBk9GtI1RwQg/r4vIi15lx&#10;E73guA8ViyXkM62gDqHLOPdljVb7ueuQYvbleqtDPPuKm15Psdy2PBFiya1uKH6odYf3NZbf+8Eq&#10;GJ/F7ftT+XEabrabz4d0t/GP049S11dS3AELeAx/MJz1ozoU0engBjKetQpmK5FENAZyFTecCSkX&#10;S2AHBUmSLoAXOf8/ovgFUEsDBBQAAAAIAIdO4kBy4TAEmgEAAAsDAAAOAAAAZHJzL2Uyb0RvYy54&#10;bWytUktOIzEQ3Y/EHSzvSTcNIaGVDhJCsEEwEnAAx22nLdkuyzbpzgXgBrNiw37OlXNM2QlhBDvE&#10;xp+q8qt673l2PhhNVsIHBbahR6OSEmE5tMouG/r4cHU4pSREZlumwYqGrkWg5/ODX7Pe1aKCDnQr&#10;PEEQG+reNbSL0dVFEXgnDAsjcMJiUoI3LOLVL4vWsx7RjS6qsjwtevCt88BFCBi93CbpPONLKXi8&#10;kzKISHRDcbaYV5/XRVqL+YzVS89cp/huDPaNKQxTFpvuoS5ZZOTJqy9QRnEPAWQccTAFSKm4yByQ&#10;zVH5ic19x5zIXFCc4PYyhZ+D5ber356otqFolGUGLdr8edm8/t28PZPjKunTu1Bj2b3DwjhcwIA+&#10;v8cDBhPtQXqTdiREMI9Kr/fqiiESjsHJuDqbHmOKY25SVmcn4wRTfLx2PsRrAYakQ0M9updFZaub&#10;ELel7yWpmYUrpXV2UFvS41jj6WScX+xTiK4tNkkktsOmUxwWw47ZAto1EntyXi07bJqp5XJUPE+3&#10;+x3J0v/vGfTjD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D2sKovdAAAADAEAAA8AAAAAAAAA&#10;AQAgAAAAIgAAAGRycy9kb3ducmV2LnhtbFBLAQIUABQAAAAIAIdO4kBy4TAEmgEAAAsDAAAOAAAA&#10;AAAAAAEAIAAAACwBAABkcnMvZTJvRG9jLnhtbFBLBQYAAAAABgAGAFkBAAA4BQAAAAA=&#10;">
                <v:fill on="f" focussize="0,0"/>
                <v:stroke on="f" weight="1.25pt"/>
                <v:imagedata o:title=""/>
                <o:lock v:ext="edit" aspectratio="f"/>
                <v:textbox>
                  <w:txbxContent>
                    <w:p>
                      <w:pPr>
                        <w:jc w:val="center"/>
                        <w:rPr>
                          <w:rFonts w:hint="eastAsia" w:ascii="微软雅黑" w:hAnsi="微软雅黑" w:eastAsia="微软雅黑" w:cs="微软雅黑"/>
                          <w:b/>
                          <w:bCs/>
                          <w:color w:val="FFFFFF" w:themeColor="background1"/>
                          <w:spacing w:val="20"/>
                          <w:kern w:val="6"/>
                          <w:sz w:val="52"/>
                          <w:szCs w:val="52"/>
                          <w:lang w:eastAsia="zh-CN"/>
                          <w14:textFill>
                            <w14:solidFill>
                              <w14:schemeClr w14:val="bg1"/>
                            </w14:solidFill>
                          </w14:textFill>
                        </w:rPr>
                      </w:pPr>
                      <w:r>
                        <w:rPr>
                          <w:rFonts w:hint="eastAsia" w:ascii="微软雅黑" w:hAnsi="微软雅黑" w:eastAsia="微软雅黑" w:cs="微软雅黑"/>
                          <w:b/>
                          <w:bCs/>
                          <w:color w:val="FFFFFF" w:themeColor="background1"/>
                          <w:spacing w:val="20"/>
                          <w:kern w:val="6"/>
                          <w:sz w:val="52"/>
                          <w:szCs w:val="52"/>
                          <w:lang w:eastAsia="zh-CN"/>
                          <w14:textFill>
                            <w14:solidFill>
                              <w14:schemeClr w14:val="bg1"/>
                            </w14:solidFill>
                          </w14:textFill>
                        </w:rPr>
                        <w:t>《如何让操作工快速上岗--有效工作指导训练》</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4204970</wp:posOffset>
                </wp:positionH>
                <wp:positionV relativeFrom="paragraph">
                  <wp:posOffset>204470</wp:posOffset>
                </wp:positionV>
                <wp:extent cx="1710055" cy="396240"/>
                <wp:effectExtent l="0" t="0" r="0" b="0"/>
                <wp:wrapNone/>
                <wp:docPr id="16" name="文本框 38"/>
                <wp:cNvGraphicFramePr/>
                <a:graphic xmlns:a="http://schemas.openxmlformats.org/drawingml/2006/main">
                  <a:graphicData uri="http://schemas.microsoft.com/office/word/2010/wordprocessingShape">
                    <wps:wsp>
                      <wps:cNvSpPr txBox="1"/>
                      <wps:spPr>
                        <a:xfrm>
                          <a:off x="0" y="0"/>
                          <a:ext cx="1710055" cy="396240"/>
                        </a:xfrm>
                        <a:prstGeom prst="rect">
                          <a:avLst/>
                        </a:prstGeom>
                        <a:noFill/>
                        <a:ln w="15875">
                          <a:noFill/>
                        </a:ln>
                      </wps:spPr>
                      <wps:txbx>
                        <w:txbxContent>
                          <w:p>
                            <w:pPr>
                              <w:jc w:val="center"/>
                              <w:rPr>
                                <w:rFonts w:hint="eastAsia" w:ascii="微软雅黑" w:hAnsi="微软雅黑" w:eastAsia="微软雅黑" w:cs="微软雅黑"/>
                                <w:b/>
                                <w:bCs/>
                                <w:color w:val="FFFFFF" w:themeColor="background1"/>
                                <w:sz w:val="24"/>
                                <w:szCs w:val="24"/>
                                <w:lang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9.28  周五</w:t>
                            </w:r>
                          </w:p>
                        </w:txbxContent>
                      </wps:txbx>
                      <wps:bodyPr upright="1"/>
                    </wps:wsp>
                  </a:graphicData>
                </a:graphic>
              </wp:anchor>
            </w:drawing>
          </mc:Choice>
          <mc:Fallback>
            <w:pict>
              <v:shape id="文本框 38" o:spid="_x0000_s1026" o:spt="202" type="#_x0000_t202" style="position:absolute;left:0pt;margin-left:331.1pt;margin-top:16.1pt;height:31.2pt;width:134.65pt;z-index:251660288;mso-width-relative:page;mso-height-relative:page;" filled="f" stroked="f" coordsize="21600,21600" o:gfxdata="UEsDBAoAAAAAAIdO4kAAAAAAAAAAAAAAAAAEAAAAZHJzL1BLAwQUAAAACACHTuJA+KiydNsAAAAJ&#10;AQAADwAAAGRycy9kb3ducmV2LnhtbE2PwU7DMAyG70i8Q2QkLogl7UY1StMdmHZAMCEGAo5Za9qK&#10;xqmatN14erwTnGzLn35/zlYH24oRe9840hDNFAikwpUNVRreXjfXSxA+GCpN6wg1HNHDKj8/y0xa&#10;uolecNyFSnAI+dRoqEPoUil9UaM1fuY6JN59ud6awGNfybI3E4fbVsZKJdKahvhCbTq8r7H43g1W&#10;w7hVi/en4uM4XG3Wnw/L57V/nH60vryI1B2IgIfwB8NJn9UhZ6e9G6j0otWQJHHMqIb5qTJwO49u&#10;QOy5WSQg80z+/yD/BVBLAwQUAAAACACHTuJANF4hQJwBAAAMAwAADgAAAGRycy9lMm9Eb2MueG1s&#10;rVLNbhshEL5Hyjsg7vWu7dhxVl5bqiL3UqWVnDwAZmEXCRgExLt+gfYNeuql9z6XnyMDcZyovUW5&#10;DDA/38z3Dcv1YDTZCx8U2JqORyUlwnJolG1r+nC/+bSgJERmG6bBipoeRKDr1eXFsneVmEAHuhGe&#10;IIgNVe9q2sXoqqIIvBOGhRE4YTEowRsW8enbovGsR3Sji0lZzosefOM8cBECem+fg3SV8aUUPH6T&#10;MohIdE1xtpitz3aXbLFasqr1zHWKn8Zg75jCMGWx6RnqlkVGHr36D8oo7iGAjCMOpgApFReZA7IZ&#10;l/+w2XbMicwFxQnuLFP4OFh+t//uiWpwd3NKLDO4o+Ovn8fff49/fpDpIgnUu1Bh3tZhZhw+w4DJ&#10;L/6AzsR7kN6kExkRjKPUh7O8YoiEp6LrcVnOZpRwjE1v5pOrrH/xWu18iF8EGJIuNfW4vqwq238N&#10;ESfB1JeU1MzCRmmdV6gt6bHDbHE9yxXnEJZoi5WJxPOw6RaH3XBitoPmgMQenVdth00ztZyOkueW&#10;p++Rdvr2nUFfP/Hq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iosnTbAAAACQEAAA8AAAAAAAAA&#10;AQAgAAAAIgAAAGRycy9kb3ducmV2LnhtbFBLAQIUABQAAAAIAIdO4kA0XiFAnAEAAAwDAAAOAAAA&#10;AAAAAAEAIAAAACoBAABkcnMvZTJvRG9jLnhtbFBLBQYAAAAABgAGAFkBAAA4BQAAAAA=&#10;">
                <v:fill on="f" focussize="0,0"/>
                <v:stroke on="f" weight="1.25pt"/>
                <v:imagedata o:title=""/>
                <o:lock v:ext="edit" aspectratio="f"/>
                <v:textbox>
                  <w:txbxContent>
                    <w:p>
                      <w:pPr>
                        <w:jc w:val="center"/>
                        <w:rPr>
                          <w:rFonts w:hint="eastAsia" w:ascii="微软雅黑" w:hAnsi="微软雅黑" w:eastAsia="微软雅黑" w:cs="微软雅黑"/>
                          <w:b/>
                          <w:bCs/>
                          <w:color w:val="FFFFFF" w:themeColor="background1"/>
                          <w:sz w:val="24"/>
                          <w:szCs w:val="24"/>
                          <w:lang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9.28  周五</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3338195</wp:posOffset>
                </wp:positionH>
                <wp:positionV relativeFrom="paragraph">
                  <wp:posOffset>204470</wp:posOffset>
                </wp:positionV>
                <wp:extent cx="929005" cy="396240"/>
                <wp:effectExtent l="0" t="0" r="0" b="0"/>
                <wp:wrapNone/>
                <wp:docPr id="15" name="文本框 37"/>
                <wp:cNvGraphicFramePr/>
                <a:graphic xmlns:a="http://schemas.openxmlformats.org/drawingml/2006/main">
                  <a:graphicData uri="http://schemas.microsoft.com/office/word/2010/wordprocessingShape">
                    <wps:wsp>
                      <wps:cNvSpPr txBox="1"/>
                      <wps:spPr>
                        <a:xfrm>
                          <a:off x="0" y="0"/>
                          <a:ext cx="929005" cy="396240"/>
                        </a:xfrm>
                        <a:prstGeom prst="rect">
                          <a:avLst/>
                        </a:prstGeom>
                        <a:noFill/>
                        <a:ln w="15875">
                          <a:noFill/>
                        </a:ln>
                      </wps:spPr>
                      <wps:txbx>
                        <w:txbxContent>
                          <w:p>
                            <w:pPr>
                              <w:rPr>
                                <w:rFonts w:ascii="微软雅黑" w:hAnsi="微软雅黑" w:eastAsia="微软雅黑" w:cs="微软雅黑"/>
                                <w:b/>
                                <w:bCs/>
                                <w:color w:val="262626" w:themeColor="text1" w:themeTint="D9"/>
                                <w:kern w:val="10"/>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kern w:val="10"/>
                                <w:sz w:val="24"/>
                                <w:szCs w:val="24"/>
                                <w14:textFill>
                                  <w14:solidFill>
                                    <w14:schemeClr w14:val="tx1">
                                      <w14:lumMod w14:val="85000"/>
                                      <w14:lumOff w14:val="15000"/>
                                    </w14:schemeClr>
                                  </w14:solidFill>
                                </w14:textFill>
                              </w:rPr>
                              <w:t>杭州站</w:t>
                            </w:r>
                          </w:p>
                        </w:txbxContent>
                      </wps:txbx>
                      <wps:bodyPr upright="1"/>
                    </wps:wsp>
                  </a:graphicData>
                </a:graphic>
              </wp:anchor>
            </w:drawing>
          </mc:Choice>
          <mc:Fallback>
            <w:pict>
              <v:shape id="文本框 37" o:spid="_x0000_s1026" o:spt="202" type="#_x0000_t202" style="position:absolute;left:0pt;margin-left:262.85pt;margin-top:16.1pt;height:31.2pt;width:73.15pt;z-index:251659264;mso-width-relative:page;mso-height-relative:page;" filled="f" stroked="f" coordsize="21600,21600" o:gfxdata="UEsDBAoAAAAAAIdO4kAAAAAAAAAAAAAAAAAEAAAAZHJzL1BLAwQUAAAACACHTuJAHXPPYtwAAAAJ&#10;AQAADwAAAGRycy9kb3ducmV2LnhtbE2PwU7DMBBE70j8g7VIXFBr17RpCdn0QNUDAoRoEXB0Y5NE&#10;xOsodpKWr8ec4Ljap5k32fpoGzaYzteOEGZTAcxQ4XRNJcLrfjtZAfNBkVaNI4NwMh7W+flZplLt&#10;Rnoxwy6ULIaQTxVCFUKbcu6Lyljlp641FH+frrMqxLMrue7UGMNtw6UQCbeqpthQqdbcVab42vUW&#10;YXgS87fH4v3UX203H/er541/GL8RLy9m4hZYMMfwB8OvflSHPDodXE/aswZhIRfLiCJcSwksAslS&#10;xnEHhJt5AjzP+P8F+Q9QSwMEFAAAAAgAh07iQKihAjCWAQAACwMAAA4AAABkcnMvZTJvRG9jLnht&#10;bK1SzU4DIRC+m/gOhLvdtf52020TY/Ri1ER9AMpClwQYAtjdvoC+gScv3n2uPocDrdXozXgZYH6+&#10;me8bxtPeaLIQPiiwNd0flJQIy6FRdl7Th/uLvVNKQmS2YRqsqOlSBDqd7O6MO1eJIbSgG+EJgthQ&#10;da6mbYyuKorAW2FYGIATFoMSvGERn35eNJ51iG50MSzL46ID3zgPXISA3vN1kE4yvpSCxxspg4hE&#10;1xRni9n6bGfJFpMxq+aeuVbxzRjsD1MYpiw23UKds8jIo1e/oIziHgLIOOBgCpBScZE5IJv98geb&#10;u5Y5kbmgOMFtZQr/B8uvF7eeqAZ3d0SJZQZ3tHp5Xr2+r96eyMFJEqhzocK8O4eZsT+DHpM//QGd&#10;iXcvvUknMiIYR6mXW3lFHwlH52g4KkvswjF0MDoeHmb5i69i50O8FGBIutTU4/ayqGxxFSIOgqmf&#10;KamXhQuldd6gtqRLFE5PjnLFNoQl2mJl4rCeNd1iP+s3xGbQLJHXo/Nq3mLTzCyno+K55eZ3pJV+&#10;f2fQrz88+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dc89i3AAAAAkBAAAPAAAAAAAAAAEAIAAA&#10;ACIAAABkcnMvZG93bnJldi54bWxQSwECFAAUAAAACACHTuJAqKECMJYBAAALAwAADgAAAAAAAAAB&#10;ACAAAAArAQAAZHJzL2Uyb0RvYy54bWxQSwUGAAAAAAYABgBZAQAAMwUAAAAA&#10;">
                <v:fill on="f" focussize="0,0"/>
                <v:stroke on="f" weight="1.25pt"/>
                <v:imagedata o:title=""/>
                <o:lock v:ext="edit" aspectratio="f"/>
                <v:textbox>
                  <w:txbxContent>
                    <w:p>
                      <w:pPr>
                        <w:rPr>
                          <w:rFonts w:ascii="微软雅黑" w:hAnsi="微软雅黑" w:eastAsia="微软雅黑" w:cs="微软雅黑"/>
                          <w:b/>
                          <w:bCs/>
                          <w:color w:val="262626" w:themeColor="text1" w:themeTint="D9"/>
                          <w:kern w:val="10"/>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kern w:val="10"/>
                          <w:sz w:val="24"/>
                          <w:szCs w:val="24"/>
                          <w14:textFill>
                            <w14:solidFill>
                              <w14:schemeClr w14:val="tx1">
                                <w14:lumMod w14:val="85000"/>
                                <w14:lumOff w14:val="15000"/>
                              </w14:schemeClr>
                            </w14:solidFill>
                          </w14:textFill>
                        </w:rPr>
                        <w:t>杭州站</w:t>
                      </w:r>
                    </w:p>
                  </w:txbxContent>
                </v:textbox>
              </v:shape>
            </w:pict>
          </mc:Fallback>
        </mc:AlternateContent>
      </w:r>
      <w:r>
        <mc:AlternateContent>
          <mc:Choice Requires="wpg">
            <w:drawing>
              <wp:anchor distT="0" distB="0" distL="114300" distR="114300" simplePos="0" relativeHeight="251657216" behindDoc="0" locked="0" layoutInCell="1" allowOverlap="1">
                <wp:simplePos x="0" y="0"/>
                <wp:positionH relativeFrom="column">
                  <wp:posOffset>3310255</wp:posOffset>
                </wp:positionH>
                <wp:positionV relativeFrom="paragraph">
                  <wp:posOffset>282575</wp:posOffset>
                </wp:positionV>
                <wp:extent cx="2509520" cy="318770"/>
                <wp:effectExtent l="0" t="1270" r="24130" b="3810"/>
                <wp:wrapNone/>
                <wp:docPr id="11" name="组合 36"/>
                <wp:cNvGraphicFramePr/>
                <a:graphic xmlns:a="http://schemas.openxmlformats.org/drawingml/2006/main">
                  <a:graphicData uri="http://schemas.microsoft.com/office/word/2010/wordprocessingGroup">
                    <wpg:wgp>
                      <wpg:cNvGrpSpPr/>
                      <wpg:grpSpPr>
                        <a:xfrm>
                          <a:off x="0" y="0"/>
                          <a:ext cx="2509520" cy="318770"/>
                          <a:chOff x="11905" y="2498"/>
                          <a:chExt cx="3952" cy="502"/>
                        </a:xfrm>
                      </wpg:grpSpPr>
                      <wps:wsp>
                        <wps:cNvPr id="9" name="矩形 34"/>
                        <wps:cNvSpPr/>
                        <wps:spPr>
                          <a:xfrm>
                            <a:off x="11905" y="2498"/>
                            <a:ext cx="1538" cy="503"/>
                          </a:xfrm>
                          <a:prstGeom prst="rect">
                            <a:avLst/>
                          </a:prstGeom>
                          <a:gradFill rotWithShape="0">
                            <a:gsLst>
                              <a:gs pos="0">
                                <a:srgbClr val="FFFFFF"/>
                              </a:gs>
                              <a:gs pos="100000">
                                <a:srgbClr val="FFFFFF"/>
                              </a:gs>
                            </a:gsLst>
                            <a:lin ang="0"/>
                            <a:tileRect/>
                          </a:gradFill>
                          <a:ln w="15875">
                            <a:noFill/>
                          </a:ln>
                        </wps:spPr>
                        <wps:bodyPr upright="1"/>
                      </wps:wsp>
                      <wps:wsp>
                        <wps:cNvPr id="10" name="矩形 35"/>
                        <wps:cNvSpPr/>
                        <wps:spPr>
                          <a:xfrm>
                            <a:off x="13439" y="2509"/>
                            <a:ext cx="2419" cy="469"/>
                          </a:xfrm>
                          <a:prstGeom prst="rect">
                            <a:avLst/>
                          </a:prstGeom>
                          <a:noFill/>
                          <a:ln w="15875" cap="flat" cmpd="sng">
                            <a:solidFill>
                              <a:srgbClr val="FFFFFF"/>
                            </a:solidFill>
                            <a:prstDash val="solid"/>
                            <a:miter/>
                            <a:headEnd type="none" w="med" len="med"/>
                            <a:tailEnd type="none" w="med" len="med"/>
                          </a:ln>
                        </wps:spPr>
                        <wps:bodyPr upright="1"/>
                      </wps:wsp>
                    </wpg:wgp>
                  </a:graphicData>
                </a:graphic>
              </wp:anchor>
            </w:drawing>
          </mc:Choice>
          <mc:Fallback>
            <w:pict>
              <v:group id="组合 36" o:spid="_x0000_s1026" o:spt="203" style="position:absolute;left:0pt;margin-left:260.65pt;margin-top:22.25pt;height:25.1pt;width:197.6pt;z-index:251657216;mso-width-relative:page;mso-height-relative:page;" coordorigin="11905,2498" coordsize="3952,502" o:gfxdata="UEsDBAoAAAAAAIdO4kAAAAAAAAAAAAAAAAAEAAAAZHJzL1BLAwQUAAAACACHTuJAvdNsUdkAAAAJ&#10;AQAADwAAAGRycy9kb3ducmV2LnhtbE2PwU7DMAyG70i8Q2QkbizN1g4oTSc0AacJiQ0JcfMar63W&#10;JFWTtdvbY05w+y1/+v25WJ1tJ0YaQuudBjVLQJCrvGldreFz93r3ACJEdAY770jDhQKsyuurAnPj&#10;J/dB4zbWgktcyFFDE2OfSxmqhiyGme/J8e7gB4uRx6GWZsCJy20n50mylBZbxxca7GndUHXcnqyG&#10;twmn54V6GTfHw/ryvcvevzaKtL69UckTiEjn+AfDrz6rQ8lOe39yJohOQzZXC0Y1pGkGgoFHteSw&#10;55DegywL+f+D8gdQSwMEFAAAAAgAh07iQAzzfiXFAgAA8QYAAA4AAABkcnMvZTJvRG9jLnhtbL1V&#10;zW7UMBC+I/EOlu80f5t2N+ouB/pzQVBREGfXcRJLjm3Z7mb3zoEjb4DEjWdAPE7FazC2s+kPBdEi&#10;kUPieMbjme/7PD58vukFWjNjuZJLnO2lGDFJVc1lu8Tv3p48m2NkHZE1EUqyJd4yi5+vnj45HHTF&#10;ctUpUTODIIi01aCXuHNOV0liacd6YveUZhKMjTI9cfBr2qQ2ZIDovUjyNN1PBmVqbRRl1sLsUTTi&#10;VYjfNIy6101jmUNiiSE3F94mvC/8O1kdkqo1RHecjmmQR2TREy5h0ynUEXEEXRr+S6ieU6Osatwe&#10;VX2imoZTFmqAarL0TjWnRl3qUEtbDa2eYAJo7+D06LD01frMIF4DdxlGkvTA0Y9vH64+fUTFvkdn&#10;0G0FTqdGn+szM0608c8XvGlM779QCtoEXLcTrmzjEIXJvEwXZQ7wU7AV2fzgYASedsCOX5Zli7TE&#10;CMz5bDGPrNDueFxfwOq4uExzb0x2+yY+vSmbQYOI7DVO9t9wOu+IZgF+6yEYcVpMMH3+evX9Cypm&#10;EabgM2FkKwtw3QPQfZXucMrKAo6LB6lMi1t1kkob606Z6pEfLLEBZQfBkfVL6yIkO5dRh/UJFwIZ&#10;5d5z14VaPDHBaGFNHCCtAKU4bU178UIYtCZwWE7CMybR2pveWeqfEOnPS4CmdreV4BIR3xRG6h0X&#10;7A0UEVOHExjS9dsIiQZQRDk/KMMeUvlCop+QQL6nOaLrRxeq3gI1l9rwtgNkspDzKAWv3/+giQy0&#10;PZ6dURTlw0RRzArQlZc/HBW/lFQ7UeSzDExeFLP9YJrE/2BRTEjeBhlRAp23EcTBPr2GXmBlG+lV&#10;gk+8/J5re9PNq/CI2C7KKJhiQT13zITSOkbqY1kjt9XQbiRcDNhT3rMaI8HgHvGj4OkIF3/jCZg8&#10;XBqheUBfDf1kvAN84775H+R2fVO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C902xR2QAAAAkB&#10;AAAPAAAAAAAAAAEAIAAAACIAAABkcnMvZG93bnJldi54bWxQSwECFAAUAAAACACHTuJADPN+JcUC&#10;AADxBgAADgAAAAAAAAABACAAAAAoAQAAZHJzL2Uyb0RvYy54bWxQSwUGAAAAAAYABgBZAQAAXwYA&#10;AAAA&#10;">
                <o:lock v:ext="edit" aspectratio="f"/>
                <v:rect id="矩形 34" o:spid="_x0000_s1026" o:spt="1" style="position:absolute;left:11905;top:2498;height:503;width:1538;" fillcolor="#FFFFFF" filled="t" stroked="f" coordsize="21600,21600" o:gfxdata="UEsDBAoAAAAAAIdO4kAAAAAAAAAAAAAAAAAEAAAAZHJzL1BLAwQUAAAACACHTuJAW5iQ+b0AAADa&#10;AAAADwAAAGRycy9kb3ducmV2LnhtbEWPQWvCQBSE70L/w/IKveluCi0aXXMoFEKhVGOLeHtkn9nQ&#10;7NuQXY39925B8DjMzDfMqri4TpxpCK1nDdlMgSCuvWm50fC9e5/OQYSIbLDzTBr+KECxfpisMDd+&#10;5C2dq9iIBOGQowYbY59LGWpLDsPM98TJO/rBYUxyaKQZcExw18lnpV6lw5bTgsWe3izVv9XJafg5&#10;mIX5KD9fTN1m1cl+bfaqGrV+eszUEkSkS7yHb+3SaFjA/5V0A+T6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mJD5vQAA&#10;ANoAAAAPAAAAAAAAAAEAIAAAACIAAABkcnMvZG93bnJldi54bWxQSwECFAAUAAAACACHTuJAMy8F&#10;njsAAAA5AAAAEAAAAAAAAAABACAAAAAMAQAAZHJzL3NoYXBleG1sLnhtbFBLBQYAAAAABgAGAFsB&#10;AAC2AwAAAAA=&#10;">
                  <v:fill type="gradient" on="t" color2="#FFFFFF" angle="90" focus="100%" focussize="0,0">
                    <o:fill type="gradientUnscaled" v:ext="backwardCompatible"/>
                  </v:fill>
                  <v:stroke on="f" weight="1.25pt"/>
                  <v:imagedata o:title=""/>
                  <o:lock v:ext="edit" aspectratio="f"/>
                </v:rect>
                <v:rect id="矩形 35" o:spid="_x0000_s1026" o:spt="1" style="position:absolute;left:13439;top:2509;height:469;width:2419;" filled="f" stroked="t" coordsize="21600,21600" o:gfxdata="UEsDBAoAAAAAAIdO4kAAAAAAAAAAAAAAAAAEAAAAZHJzL1BLAwQUAAAACACHTuJAaQRktL0AAADb&#10;AAAADwAAAGRycy9kb3ducmV2LnhtbEWPQWvCQBCF70L/wzKCN92NYC2pqwehqCCUWr1Ps2MSzc6G&#10;7Gr033cOhd5meG/e+2axevhG3amLdWAL2cSAIi6Cq7m0cPz+GL+BignZYROYLDwpwmr5Mlhg7kLP&#10;X3Q/pFJJCMccLVQptbnWsajIY5yElli0c+g8Jlm7UrsOewn3jZ4a86o91iwNFba0rqi4Hm7ewrxx&#10;xeV0/PS76z471Zuf2bw3M2tHw8y8g0r0SP/mv+utE3yhl19kAL3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GS0vQAA&#10;ANsAAAAPAAAAAAAAAAEAIAAAACIAAABkcnMvZG93bnJldi54bWxQSwECFAAUAAAACACHTuJAMy8F&#10;njsAAAA5AAAAEAAAAAAAAAABACAAAAAMAQAAZHJzL3NoYXBleG1sLnhtbFBLBQYAAAAABgAGAFsB&#10;AAC2AwAAAAA=&#10;">
                  <v:fill on="f" focussize="0,0"/>
                  <v:stroke weight="1.25pt" color="#FFFFFF" joinstyle="miter"/>
                  <v:imagedata o:title=""/>
                  <o:lock v:ext="edit" aspectratio="f"/>
                </v:rect>
              </v:group>
            </w:pict>
          </mc:Fallback>
        </mc:AlternateContent>
      </w:r>
    </w:p>
    <w:p/>
    <w:p>
      <w:pPr>
        <w:jc w:val="left"/>
        <w:rPr>
          <w:rFonts w:ascii="微软雅黑" w:hAnsi="微软雅黑" w:eastAsia="微软雅黑" w:cs="微软雅黑"/>
          <w:b/>
          <w:bCs/>
          <w:sz w:val="24"/>
          <w:szCs w:val="24"/>
        </w:rPr>
      </w:pPr>
    </w:p>
    <w:p>
      <w:pPr>
        <w:jc w:val="left"/>
        <w:rPr>
          <w:rFonts w:ascii="微软雅黑" w:hAnsi="微软雅黑" w:eastAsia="微软雅黑" w:cs="微软雅黑"/>
          <w:b/>
          <w:bCs/>
          <w:sz w:val="32"/>
          <w:szCs w:val="32"/>
        </w:rPr>
      </w:pPr>
      <w:r>
        <w:rPr>
          <w:rFonts w:hint="eastAsia" w:ascii="微软雅黑" w:hAnsi="微软雅黑" w:eastAsia="微软雅黑" w:cs="微软雅黑"/>
          <w:b/>
          <w:bCs/>
          <w:sz w:val="24"/>
          <w:szCs w:val="24"/>
        </w:rPr>
        <w:t>主讲老师：鲁鹏</w:t>
      </w:r>
      <w:r>
        <w:rPr>
          <w:rFonts w:hint="eastAsia" w:ascii="微软雅黑" w:hAnsi="微软雅黑" w:eastAsia="微软雅黑" w:cs="微软雅黑"/>
          <w:color w:val="7F7F7F" w:themeColor="background1" w:themeShade="80"/>
          <w:szCs w:val="21"/>
        </w:rPr>
        <w:t>（原日资台资企业生产总监）</w:t>
      </w:r>
    </w:p>
    <w:p>
      <w:pPr>
        <w:jc w:val="left"/>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授课对象：</w:t>
      </w:r>
      <w:r>
        <w:rPr>
          <w:rFonts w:hint="eastAsia" w:ascii="微软雅黑" w:hAnsi="微软雅黑" w:eastAsia="微软雅黑" w:cs="微软雅黑"/>
          <w:sz w:val="24"/>
          <w:szCs w:val="24"/>
        </w:rPr>
        <w:t>厂长、车间主任、班组长、管理人员</w:t>
      </w:r>
    </w:p>
    <w:p>
      <w:pPr>
        <w:jc w:val="left"/>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企业类型：</w:t>
      </w:r>
      <w:r>
        <w:rPr>
          <w:rFonts w:hint="eastAsia" w:ascii="微软雅黑" w:hAnsi="微软雅黑" w:eastAsia="微软雅黑" w:cs="微软雅黑"/>
          <w:sz w:val="24"/>
          <w:szCs w:val="24"/>
          <w:lang w:eastAsia="zh-CN"/>
        </w:rPr>
        <w:t>制造业</w:t>
      </w:r>
    </w:p>
    <w:p>
      <w:pPr>
        <w:jc w:val="left"/>
        <w:rPr>
          <w:rFonts w:hint="eastAsia" w:ascii="微软雅黑" w:hAnsi="微软雅黑" w:eastAsia="微软雅黑" w:cs="微软雅黑"/>
          <w:sz w:val="24"/>
          <w:szCs w:val="24"/>
        </w:rPr>
      </w:pPr>
      <w:r>
        <w:rPr>
          <w:rFonts w:hint="eastAsia" w:ascii="微软雅黑" w:hAnsi="微软雅黑" w:eastAsia="微软雅黑" w:cs="微软雅黑"/>
          <w:b/>
          <w:bCs/>
          <w:sz w:val="24"/>
          <w:szCs w:val="24"/>
          <w:lang w:eastAsia="zh-CN"/>
        </w:rPr>
        <w:t>企业大小：</w:t>
      </w:r>
      <w:r>
        <w:rPr>
          <w:rFonts w:hint="eastAsia" w:ascii="微软雅黑" w:hAnsi="微软雅黑" w:eastAsia="微软雅黑" w:cs="微软雅黑"/>
          <w:sz w:val="24"/>
          <w:szCs w:val="24"/>
          <w:lang w:eastAsia="zh-CN"/>
        </w:rPr>
        <w:t>不限</w:t>
      </w:r>
    </w:p>
    <w:p>
      <w:pPr>
        <w:jc w:val="left"/>
        <w:rPr>
          <w:rFonts w:ascii="微软雅黑" w:hAnsi="微软雅黑" w:eastAsia="微软雅黑" w:cs="微软雅黑"/>
          <w:sz w:val="24"/>
          <w:szCs w:val="24"/>
        </w:rPr>
      </w:pPr>
      <w:r>
        <w:rPr>
          <w:rFonts w:hint="eastAsia" w:ascii="微软雅黑" w:hAnsi="微软雅黑" w:eastAsia="微软雅黑" w:cs="微软雅黑"/>
          <w:b/>
          <w:bCs/>
          <w:sz w:val="24"/>
          <w:szCs w:val="24"/>
        </w:rPr>
        <w:t>时间安排：</w:t>
      </w:r>
      <w:r>
        <w:rPr>
          <w:rFonts w:hint="eastAsia" w:ascii="微软雅黑" w:hAnsi="微软雅黑" w:eastAsia="微软雅黑" w:cs="微软雅黑"/>
          <w:sz w:val="24"/>
          <w:szCs w:val="24"/>
        </w:rPr>
        <w:t>2018年</w:t>
      </w:r>
      <w:r>
        <w:rPr>
          <w:rFonts w:hint="eastAsia" w:ascii="微软雅黑" w:hAnsi="微软雅黑" w:eastAsia="微软雅黑" w:cs="微软雅黑"/>
          <w:sz w:val="24"/>
          <w:szCs w:val="24"/>
          <w:lang w:val="en-US" w:eastAsia="zh-CN"/>
        </w:rPr>
        <w:t>9</w:t>
      </w:r>
      <w:r>
        <w:rPr>
          <w:rFonts w:hint="eastAsia" w:ascii="微软雅黑" w:hAnsi="微软雅黑" w:eastAsia="微软雅黑" w:cs="微软雅黑"/>
          <w:sz w:val="24"/>
          <w:szCs w:val="24"/>
        </w:rPr>
        <w:t xml:space="preserve">月 </w:t>
      </w:r>
      <w:r>
        <w:rPr>
          <w:rFonts w:hint="eastAsia" w:ascii="微软雅黑" w:hAnsi="微软雅黑" w:eastAsia="微软雅黑" w:cs="微软雅黑"/>
          <w:sz w:val="24"/>
          <w:szCs w:val="24"/>
          <w:lang w:val="en-US" w:eastAsia="zh-CN"/>
        </w:rPr>
        <w:t xml:space="preserve">28 </w:t>
      </w:r>
      <w:r>
        <w:rPr>
          <w:rFonts w:hint="eastAsia" w:ascii="微软雅黑" w:hAnsi="微软雅黑" w:eastAsia="微软雅黑" w:cs="微软雅黑"/>
          <w:sz w:val="24"/>
          <w:szCs w:val="24"/>
        </w:rPr>
        <w:t>日9:30至17:00</w:t>
      </w:r>
    </w:p>
    <w:p>
      <w:pPr>
        <w:jc w:val="left"/>
        <w:rPr>
          <w:rFonts w:ascii="微软雅黑" w:hAnsi="微软雅黑" w:eastAsia="微软雅黑" w:cs="微软雅黑"/>
          <w:b/>
          <w:bCs/>
          <w:sz w:val="24"/>
          <w:szCs w:val="24"/>
        </w:rPr>
      </w:pPr>
      <w:r>
        <w:rPr>
          <w:rFonts w:hint="eastAsia" w:ascii="微软雅黑" w:hAnsi="微软雅黑" w:eastAsia="微软雅黑" w:cs="微软雅黑"/>
          <w:b/>
          <w:bCs/>
          <w:sz w:val="24"/>
          <w:szCs w:val="24"/>
        </w:rPr>
        <w:t>地点安排：</w:t>
      </w:r>
      <w:r>
        <w:rPr>
          <w:rFonts w:hint="eastAsia" w:ascii="微软雅黑" w:hAnsi="微软雅黑" w:eastAsia="微软雅黑" w:cs="微软雅黑"/>
          <w:sz w:val="24"/>
          <w:szCs w:val="24"/>
        </w:rPr>
        <w:t>待定</w:t>
      </w:r>
    </w:p>
    <w:p>
      <w:pPr>
        <w:jc w:val="left"/>
        <w:rPr>
          <w:rFonts w:ascii="微软雅黑" w:hAnsi="微软雅黑" w:eastAsia="微软雅黑" w:cs="微软雅黑"/>
          <w:sz w:val="24"/>
          <w:szCs w:val="24"/>
        </w:rPr>
      </w:pPr>
      <w:r>
        <w:rPr>
          <w:rFonts w:hint="eastAsia" w:ascii="微软雅黑" w:hAnsi="微软雅黑" w:eastAsia="微软雅黑" w:cs="微软雅黑"/>
          <w:b/>
          <w:bCs/>
          <w:sz w:val="24"/>
          <w:szCs w:val="24"/>
        </w:rPr>
        <w:t>参课费用：</w:t>
      </w:r>
      <w:r>
        <w:rPr>
          <w:rFonts w:hint="eastAsia" w:ascii="微软雅黑" w:hAnsi="微软雅黑" w:eastAsia="微软雅黑" w:cs="微软雅黑"/>
          <w:sz w:val="24"/>
          <w:szCs w:val="24"/>
        </w:rPr>
        <w:t>学习卡套票</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 xml:space="preserve">张/人   </w:t>
      </w:r>
    </w:p>
    <w:p>
      <w:pPr>
        <w:ind w:left="1197" w:leftChars="570"/>
        <w:jc w:val="left"/>
        <w:rPr>
          <w:rFonts w:ascii="微软雅黑" w:hAnsi="微软雅黑" w:eastAsia="微软雅黑" w:cs="微软雅黑"/>
          <w:sz w:val="24"/>
          <w:szCs w:val="24"/>
        </w:rPr>
      </w:pPr>
      <w:r>
        <w:rPr>
          <w:rFonts w:hint="eastAsia" w:ascii="微软雅黑" w:hAnsi="微软雅黑" w:eastAsia="微软雅黑" w:cs="微软雅黑"/>
          <w:sz w:val="24"/>
          <w:szCs w:val="24"/>
        </w:rPr>
        <w:t>现金票</w:t>
      </w:r>
      <w:r>
        <w:rPr>
          <w:rFonts w:hint="eastAsia" w:ascii="微软雅黑" w:hAnsi="微软雅黑" w:eastAsia="微软雅黑" w:cs="微软雅黑"/>
          <w:sz w:val="24"/>
          <w:szCs w:val="24"/>
          <w:lang w:val="en-US" w:eastAsia="zh-CN"/>
        </w:rPr>
        <w:t>18</w:t>
      </w:r>
      <w:r>
        <w:rPr>
          <w:rFonts w:hint="eastAsia" w:ascii="微软雅黑" w:hAnsi="微软雅黑" w:eastAsia="微软雅黑" w:cs="微软雅黑"/>
          <w:sz w:val="24"/>
          <w:szCs w:val="24"/>
        </w:rPr>
        <w:t xml:space="preserve">00元/人 </w:t>
      </w:r>
      <w:r>
        <w:rPr>
          <w:rFonts w:hint="eastAsia" w:ascii="微软雅黑" w:hAnsi="微软雅黑" w:eastAsia="微软雅黑" w:cs="微软雅黑"/>
          <w:sz w:val="24"/>
          <w:szCs w:val="24"/>
          <w:lang w:val="en-US" w:eastAsia="zh-CN"/>
        </w:rPr>
        <w:t xml:space="preserve"> </w:t>
      </w:r>
      <w:r>
        <w:fldChar w:fldCharType="begin"/>
      </w:r>
      <w:r>
        <w:instrText xml:space="preserve"> HYPERLINK "http://www.hztbc.com/public/study_card.php" </w:instrText>
      </w:r>
      <w:r>
        <w:fldChar w:fldCharType="separate"/>
      </w:r>
      <w:r>
        <w:rPr>
          <w:rFonts w:hint="eastAsia" w:ascii="微软雅黑" w:hAnsi="微软雅黑" w:eastAsia="微软雅黑" w:cs="微软雅黑"/>
          <w:sz w:val="24"/>
          <w:szCs w:val="24"/>
        </w:rPr>
        <w:t>购买学习卡享受更多优惠</w:t>
      </w:r>
      <w:r>
        <w:rPr>
          <w:rFonts w:hint="eastAsia" w:ascii="微软雅黑" w:hAnsi="微软雅黑" w:eastAsia="微软雅黑" w:cs="微软雅黑"/>
          <w:sz w:val="24"/>
          <w:szCs w:val="24"/>
        </w:rPr>
        <w:fldChar w:fldCharType="end"/>
      </w:r>
    </w:p>
    <w:p>
      <w:pPr>
        <w:jc w:val="left"/>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人数限制：</w:t>
      </w:r>
      <w:r>
        <w:rPr>
          <w:rFonts w:hint="eastAsia" w:ascii="微软雅黑" w:hAnsi="微软雅黑" w:eastAsia="微软雅黑" w:cs="微软雅黑"/>
          <w:sz w:val="24"/>
          <w:szCs w:val="24"/>
          <w:lang w:val="en-US" w:eastAsia="zh-CN"/>
        </w:rPr>
        <w:t>150</w:t>
      </w:r>
      <w:r>
        <w:rPr>
          <w:rFonts w:hint="eastAsia" w:ascii="微软雅黑" w:hAnsi="微软雅黑" w:eastAsia="微软雅黑" w:cs="微软雅黑"/>
          <w:sz w:val="24"/>
          <w:szCs w:val="24"/>
        </w:rPr>
        <w:t>人</w:t>
      </w:r>
    </w:p>
    <w:p>
      <w:pPr>
        <w:jc w:val="left"/>
        <w:rPr>
          <w:rFonts w:hint="eastAsia" w:ascii="微软雅黑" w:hAnsi="微软雅黑" w:eastAsia="微软雅黑" w:cs="微软雅黑"/>
          <w:sz w:val="24"/>
          <w:szCs w:val="24"/>
        </w:rPr>
      </w:pPr>
    </w:p>
    <w:p>
      <w:pPr>
        <w:jc w:val="left"/>
        <w:rPr>
          <w:rFonts w:hint="eastAsia" w:ascii="微软雅黑" w:hAnsi="微软雅黑" w:eastAsia="微软雅黑" w:cs="微软雅黑"/>
          <w:sz w:val="24"/>
          <w:szCs w:val="24"/>
        </w:rPr>
      </w:pPr>
    </w:p>
    <w:p>
      <w:pPr>
        <w:jc w:val="left"/>
        <w:rPr>
          <w:rFonts w:hint="eastAsia" w:ascii="微软雅黑" w:hAnsi="微软雅黑" w:eastAsia="微软雅黑" w:cs="微软雅黑"/>
          <w:sz w:val="24"/>
          <w:szCs w:val="24"/>
        </w:rPr>
        <w:sectPr>
          <w:headerReference r:id="rId3" w:type="default"/>
          <w:footerReference r:id="rId4" w:type="default"/>
          <w:pgSz w:w="11906" w:h="16838"/>
          <w:pgMar w:top="720" w:right="720" w:bottom="720" w:left="720" w:header="0" w:footer="567" w:gutter="0"/>
          <w:cols w:space="720" w:num="1"/>
          <w:docGrid w:type="lines" w:linePitch="312" w:charSpace="0"/>
        </w:sectPr>
      </w:pP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p>
      <w:pPr>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p>
    <w:p>
      <w:pPr>
        <w:jc w:val="left"/>
        <w:rPr>
          <w:rFonts w:ascii="宋体" w:hAnsi="宋体" w:cs="宋体"/>
          <w:b/>
          <w:bCs/>
          <w:color w:val="000000" w:themeColor="text1"/>
          <w:sz w:val="32"/>
          <w:szCs w:val="32"/>
          <w14:textFill>
            <w14:solidFill>
              <w14:schemeClr w14:val="tx1"/>
            </w14:solidFill>
          </w14:textFill>
        </w:rPr>
      </w:pPr>
      <w:r>
        <w:rPr>
          <w:rFonts w:hint="eastAsia" w:ascii="微软雅黑" w:hAnsi="微软雅黑" w:eastAsia="微软雅黑" w:cs="微软雅黑"/>
          <w:b/>
          <w:bCs/>
          <w:color w:val="000000" w:themeColor="text1"/>
          <w:sz w:val="32"/>
          <w:szCs w:val="32"/>
          <w14:textFill>
            <w14:solidFill>
              <w14:schemeClr w14:val="tx1"/>
            </w14:solidFill>
          </w14:textFill>
        </w:rPr>
        <w:t>课程目标</w:t>
      </w:r>
    </w:p>
    <w:p>
      <w:pPr>
        <w:numPr>
          <w:ilvl w:val="0"/>
          <w:numId w:val="4"/>
        </w:numPr>
        <w:tabs>
          <w:tab w:val="left" w:pos="540"/>
        </w:tabs>
        <w:spacing w:line="240" w:lineRule="auto"/>
        <w:ind w:left="420" w:leftChars="0" w:hanging="420" w:firstLineChars="0"/>
        <w:rPr>
          <w:rFonts w:hint="eastAsia" w:ascii="宋体" w:hAnsi="宋体" w:eastAsia="宋体" w:cs="宋体"/>
          <w:kern w:val="0"/>
          <w:szCs w:val="21"/>
        </w:rPr>
      </w:pPr>
      <w:r>
        <w:rPr>
          <w:rFonts w:hint="eastAsia" w:ascii="宋体" w:hAnsi="宋体" w:eastAsia="宋体" w:cs="宋体"/>
          <w:kern w:val="0"/>
          <w:szCs w:val="21"/>
        </w:rPr>
        <w:t>明确员工的管理职责与角色定位，树立正确的管理意识与心态观念</w:t>
      </w:r>
    </w:p>
    <w:p>
      <w:pPr>
        <w:numPr>
          <w:ilvl w:val="0"/>
          <w:numId w:val="4"/>
        </w:numPr>
        <w:tabs>
          <w:tab w:val="left" w:pos="540"/>
        </w:tabs>
        <w:spacing w:line="240" w:lineRule="auto"/>
        <w:ind w:left="420" w:leftChars="0" w:hanging="420" w:firstLineChars="0"/>
        <w:rPr>
          <w:rFonts w:hint="eastAsia" w:ascii="宋体" w:hAnsi="宋体" w:eastAsia="宋体" w:cs="宋体"/>
          <w:kern w:val="0"/>
          <w:szCs w:val="21"/>
        </w:rPr>
      </w:pPr>
      <w:r>
        <w:rPr>
          <w:rFonts w:hint="eastAsia" w:ascii="宋体" w:hAnsi="宋体" w:eastAsia="宋体" w:cs="宋体"/>
          <w:kern w:val="0"/>
          <w:szCs w:val="21"/>
        </w:rPr>
        <w:t>了解现场一线管理的整体框架，掌握现场日常管理的重点方法</w:t>
      </w:r>
    </w:p>
    <w:p>
      <w:pPr>
        <w:numPr>
          <w:ilvl w:val="0"/>
          <w:numId w:val="4"/>
        </w:numPr>
        <w:tabs>
          <w:tab w:val="left" w:pos="540"/>
        </w:tabs>
        <w:spacing w:line="240" w:lineRule="auto"/>
        <w:ind w:left="420" w:leftChars="0" w:hanging="420" w:firstLineChars="0"/>
        <w:rPr>
          <w:rFonts w:hint="eastAsia" w:ascii="宋体" w:hAnsi="宋体" w:eastAsia="宋体" w:cs="宋体"/>
          <w:kern w:val="0"/>
          <w:szCs w:val="21"/>
        </w:rPr>
      </w:pPr>
      <w:r>
        <w:rPr>
          <w:rFonts w:hint="eastAsia" w:ascii="宋体" w:hAnsi="宋体" w:eastAsia="宋体" w:cs="宋体"/>
          <w:kern w:val="0"/>
          <w:szCs w:val="21"/>
        </w:rPr>
        <w:t>学习工作教导与辅导员工的技巧，提高员工技能，提升执行力</w:t>
      </w:r>
    </w:p>
    <w:p>
      <w:pPr>
        <w:numPr>
          <w:ilvl w:val="0"/>
          <w:numId w:val="4"/>
        </w:numPr>
        <w:tabs>
          <w:tab w:val="left" w:pos="540"/>
        </w:tabs>
        <w:spacing w:line="240" w:lineRule="auto"/>
        <w:ind w:left="420" w:leftChars="0" w:hanging="420" w:firstLineChars="0"/>
        <w:rPr>
          <w:rFonts w:hint="eastAsia" w:ascii="宋体" w:hAnsi="宋体" w:eastAsia="宋体" w:cs="宋体"/>
          <w:kern w:val="0"/>
          <w:szCs w:val="21"/>
        </w:rPr>
      </w:pPr>
      <w:r>
        <w:rPr>
          <w:rFonts w:hint="eastAsia" w:ascii="宋体" w:hAnsi="宋体" w:eastAsia="宋体" w:cs="宋体"/>
          <w:kern w:val="0"/>
          <w:szCs w:val="21"/>
        </w:rPr>
        <w:t>掌握沟通，表扬，反馈及激励下属的技巧，强化团队凝聚力</w:t>
      </w:r>
    </w:p>
    <w:p>
      <w:pPr>
        <w:numPr>
          <w:ilvl w:val="0"/>
          <w:numId w:val="4"/>
        </w:numPr>
        <w:tabs>
          <w:tab w:val="left" w:pos="540"/>
        </w:tabs>
        <w:spacing w:line="240" w:lineRule="auto"/>
        <w:ind w:left="420" w:leftChars="0" w:hanging="420" w:firstLineChars="0"/>
        <w:rPr>
          <w:rFonts w:hint="eastAsia" w:ascii="宋体" w:hAnsi="宋体" w:eastAsia="宋体" w:cs="宋体"/>
          <w:kern w:val="0"/>
          <w:szCs w:val="21"/>
        </w:rPr>
      </w:pPr>
      <w:r>
        <w:rPr>
          <w:rFonts w:hint="eastAsia" w:ascii="宋体" w:hAnsi="宋体" w:eastAsia="宋体" w:cs="宋体"/>
          <w:kern w:val="0"/>
          <w:szCs w:val="21"/>
        </w:rPr>
        <w:t xml:space="preserve">学习现场安全管理、现场问题分析与解决及现场改善的基本方法 </w:t>
      </w:r>
    </w:p>
    <w:p>
      <w:pPr>
        <w:numPr>
          <w:ilvl w:val="0"/>
          <w:numId w:val="4"/>
        </w:numPr>
        <w:tabs>
          <w:tab w:val="left" w:pos="540"/>
        </w:tabs>
        <w:spacing w:line="240" w:lineRule="auto"/>
        <w:ind w:left="420" w:leftChars="0" w:hanging="420" w:firstLineChars="0"/>
        <w:rPr>
          <w:rFonts w:hint="eastAsia" w:ascii="宋体" w:hAnsi="宋体" w:eastAsia="宋体" w:cs="宋体"/>
          <w:kern w:val="0"/>
          <w:szCs w:val="21"/>
        </w:rPr>
      </w:pPr>
      <w:r>
        <w:rPr>
          <w:rFonts w:hint="eastAsia" w:ascii="宋体" w:hAnsi="宋体" w:eastAsia="宋体" w:cs="宋体"/>
          <w:kern w:val="0"/>
          <w:szCs w:val="21"/>
        </w:rPr>
        <w:t xml:space="preserve">清晰、准确的理解现场管理者的角色定位与应具备的观念，成为一个高价值的职业管理者 </w:t>
      </w:r>
    </w:p>
    <w:p>
      <w:pPr>
        <w:numPr>
          <w:ilvl w:val="0"/>
          <w:numId w:val="4"/>
        </w:numPr>
        <w:tabs>
          <w:tab w:val="left" w:pos="540"/>
        </w:tabs>
        <w:spacing w:line="240" w:lineRule="auto"/>
        <w:ind w:left="420" w:leftChars="0" w:hanging="420" w:firstLineChars="0"/>
        <w:rPr>
          <w:rFonts w:hint="eastAsia" w:ascii="宋体" w:hAnsi="宋体" w:eastAsia="宋体" w:cs="宋体"/>
          <w:kern w:val="0"/>
          <w:szCs w:val="21"/>
        </w:rPr>
      </w:pPr>
      <w:r>
        <w:rPr>
          <w:rFonts w:hint="eastAsia" w:ascii="宋体" w:hAnsi="宋体" w:eastAsia="宋体" w:cs="宋体"/>
          <w:kern w:val="0"/>
          <w:szCs w:val="21"/>
        </w:rPr>
        <w:t xml:space="preserve">掌握现场工作教导与作业辅导的方法，以便提升下属的执行力和快速掌握专业技术的能力 </w:t>
      </w:r>
    </w:p>
    <w:p>
      <w:pPr>
        <w:numPr>
          <w:ilvl w:val="0"/>
          <w:numId w:val="4"/>
        </w:numPr>
        <w:tabs>
          <w:tab w:val="left" w:pos="540"/>
        </w:tabs>
        <w:spacing w:line="240" w:lineRule="auto"/>
        <w:ind w:left="420" w:leftChars="0" w:hanging="420" w:firstLineChars="0"/>
        <w:rPr>
          <w:rFonts w:hint="eastAsia" w:ascii="宋体" w:hAnsi="宋体" w:eastAsia="宋体" w:cs="宋体"/>
          <w:kern w:val="0"/>
          <w:szCs w:val="21"/>
        </w:rPr>
      </w:pPr>
      <w:r>
        <w:rPr>
          <w:rFonts w:hint="eastAsia" w:ascii="宋体" w:hAnsi="宋体" w:eastAsia="宋体" w:cs="宋体"/>
          <w:kern w:val="0"/>
          <w:szCs w:val="21"/>
        </w:rPr>
        <w:t xml:space="preserve">掌握现场问题发现的能力，以及针对现场问题进行改善的能力 </w:t>
      </w:r>
    </w:p>
    <w:p>
      <w:pPr>
        <w:numPr>
          <w:ilvl w:val="0"/>
          <w:numId w:val="4"/>
        </w:numPr>
        <w:tabs>
          <w:tab w:val="left" w:pos="540"/>
        </w:tabs>
        <w:spacing w:line="240" w:lineRule="auto"/>
        <w:ind w:left="420" w:leftChars="0" w:hanging="420" w:firstLineChars="0"/>
        <w:rPr>
          <w:rFonts w:hint="eastAsia" w:ascii="宋体" w:hAnsi="宋体" w:eastAsia="宋体" w:cs="宋体"/>
          <w:kern w:val="0"/>
          <w:szCs w:val="21"/>
        </w:rPr>
      </w:pPr>
      <w:r>
        <w:rPr>
          <w:rFonts w:hint="eastAsia" w:ascii="宋体" w:hAnsi="宋体" w:eastAsia="宋体" w:cs="宋体"/>
          <w:kern w:val="0"/>
          <w:szCs w:val="21"/>
        </w:rPr>
        <w:t>掌握人际关系处理的原则，有效处理人员管理中的问题</w:t>
      </w:r>
    </w:p>
    <w:p>
      <w:pPr>
        <w:numPr>
          <w:ilvl w:val="0"/>
          <w:numId w:val="0"/>
        </w:numPr>
        <w:tabs>
          <w:tab w:val="left" w:pos="540"/>
        </w:tabs>
        <w:spacing w:line="360" w:lineRule="exact"/>
        <w:ind w:leftChars="0"/>
        <w:rPr>
          <w:rFonts w:hint="eastAsia" w:ascii="微软雅黑" w:hAnsi="微软雅黑" w:eastAsia="微软雅黑" w:cs="宋体"/>
          <w:kern w:val="0"/>
          <w:szCs w:val="21"/>
        </w:rPr>
      </w:pPr>
    </w:p>
    <w:p>
      <w:pPr>
        <w:spacing w:line="360" w:lineRule="auto"/>
        <w:jc w:val="left"/>
        <w:rPr>
          <w:rFonts w:hint="eastAsia" w:ascii="宋体" w:hAnsi="宋体"/>
          <w:b w:val="0"/>
          <w:bCs w:val="0"/>
          <w:color w:val="7F7F7F" w:themeColor="background1" w:themeShade="80"/>
          <w:szCs w:val="21"/>
          <w:lang w:val="en-US"/>
        </w:rPr>
        <w:sectPr>
          <w:type w:val="continuous"/>
          <w:pgSz w:w="11906" w:h="16838"/>
          <w:pgMar w:top="720" w:right="720" w:bottom="720" w:left="720" w:header="0" w:footer="567" w:gutter="0"/>
          <w:cols w:space="720" w:num="1"/>
          <w:docGrid w:type="lines" w:linePitch="312" w:charSpace="0"/>
        </w:sectPr>
      </w:pPr>
      <w:r>
        <w:rPr>
          <w:sz w:val="21"/>
        </w:rPr>
        <mc:AlternateContent>
          <mc:Choice Requires="wps">
            <w:drawing>
              <wp:anchor distT="0" distB="0" distL="114300" distR="114300" simplePos="0" relativeHeight="251697152" behindDoc="0" locked="0" layoutInCell="1" allowOverlap="1">
                <wp:simplePos x="0" y="0"/>
                <wp:positionH relativeFrom="column">
                  <wp:posOffset>-86995</wp:posOffset>
                </wp:positionH>
                <wp:positionV relativeFrom="paragraph">
                  <wp:posOffset>333375</wp:posOffset>
                </wp:positionV>
                <wp:extent cx="7019925" cy="9525"/>
                <wp:effectExtent l="0" t="0" r="0" b="0"/>
                <wp:wrapNone/>
                <wp:docPr id="22" name="直接连接符 22"/>
                <wp:cNvGraphicFramePr/>
                <a:graphic xmlns:a="http://schemas.openxmlformats.org/drawingml/2006/main">
                  <a:graphicData uri="http://schemas.microsoft.com/office/word/2010/wordprocessingShape">
                    <wps:wsp>
                      <wps:cNvCnPr/>
                      <wps:spPr>
                        <a:xfrm flipV="1">
                          <a:off x="370205" y="2985135"/>
                          <a:ext cx="7019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85pt;margin-top:26.25pt;height:0.75pt;width:552.75pt;z-index:251697152;mso-width-relative:page;mso-height-relative:page;" filled="f" stroked="t" coordsize="21600,21600" o:gfxdata="UEsDBAoAAAAAAIdO4kAAAAAAAAAAAAAAAAAEAAAAZHJzL1BLAwQUAAAACACHTuJAOJNejtkAAAAK&#10;AQAADwAAAGRycy9kb3ducmV2LnhtbE2PTU/DMAyG70j8h8hI3Lakg8FWmk4VUi+AhChcdksb05Y1&#10;TtVkX/8e7wRH249eP2+2OblBHHAKvScNyVyBQGq87anV8PVZzlYgQjRkzeAJNZwxwCa/vspMav2R&#10;PvBQxVZwCIXUaOhiHFMpQ9OhM2HuRyS+ffvJmcjj1Eo7mSOHu0EulHqQzvTEHzoz4nOHza7aOw1l&#10;3XevhS/bt7P7wWpXbIv3l63WtzeJegIR8RT/YLjoszrk7FT7PdkgBg2z5O6RUQ3LxRLEBVDrhMvU&#10;vLlXIPNM/q+Q/wJQSwMEFAAAAAgAh07iQIemT93uAQAAnwMAAA4AAABkcnMvZTJvRG9jLnhtbK1T&#10;y47TMBTdI/EPlvc0aYYy06jpiJkybHhU4rG/dezEkl+yTdP+BD+AxG5YsWTP3zB8BtdOZnjtEJsr&#10;+z6O7zk5WZ0ftCJ77oO0pqHzWUkJN8y20nQNffP66sEZJSGCaUFZwxt65IGer+/fWw2u5pXtrWq5&#10;JwhiQj24hvYxurooAuu5hjCzjhssCus1RLz6rmg9DIiuVVGV5aNisL513jIeAmY3Y5GuM74QnMWX&#10;QgQeiWoo7hZz9DnuUizWK6g7D66XbFoD/mELDdLgo3dQG4hA3nn5F5SWzNtgRZwxqwsrhGQ8c0A2&#10;8/IPNq96cDxzQXGCu5Mp/D9Y9mK/9US2Da0qSgxo/EY3H758e3/9/etHjDefPxGsoEyDCzV2X5qt&#10;n27BbX3ifBBeE6Gke4sOyCogL3Jo6MlpWZULSo6IvjxbzE8Wo978EAnD+mk5Xy4rbGDYsVzgCZGL&#10;ETABOx/iU241SYeGKmmSGlDD/lmIY+ttS0obeyWVwjzUypBhgiQM0FdCQcR3tEOmwXSUgOrQsCz6&#10;jBiskm2aTsPBd7tL5cke0DQPH58+ubgYm3po+ZhdLspyMk+A+Ny2Y3pe3uaRxQSTGf2Gn3beQOjH&#10;mVyaiCuD3UnoUdp02tn2mBXPeXRBxpscm2z26z1P//yv1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JNejtkAAAAKAQAADwAAAAAAAAABACAAAAAiAAAAZHJzL2Rvd25yZXYueG1sUEsBAhQAFAAA&#10;AAgAh07iQIemT93uAQAAnwMAAA4AAAAAAAAAAQAgAAAAKAEAAGRycy9lMm9Eb2MueG1sUEsFBgAA&#10;AAAGAAYAWQEAAIgFAAAAAA==&#10;">
                <v:fill on="f" focussize="0,0"/>
                <v:stroke color="#4A7EBB [3204]" joinstyle="round"/>
                <v:imagedata o:title=""/>
                <o:lock v:ext="edit" aspectratio="f"/>
              </v:line>
            </w:pict>
          </mc:Fallback>
        </mc:AlternateContent>
      </w:r>
      <w:r>
        <w:rPr>
          <w:rFonts w:hint="eastAsia" w:ascii="微软雅黑" w:hAnsi="微软雅黑" w:eastAsia="微软雅黑" w:cs="微软雅黑"/>
          <w:b/>
          <w:bCs/>
          <w:color w:val="000000" w:themeColor="text1"/>
          <w:sz w:val="32"/>
          <w:szCs w:val="32"/>
          <w14:textFill>
            <w14:solidFill>
              <w14:schemeClr w14:val="tx1"/>
            </w14:solidFill>
          </w14:textFill>
        </w:rPr>
        <w:t>课程大纲</w:t>
      </w:r>
      <w:r>
        <w:rPr>
          <w:rFonts w:hint="eastAsia" w:ascii="微软雅黑" w:hAnsi="微软雅黑" w:eastAsia="微软雅黑" w:cs="微软雅黑"/>
          <w:b/>
          <w:bCs/>
          <w:color w:val="000000" w:themeColor="text1"/>
          <w:sz w:val="32"/>
          <w:szCs w:val="32"/>
          <w:lang w:val="en-US" w:eastAsia="zh-CN"/>
          <w14:textFill>
            <w14:solidFill>
              <w14:schemeClr w14:val="tx1"/>
            </w14:solidFill>
          </w14:textFill>
        </w:rPr>
        <w:t xml:space="preserve">  </w:t>
      </w:r>
      <w:r>
        <w:rPr>
          <w:rFonts w:hint="eastAsia" w:ascii="微软雅黑" w:hAnsi="微软雅黑" w:eastAsia="微软雅黑" w:cs="微软雅黑"/>
          <w:b/>
          <w:bCs/>
          <w:color w:val="7F7F7F" w:themeColor="background1" w:themeShade="80"/>
          <w:sz w:val="32"/>
          <w:szCs w:val="32"/>
          <w:lang w:val="en-US" w:eastAsia="zh-CN"/>
        </w:rPr>
        <w:t>Outline</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一、员工角色定位：树立正确思想观</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当前制造企业员工面临的机遇与挑战</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员工所扮演的三类角色认知</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员工存在的价值</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员工做人做事四项法则</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员工必备的四大核心能力</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员工管理的观念改变是伟大的</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【小组互动】：木桶理论与制造企业角色分工</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【小组互动】：员工的角色、本色与特色</w:t>
      </w:r>
    </w:p>
    <w:p>
      <w:pPr>
        <w:spacing w:line="240" w:lineRule="auto"/>
        <w:jc w:val="left"/>
        <w:rPr>
          <w:rFonts w:hint="eastAsia" w:ascii="宋体" w:hAnsi="宋体" w:eastAsia="宋体" w:cs="宋体"/>
          <w:b/>
          <w:color w:val="auto"/>
          <w:kern w:val="0"/>
          <w:sz w:val="21"/>
          <w:szCs w:val="21"/>
        </w:rPr>
      </w:pP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二、一日管理：做到日清日毕</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班前要准备的事情</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员工生产计划的掌控</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班前准备的6 项关键要素</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班中要控制的事情</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班中控制的6 项关键点</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班中控制的生产进度与产品质量</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班中控制的安全生产</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班后要掌握的事情</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班后掌握的5 项关键要素</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认真做好交接班管理</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班后遗留问题的“三不放过”原则</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三、造就精英下属</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员工教导能力的重要作用</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教导的正确理念</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“教”与“导”的正确理解</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一般管理常犯的错误教导方法</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工作教导四阶段法</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OJT 教导效果评估</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教导员工心态---态度决定一切</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培养部下应有的能力与态度</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纠正部下不良行为的4 个步骤及时机</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在职培训（OJT）--提升员工能力的最佳途径</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如何做好教育训练-训练四步骤</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OJT 训练工作教导五步法</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OJT 具体的操作及评价方法</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教导中的激励鼓励技巧</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四种气质员工培育方法</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脾气暴躁的员工</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平庸的员工</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爱找碴儿的员工</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功高盖主的员工</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【案例分析】：班员的行为就是你的产品</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【视频分享】：老鹰教小鹰</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【案例分析】：功夫花在工作前</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【案例分析】：某企业培养员工的秘诀</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【案例分析】：某公司OJT 具体实施及推进运用表</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【案例分析】：老郭为何不愿带徒弟小甲</w:t>
      </w:r>
    </w:p>
    <w:p>
      <w:pPr>
        <w:spacing w:line="240" w:lineRule="auto"/>
        <w:jc w:val="left"/>
        <w:rPr>
          <w:rFonts w:hint="eastAsia" w:ascii="宋体" w:hAnsi="宋体" w:eastAsia="宋体" w:cs="宋体"/>
          <w:b/>
          <w:color w:val="auto"/>
          <w:kern w:val="0"/>
          <w:sz w:val="21"/>
          <w:szCs w:val="21"/>
        </w:rPr>
      </w:pP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四、沟通管理1</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人才激励：点燃工作激情</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制造企业员工激励的要点</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激励的逻辑过程及层次论解析</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有效激励员工的艺术</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情感式激励工具应用</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赞美式激励工具应用</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批评式激励工具应用</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物质激励与精神激励相结合</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8 大需要激励的类型及相应对策</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关心员工的招术</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【案例分析】：五种需求理论</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【案例分析】：处罚的艺术</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【小组互动】：BEET 工具的运用</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【案例分析】：燃料班王班长的激励艺术</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【案例分析】：大唐大坝发制造企业员工激励方案</w:t>
      </w:r>
    </w:p>
    <w:p>
      <w:pPr>
        <w:spacing w:line="240" w:lineRule="auto"/>
        <w:jc w:val="left"/>
        <w:rPr>
          <w:rFonts w:hint="eastAsia" w:ascii="宋体" w:hAnsi="宋体" w:eastAsia="宋体" w:cs="宋体"/>
          <w:b/>
          <w:color w:val="auto"/>
          <w:kern w:val="0"/>
          <w:sz w:val="21"/>
          <w:szCs w:val="21"/>
        </w:rPr>
      </w:pP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五、沟通管理2</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领导艺术：构筑和谐工作关系</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塑造良好内部工作氛围三原则</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如何处理表现不良的部属</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脾气暴躁的员工</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光说不干的员工</w:t>
      </w:r>
    </w:p>
    <w:p>
      <w:pPr>
        <w:numPr>
          <w:ilvl w:val="0"/>
          <w:numId w:val="6"/>
        </w:numPr>
        <w:spacing w:line="240" w:lineRule="auto"/>
        <w:ind w:left="420" w:leftChars="0" w:hanging="23"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爱找碴儿的员工</w:t>
      </w:r>
    </w:p>
    <w:p>
      <w:pPr>
        <w:numPr>
          <w:ilvl w:val="0"/>
          <w:numId w:val="6"/>
        </w:numPr>
        <w:spacing w:line="240" w:lineRule="auto"/>
        <w:ind w:left="420" w:leftChars="0" w:hanging="23" w:firstLineChars="0"/>
        <w:jc w:val="left"/>
        <w:rPr>
          <w:rFonts w:hint="eastAsia" w:ascii="宋体" w:hAnsi="宋体" w:eastAsia="宋体" w:cs="宋体"/>
          <w:b/>
          <w:color w:val="auto"/>
          <w:kern w:val="0"/>
          <w:sz w:val="21"/>
          <w:szCs w:val="21"/>
        </w:rPr>
      </w:pPr>
      <w:r>
        <w:rPr>
          <w:rFonts w:hint="eastAsia" w:ascii="宋体" w:hAnsi="宋体" w:eastAsia="宋体" w:cs="宋体"/>
          <w:b w:val="0"/>
          <w:bCs/>
          <w:color w:val="auto"/>
          <w:kern w:val="0"/>
          <w:sz w:val="21"/>
          <w:szCs w:val="21"/>
        </w:rPr>
        <w:t>推诿责任的员工</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如何处理员工之间的矛盾</w:t>
      </w:r>
    </w:p>
    <w:p>
      <w:pPr>
        <w:numPr>
          <w:ilvl w:val="0"/>
          <w:numId w:val="5"/>
        </w:numPr>
        <w:spacing w:line="240" w:lineRule="auto"/>
        <w:ind w:left="420" w:leftChars="0" w:hanging="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人性化管理实施技巧</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◆【案例分析】：某制造企业李班长处罚的艺术</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◆【案例分析】：某企业小张、老洪并肩行</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◆【案例分析】：五种需求理论</w:t>
      </w:r>
    </w:p>
    <w:p>
      <w:pPr>
        <w:spacing w:line="24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◆【小组互动】：BEET 工具的运用</w:t>
      </w:r>
    </w:p>
    <w:p>
      <w:pPr>
        <w:spacing w:line="240" w:lineRule="auto"/>
        <w:jc w:val="left"/>
        <w:rPr>
          <w:rFonts w:ascii="宋体" w:hAnsi="宋体"/>
          <w:b/>
          <w:bCs/>
          <w:szCs w:val="21"/>
        </w:rPr>
      </w:pPr>
      <w:r>
        <w:rPr>
          <w:rFonts w:hint="eastAsia" w:ascii="宋体" w:hAnsi="宋体" w:eastAsia="宋体" w:cs="宋体"/>
          <w:b/>
          <w:color w:val="auto"/>
          <w:kern w:val="0"/>
          <w:sz w:val="21"/>
          <w:szCs w:val="21"/>
        </w:rPr>
        <w:t>◆【案例分析】：活用式教导技巧与常规教导技巧</w:t>
      </w:r>
    </w:p>
    <w:p>
      <w:pPr>
        <w:jc w:val="left"/>
        <w:rPr>
          <w:rFonts w:ascii="宋体" w:hAnsi="宋体"/>
          <w:b/>
          <w:bCs/>
          <w:szCs w:val="21"/>
        </w:rPr>
        <w:sectPr>
          <w:type w:val="continuous"/>
          <w:pgSz w:w="11906" w:h="16838"/>
          <w:pgMar w:top="720" w:right="720" w:bottom="720" w:left="720" w:header="0" w:footer="567" w:gutter="0"/>
          <w:cols w:equalWidth="0" w:num="2">
            <w:col w:w="5020" w:space="425"/>
            <w:col w:w="5020"/>
          </w:cols>
          <w:docGrid w:type="lines" w:linePitch="312" w:charSpace="0"/>
        </w:sect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r>
        <mc:AlternateContent>
          <mc:Choice Requires="wps">
            <w:drawing>
              <wp:anchor distT="0" distB="0" distL="114300" distR="114300" simplePos="0" relativeHeight="251658240" behindDoc="0" locked="0" layoutInCell="1" allowOverlap="1">
                <wp:simplePos x="0" y="0"/>
                <wp:positionH relativeFrom="column">
                  <wp:posOffset>2752090</wp:posOffset>
                </wp:positionH>
                <wp:positionV relativeFrom="paragraph">
                  <wp:posOffset>295275</wp:posOffset>
                </wp:positionV>
                <wp:extent cx="3228975" cy="1295400"/>
                <wp:effectExtent l="0" t="0" r="9525" b="0"/>
                <wp:wrapNone/>
                <wp:docPr id="12" name="文本框 39"/>
                <wp:cNvGraphicFramePr/>
                <a:graphic xmlns:a="http://schemas.openxmlformats.org/drawingml/2006/main">
                  <a:graphicData uri="http://schemas.microsoft.com/office/word/2010/wordprocessingShape">
                    <wps:wsp>
                      <wps:cNvSpPr txBox="1"/>
                      <wps:spPr>
                        <a:xfrm>
                          <a:off x="0" y="0"/>
                          <a:ext cx="3228975" cy="1295400"/>
                        </a:xfrm>
                        <a:prstGeom prst="rect">
                          <a:avLst/>
                        </a:prstGeom>
                        <a:gradFill rotWithShape="0">
                          <a:gsLst>
                            <a:gs pos="0">
                              <a:srgbClr val="FFFFFF"/>
                            </a:gs>
                            <a:gs pos="100000">
                              <a:srgbClr val="FFFFFF"/>
                            </a:gs>
                          </a:gsLst>
                          <a:lin ang="0"/>
                          <a:tileRect/>
                        </a:gradFill>
                        <a:ln w="15875">
                          <a:noFill/>
                        </a:ln>
                      </wps:spPr>
                      <wps:txbx>
                        <w:txbxContent>
                          <w:p>
                            <w:pPr>
                              <w:rPr>
                                <w:rFonts w:ascii="微软雅黑" w:hAnsi="微软雅黑" w:eastAsia="微软雅黑"/>
                                <w:b/>
                                <w:sz w:val="40"/>
                                <w:szCs w:val="36"/>
                                <w:lang w:val="zh-CN"/>
                              </w:rPr>
                            </w:pPr>
                            <w:r>
                              <w:rPr>
                                <w:rFonts w:hint="eastAsia" w:ascii="微软雅黑" w:hAnsi="微软雅黑" w:eastAsia="微软雅黑"/>
                                <w:b/>
                                <w:sz w:val="40"/>
                                <w:szCs w:val="36"/>
                                <w:lang w:val="zh-CN"/>
                              </w:rPr>
                              <w:t>鲁鹏</w:t>
                            </w:r>
                          </w:p>
                          <w:p>
                            <w:pPr>
                              <w:rPr>
                                <w:rFonts w:ascii="微软雅黑" w:hAnsi="微软雅黑" w:eastAsia="微软雅黑" w:cs="微软雅黑"/>
                                <w:b/>
                                <w:bCs/>
                                <w:sz w:val="36"/>
                                <w:szCs w:val="36"/>
                              </w:rPr>
                            </w:pPr>
                            <w:r>
                              <w:rPr>
                                <w:rFonts w:hint="eastAsia"/>
                                <w:b/>
                                <w:sz w:val="36"/>
                                <w:szCs w:val="30"/>
                                <w:lang w:val="zh-CN"/>
                              </w:rPr>
                              <w:t>原日资台资企业生产总监</w:t>
                            </w:r>
                            <w:r>
                              <w:rPr>
                                <w:rFonts w:hint="eastAsia" w:ascii="微软雅黑" w:hAnsi="微软雅黑" w:eastAsia="微软雅黑" w:cs="微软雅黑"/>
                                <w:b/>
                                <w:bCs/>
                                <w:sz w:val="36"/>
                                <w:szCs w:val="36"/>
                              </w:rPr>
                              <w:t xml:space="preserve"> </w:t>
                            </w:r>
                          </w:p>
                        </w:txbxContent>
                      </wps:txbx>
                      <wps:bodyPr wrap="square" upright="1"/>
                    </wps:wsp>
                  </a:graphicData>
                </a:graphic>
              </wp:anchor>
            </w:drawing>
          </mc:Choice>
          <mc:Fallback>
            <w:pict>
              <v:shape id="文本框 39" o:spid="_x0000_s1026" o:spt="202" type="#_x0000_t202" style="position:absolute;left:0pt;margin-left:216.7pt;margin-top:23.25pt;height:102pt;width:254.25pt;z-index:251658240;mso-width-relative:page;mso-height-relative:page;" fillcolor="#FFFFFF" filled="t" stroked="f" coordsize="21600,21600" o:gfxdata="UEsDBAoAAAAAAIdO4kAAAAAAAAAAAAAAAAAEAAAAZHJzL1BLAwQUAAAACACHTuJAXqc+sNwAAAAK&#10;AQAADwAAAGRycy9kb3ducmV2LnhtbE2PwU7DMAyG70i8Q2QkLtOWdmvHVprugIS4IKZtIK5ZY9rS&#10;xilN1o23x5zgZsuffn9/vrnYTow4+MaRgngWgUAqnWmoUvB6eJyuQPigyejOESr4Rg+b4voq15lx&#10;Z9rhuA+V4BDymVZQh9BnUvqyRqv9zPVIfPtwg9WB16GSZtBnDrednEfRUlrdEH+odY8PNZbt/mQV&#10;vKS+neDX8678XMXt5O5pfHvfbpW6vYmjexABL+EPhl99VoeCnY7uRMaLTkGyWCSM8rBMQTCwTuI1&#10;iKOCeRqlIItc/q9Q/ABQSwMEFAAAAAgAh07iQJFeKw3uAQAAywMAAA4AAABkcnMvZTJvRG9jLnht&#10;bK1TzY7TMBC+I/EOlu80aZZCWzVdCVblggCxIM6u4ySWHNvMuE36AvAGnLhw57n6HIydbHcFEgeE&#10;D854/r9vJpvroTPsqAC1syWfz3LOlJWu0rYp+ccPuydLzjAIWwnjrCr5SSG/3j5+tOn9WhWudaZS&#10;wCiJxXXvS96G4NdZhrJVncCZ88qSsXbQiUBPaLIKRE/ZO5MVef4s6x1UHpxUiKS9GY18m/LXtZLh&#10;bV2jCsyUnHoL6YZ07+OdbTdi3YDwrZZTG+IfuuiEtlT0kupGBMEOoP9I1WkJDl0dZtJ1matrLVXC&#10;QGjm+W9oblvhVcJC5KC/0IT/L618c3wHTFc0u4IzKzqa0fnb1/P3n+cfX9jVKhLUe1yT360nzzC8&#10;cAM53+mRlBH3UEMXv4SIkZ2oPl3oVUNgkpRXRbFcPV9wJsk2L1aLp3kaQHYf7gHDK+U6FoWSA80v&#10;0SqOrzFQK+R65zKxXe20MQxc+KRDmwiLdZMRKWYUmHfE2ahGaPYvDbCjoJXYpRPBUOYGH3rP83hS&#10;pr+HpMiplNGWibj602YFbdR7AjEVAJHajWWMZT2xsFgSIfFtXQQy+hlL/UTWR3ajFIb9QMYo7l11&#10;okn0tLQlx88HAYqzgwfdtERZmkwKpo0ZYY3bHVfy4TuVuP8Ht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qc+sNwAAAAKAQAADwAAAAAAAAABACAAAAAiAAAAZHJzL2Rvd25yZXYueG1sUEsBAhQA&#10;FAAAAAgAh07iQJFeKw3uAQAAywMAAA4AAAAAAAAAAQAgAAAAKwEAAGRycy9lMm9Eb2MueG1sUEsF&#10;BgAAAAAGAAYAWQEAAIsFAAAAAA==&#10;">
                <v:fill type="gradient" on="t" color2="#FFFFFF" angle="90" focus="100%" focussize="0,0">
                  <o:fill type="gradientUnscaled" v:ext="backwardCompatible"/>
                </v:fill>
                <v:stroke on="f" weight="1.25pt"/>
                <v:imagedata o:title=""/>
                <o:lock v:ext="edit" aspectratio="f"/>
                <v:textbox>
                  <w:txbxContent>
                    <w:p>
                      <w:pPr>
                        <w:rPr>
                          <w:rFonts w:ascii="微软雅黑" w:hAnsi="微软雅黑" w:eastAsia="微软雅黑"/>
                          <w:b/>
                          <w:sz w:val="40"/>
                          <w:szCs w:val="36"/>
                          <w:lang w:val="zh-CN"/>
                        </w:rPr>
                      </w:pPr>
                      <w:r>
                        <w:rPr>
                          <w:rFonts w:hint="eastAsia" w:ascii="微软雅黑" w:hAnsi="微软雅黑" w:eastAsia="微软雅黑"/>
                          <w:b/>
                          <w:sz w:val="40"/>
                          <w:szCs w:val="36"/>
                          <w:lang w:val="zh-CN"/>
                        </w:rPr>
                        <w:t>鲁鹏</w:t>
                      </w:r>
                    </w:p>
                    <w:p>
                      <w:pPr>
                        <w:rPr>
                          <w:rFonts w:ascii="微软雅黑" w:hAnsi="微软雅黑" w:eastAsia="微软雅黑" w:cs="微软雅黑"/>
                          <w:b/>
                          <w:bCs/>
                          <w:sz w:val="36"/>
                          <w:szCs w:val="36"/>
                        </w:rPr>
                      </w:pPr>
                      <w:r>
                        <w:rPr>
                          <w:rFonts w:hint="eastAsia"/>
                          <w:b/>
                          <w:sz w:val="36"/>
                          <w:szCs w:val="30"/>
                          <w:lang w:val="zh-CN"/>
                        </w:rPr>
                        <w:t>原日资台资企业生产总监</w:t>
                      </w:r>
                      <w:r>
                        <w:rPr>
                          <w:rFonts w:hint="eastAsia" w:ascii="微软雅黑" w:hAnsi="微软雅黑" w:eastAsia="微软雅黑" w:cs="微软雅黑"/>
                          <w:b/>
                          <w:bCs/>
                          <w:sz w:val="36"/>
                          <w:szCs w:val="36"/>
                        </w:rPr>
                        <w:t xml:space="preserve"> </w:t>
                      </w:r>
                    </w:p>
                  </w:txbxContent>
                </v:textbox>
              </v:shape>
            </w:pict>
          </mc:Fallback>
        </mc:AlternateContent>
      </w:r>
      <w:r>
        <w:rPr>
          <w:rFonts w:ascii="宋体" w:hAnsi="宋体"/>
          <w:b/>
          <w:bCs/>
          <w:szCs w:val="21"/>
        </w:rPr>
        <w:drawing>
          <wp:inline distT="0" distB="0" distL="0" distR="0">
            <wp:extent cx="2074545" cy="2160270"/>
            <wp:effectExtent l="3810" t="3810" r="17145" b="762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4545" cy="2160270"/>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pPr>
        <w:jc w:val="left"/>
        <w:rPr>
          <w:rFonts w:hint="eastAsia" w:ascii="宋体" w:hAnsi="宋体"/>
          <w:b/>
          <w:bCs/>
          <w:szCs w:val="21"/>
        </w:rPr>
      </w:pPr>
      <w:r>
        <w:rPr>
          <w:rFonts w:hint="eastAsia" w:ascii="宋体" w:hAnsi="宋体"/>
          <w:b/>
          <w:bCs/>
          <w:szCs w:val="21"/>
        </w:rPr>
        <w:t xml:space="preserve"> </w:t>
      </w:r>
    </w:p>
    <w:p>
      <w:pPr>
        <w:jc w:val="left"/>
        <w:rPr>
          <w:rFonts w:ascii="宋体" w:hAnsi="宋体"/>
          <w:b/>
          <w:bCs/>
          <w:szCs w:val="21"/>
        </w:rPr>
      </w:pPr>
      <w:r>
        <w:rPr>
          <w:rFonts w:hint="eastAsia" w:ascii="宋体" w:hAnsi="宋体"/>
          <w:b/>
          <w:bCs/>
          <w:szCs w:val="21"/>
        </w:rPr>
        <w:t xml:space="preserve"> </w:t>
      </w:r>
      <w:r>
        <w:rPr>
          <w:rFonts w:hint="eastAsia" w:ascii="微软雅黑" w:hAnsi="微软雅黑" w:eastAsia="微软雅黑"/>
          <w:b/>
          <w:color w:val="000000" w:themeColor="text1"/>
          <w:sz w:val="32"/>
          <w14:textFill>
            <w14:solidFill>
              <w14:schemeClr w14:val="tx1"/>
            </w14:solidFill>
          </w14:textFill>
        </w:rPr>
        <w:t>资历背景</w:t>
      </w:r>
    </w:p>
    <w:p>
      <w:pPr>
        <w:numPr>
          <w:ilvl w:val="0"/>
          <w:numId w:val="7"/>
        </w:numPr>
        <w:spacing w:line="240" w:lineRule="auto"/>
        <w:rPr>
          <w:rFonts w:hint="eastAsia"/>
        </w:rPr>
      </w:pPr>
      <w:r>
        <w:rPr>
          <w:rFonts w:hint="eastAsia"/>
        </w:rPr>
        <w:t>2012</w:t>
      </w:r>
      <w:r>
        <w:rPr>
          <w:rFonts w:hint="eastAsia"/>
          <w:lang w:val="en-US" w:eastAsia="zh-CN"/>
        </w:rPr>
        <w:t>/</w:t>
      </w:r>
      <w:r>
        <w:rPr>
          <w:rFonts w:hint="eastAsia"/>
        </w:rPr>
        <w:t>13年第八</w:t>
      </w:r>
      <w:r>
        <w:rPr>
          <w:rFonts w:hint="eastAsia"/>
          <w:lang w:eastAsia="zh-CN"/>
        </w:rPr>
        <w:t>、</w:t>
      </w:r>
      <w:r>
        <w:rPr>
          <w:rFonts w:hint="eastAsia"/>
        </w:rPr>
        <w:t xml:space="preserve">九届中国生产管理专业十佳培训师                     </w:t>
      </w:r>
    </w:p>
    <w:p>
      <w:pPr>
        <w:numPr>
          <w:ilvl w:val="0"/>
          <w:numId w:val="7"/>
        </w:numPr>
        <w:spacing w:line="240" w:lineRule="auto"/>
      </w:pPr>
      <w:r>
        <w:rPr>
          <w:rFonts w:hint="eastAsia"/>
        </w:rPr>
        <w:t>清华大学博商院生产运营总监班优秀讲师</w:t>
      </w:r>
    </w:p>
    <w:p>
      <w:pPr>
        <w:numPr>
          <w:ilvl w:val="0"/>
          <w:numId w:val="7"/>
        </w:numPr>
        <w:spacing w:line="240" w:lineRule="auto"/>
      </w:pPr>
      <w:r>
        <w:rPr>
          <w:rFonts w:hint="eastAsia"/>
        </w:rPr>
        <w:t>台州职业技术学院特聘仓储物流讲师</w:t>
      </w:r>
    </w:p>
    <w:p>
      <w:pPr>
        <w:numPr>
          <w:ilvl w:val="0"/>
          <w:numId w:val="7"/>
        </w:numPr>
        <w:spacing w:line="240" w:lineRule="auto"/>
        <w:rPr>
          <w:rFonts w:hint="eastAsia"/>
          <w:szCs w:val="22"/>
        </w:rPr>
      </w:pPr>
      <w:r>
        <w:rPr>
          <w:rFonts w:hint="eastAsia"/>
          <w:szCs w:val="22"/>
        </w:rPr>
        <w:t>中国式精益生产精益物流，及鲁氏管理理论发起人，2800场培训经历</w:t>
      </w:r>
    </w:p>
    <w:p>
      <w:pPr>
        <w:rPr>
          <w:rFonts w:ascii="微软雅黑" w:hAnsi="微软雅黑" w:eastAsia="微软雅黑"/>
          <w:b/>
          <w:sz w:val="32"/>
        </w:rPr>
      </w:pPr>
      <w:r>
        <w:rPr>
          <w:rFonts w:hint="eastAsia" w:ascii="微软雅黑" w:hAnsi="微软雅黑" w:eastAsia="微软雅黑"/>
          <w:b/>
          <w:sz w:val="32"/>
        </w:rPr>
        <w:t>授课风格</w:t>
      </w:r>
    </w:p>
    <w:p>
      <w:pPr>
        <w:numPr>
          <w:ilvl w:val="0"/>
          <w:numId w:val="8"/>
        </w:numPr>
        <w:autoSpaceDE w:val="0"/>
        <w:autoSpaceDN w:val="0"/>
        <w:adjustRightInd w:val="0"/>
        <w:spacing w:line="240" w:lineRule="auto"/>
        <w:jc w:val="left"/>
        <w:rPr>
          <w:rFonts w:ascii="宋体" w:hAnsi="宋体" w:cs="宋体"/>
          <w:bCs/>
          <w:kern w:val="0"/>
          <w:szCs w:val="21"/>
        </w:rPr>
      </w:pPr>
      <w:r>
        <w:rPr>
          <w:rFonts w:hint="eastAsia" w:ascii="宋体" w:hAnsi="宋体"/>
          <w:color w:val="000000" w:themeColor="text1"/>
          <w:kern w:val="0"/>
          <w:szCs w:val="21"/>
          <w14:textFill>
            <w14:solidFill>
              <w14:schemeClr w14:val="tx1"/>
            </w14:solidFill>
          </w14:textFill>
        </w:rPr>
        <w:t>案例分析</w:t>
      </w:r>
      <w:r>
        <w:rPr>
          <w:rFonts w:hint="eastAsia" w:ascii="宋体" w:hAnsi="宋体"/>
          <w:color w:val="000000" w:themeColor="text1"/>
          <w:kern w:val="0"/>
          <w:szCs w:val="21"/>
          <w:lang w:eastAsia="zh-CN"/>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角色扮演</w:t>
      </w:r>
      <w:r>
        <w:rPr>
          <w:rFonts w:hint="eastAsia" w:ascii="宋体" w:hAnsi="宋体"/>
          <w:color w:val="000000" w:themeColor="text1"/>
          <w:kern w:val="0"/>
          <w:szCs w:val="21"/>
          <w:lang w:eastAsia="zh-CN"/>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电影辅助</w:t>
      </w:r>
      <w:r>
        <w:rPr>
          <w:rFonts w:hint="eastAsia" w:ascii="宋体" w:hAnsi="宋体"/>
          <w:color w:val="000000" w:themeColor="text1"/>
          <w:kern w:val="0"/>
          <w:szCs w:val="21"/>
          <w:lang w:eastAsia="zh-CN"/>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小组练习</w:t>
      </w:r>
      <w:r>
        <w:rPr>
          <w:rFonts w:hint="eastAsia" w:ascii="宋体" w:hAnsi="宋体"/>
          <w:color w:val="000000" w:themeColor="text1"/>
          <w:kern w:val="0"/>
          <w:szCs w:val="21"/>
          <w:lang w:eastAsia="zh-CN"/>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学员演示等活泼，幽默，课堂气氛活跃，通常以真实案例和生产模拟启发学员，实现理论与实际的完美结合。</w:t>
      </w:r>
    </w:p>
    <w:p>
      <w:pPr>
        <w:numPr>
          <w:ilvl w:val="0"/>
          <w:numId w:val="8"/>
        </w:numPr>
        <w:autoSpaceDE w:val="0"/>
        <w:autoSpaceDN w:val="0"/>
        <w:adjustRightInd w:val="0"/>
        <w:spacing w:line="240" w:lineRule="auto"/>
        <w:jc w:val="left"/>
        <w:rPr>
          <w:rFonts w:hint="eastAsia" w:ascii="宋体" w:hAnsi="宋体" w:cs="宋体"/>
          <w:bCs/>
          <w:kern w:val="0"/>
          <w:szCs w:val="21"/>
        </w:rPr>
      </w:pPr>
      <w:r>
        <w:rPr>
          <w:rFonts w:hint="eastAsia" w:ascii="宋体" w:hAnsi="宋体" w:cs="宋体"/>
          <w:bCs/>
          <w:kern w:val="0"/>
          <w:szCs w:val="21"/>
        </w:rPr>
        <w:t>授课思路清晰，逻辑严密</w:t>
      </w:r>
    </w:p>
    <w:p>
      <w:pPr>
        <w:numPr>
          <w:ilvl w:val="0"/>
          <w:numId w:val="8"/>
        </w:numPr>
        <w:autoSpaceDE w:val="0"/>
        <w:autoSpaceDN w:val="0"/>
        <w:adjustRightInd w:val="0"/>
        <w:spacing w:line="240" w:lineRule="auto"/>
        <w:jc w:val="left"/>
        <w:rPr>
          <w:rFonts w:hint="eastAsia" w:ascii="宋体" w:hAnsi="宋体" w:cs="宋体"/>
          <w:bCs/>
          <w:kern w:val="0"/>
          <w:szCs w:val="21"/>
        </w:rPr>
      </w:pPr>
      <w:r>
        <w:rPr>
          <w:rFonts w:hint="eastAsia" w:ascii="宋体" w:hAnsi="宋体" w:cs="宋体"/>
          <w:bCs/>
          <w:kern w:val="0"/>
          <w:szCs w:val="21"/>
        </w:rPr>
        <w:t>授课方式深入浅出，易于接受和理解</w:t>
      </w:r>
    </w:p>
    <w:p>
      <w:pPr>
        <w:numPr>
          <w:ilvl w:val="0"/>
          <w:numId w:val="8"/>
        </w:numPr>
        <w:autoSpaceDE w:val="0"/>
        <w:autoSpaceDN w:val="0"/>
        <w:adjustRightInd w:val="0"/>
        <w:spacing w:line="240" w:lineRule="auto"/>
        <w:jc w:val="left"/>
        <w:rPr>
          <w:rFonts w:hint="eastAsia" w:ascii="宋体" w:hAnsi="宋体" w:cs="宋体"/>
          <w:bCs/>
          <w:kern w:val="0"/>
          <w:szCs w:val="21"/>
        </w:rPr>
      </w:pPr>
      <w:r>
        <w:rPr>
          <w:rFonts w:hint="eastAsia" w:ascii="宋体" w:hAnsi="宋体" w:cs="宋体"/>
          <w:bCs/>
          <w:kern w:val="0"/>
          <w:szCs w:val="21"/>
        </w:rPr>
        <w:t>课堂氛围活跃、互动性强</w:t>
      </w:r>
    </w:p>
    <w:p>
      <w:pPr>
        <w:numPr>
          <w:ilvl w:val="0"/>
          <w:numId w:val="8"/>
        </w:numPr>
        <w:autoSpaceDE w:val="0"/>
        <w:autoSpaceDN w:val="0"/>
        <w:adjustRightInd w:val="0"/>
        <w:spacing w:line="240" w:lineRule="auto"/>
        <w:jc w:val="left"/>
        <w:rPr>
          <w:rFonts w:asciiTheme="majorEastAsia" w:hAnsiTheme="majorEastAsia" w:eastAsiaTheme="majorEastAsia" w:cstheme="majorEastAsia"/>
          <w:b/>
          <w:szCs w:val="21"/>
        </w:rPr>
      </w:pPr>
      <w:r>
        <w:rPr>
          <w:rFonts w:hint="eastAsia" w:ascii="宋体" w:hAnsi="宋体" w:cs="宋体"/>
          <w:bCs/>
          <w:kern w:val="0"/>
          <w:szCs w:val="21"/>
        </w:rPr>
        <w:t>结合实例让学员对精益生产和精益物流管理的各种工具方法有更深刻的理解</w:t>
      </w:r>
    </w:p>
    <w:p>
      <w:pPr>
        <w:rPr>
          <w:sz w:val="32"/>
        </w:rPr>
      </w:pPr>
      <w:r>
        <w:rPr>
          <w:rFonts w:hint="eastAsia" w:ascii="微软雅黑" w:hAnsi="微软雅黑" w:eastAsia="微软雅黑"/>
          <w:b/>
          <w:sz w:val="32"/>
        </w:rPr>
        <w:t>授课经验</w:t>
      </w:r>
    </w:p>
    <w:p>
      <w:pPr>
        <w:spacing w:line="240" w:lineRule="auto"/>
        <w:rPr>
          <w:rFonts w:hint="eastAsia" w:ascii="微软雅黑" w:hAnsi="微软雅黑" w:eastAsia="微软雅黑"/>
          <w:b/>
          <w:sz w:val="32"/>
        </w:rPr>
      </w:pPr>
      <w:r>
        <w:rPr>
          <w:rFonts w:hint="eastAsia" w:ascii="宋体" w:hAnsi="宋体" w:cs="宋体"/>
          <w:color w:val="000000"/>
          <w:kern w:val="0"/>
          <w:szCs w:val="21"/>
          <w:lang w:val="zh-CN"/>
        </w:rPr>
        <w:t>华晨金杯、金龙客车、上海大众、东风本田、上汽依维柯红岩、宇通客车、一汽集团、广本、吉利集团、中国铁建重工、神龙、中船重工集团、陕西重汽、南车集团、</w:t>
      </w:r>
      <w:r>
        <w:rPr>
          <w:rFonts w:hint="eastAsia"/>
          <w:bCs/>
        </w:rPr>
        <w:t>富维-江森、 长春派格、湖南联诚集团、华龙集团、飞挺集团、泽威集团、腾宇集团、天元控股、宏倍斯散热器、三江集团、海太半导体（无锡）、大福集团、普天公司、海尔曼电器、骆驼集团、丰华集团、宗申发动机、长安福特变速器、</w:t>
      </w:r>
      <w:r>
        <w:rPr>
          <w:rFonts w:hint="eastAsia"/>
          <w:bCs/>
          <w:szCs w:val="24"/>
        </w:rPr>
        <w:t>长征重工、重庆嘉陵集团、GE通用电气、重庆延锋伟世通内车饰件、、重庆文冰工贸、重庆铁马集团、</w:t>
      </w:r>
      <w:r>
        <w:rPr>
          <w:bCs/>
          <w:szCs w:val="24"/>
        </w:rPr>
        <w:t>中国兵装、</w:t>
      </w:r>
      <w:r>
        <w:rPr>
          <w:rFonts w:hint="eastAsia"/>
          <w:bCs/>
          <w:szCs w:val="24"/>
        </w:rPr>
        <w:t>中国兵器、</w:t>
      </w:r>
      <w:r>
        <w:rPr>
          <w:bCs/>
          <w:szCs w:val="24"/>
        </w:rPr>
        <w:t>潍柴集团、东南造船</w:t>
      </w:r>
      <w:r>
        <w:rPr>
          <w:rFonts w:hint="eastAsia"/>
          <w:bCs/>
          <w:szCs w:val="24"/>
        </w:rPr>
        <w:t>、</w:t>
      </w:r>
      <w:r>
        <w:rPr>
          <w:bCs/>
          <w:szCs w:val="24"/>
        </w:rPr>
        <w:t>三星重工</w:t>
      </w:r>
      <w:r>
        <w:rPr>
          <w:rFonts w:hint="eastAsia"/>
          <w:bCs/>
          <w:szCs w:val="24"/>
        </w:rPr>
        <w:t>、中国重汽、陕西重汽、海拉模具、石播转向器、星星集团、THK、三木集团、宁波博曼特、安露清洗机、中船重工705研究所、</w:t>
      </w:r>
      <w:r>
        <w:rPr>
          <w:rFonts w:hint="eastAsia"/>
          <w:bCs/>
        </w:rPr>
        <w:t>报喜鸟、</w:t>
      </w:r>
      <w:r>
        <w:rPr>
          <w:bCs/>
        </w:rPr>
        <w:t>红蜻蜓集团、</w:t>
      </w:r>
      <w:r>
        <w:rPr>
          <w:rFonts w:hint="eastAsia"/>
          <w:bCs/>
        </w:rPr>
        <w:t>奥康集团、尚志鞋业、</w:t>
      </w:r>
      <w:r>
        <w:rPr>
          <w:bCs/>
        </w:rPr>
        <w:t>金号纺织、</w:t>
      </w:r>
      <w:r>
        <w:rPr>
          <w:rFonts w:hint="eastAsia"/>
          <w:bCs/>
        </w:rPr>
        <w:t>佳宝集团</w:t>
      </w:r>
      <w:r>
        <w:rPr>
          <w:bCs/>
        </w:rPr>
        <w:t>、</w:t>
      </w:r>
      <w:r>
        <w:rPr>
          <w:rFonts w:hint="eastAsia"/>
          <w:bCs/>
        </w:rPr>
        <w:t>恒正礼品、魏桥集团、滨印集团、凤凰染织、深圳海阔天空服饰、美迪洋集团、英业达、惠普、戴尔、福德尔</w:t>
      </w:r>
      <w:r>
        <w:rPr>
          <w:rFonts w:hint="eastAsia"/>
          <w:bCs/>
          <w:lang w:eastAsia="zh-CN"/>
        </w:rPr>
        <w:t>……</w:t>
      </w:r>
    </w:p>
    <w:p>
      <w:pPr>
        <w:spacing w:line="0" w:lineRule="atLeast"/>
        <w:rPr>
          <w:rFonts w:hint="eastAsia" w:ascii="微软雅黑" w:hAnsi="微软雅黑" w:eastAsia="微软雅黑"/>
          <w:b/>
          <w:sz w:val="32"/>
        </w:rPr>
      </w:pPr>
    </w:p>
    <w:p>
      <w:pPr>
        <w:spacing w:line="0" w:lineRule="atLeast"/>
        <w:rPr>
          <w:rFonts w:ascii="微软雅黑" w:hAnsi="微软雅黑" w:eastAsia="微软雅黑"/>
          <w:b/>
          <w:sz w:val="32"/>
        </w:rPr>
      </w:pPr>
      <w:r>
        <w:rPr>
          <w:rFonts w:hint="eastAsia" w:ascii="微软雅黑" w:hAnsi="微软雅黑" w:eastAsia="微软雅黑"/>
          <w:b/>
          <w:sz w:val="32"/>
        </w:rPr>
        <w:t>课程预告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b/>
          <w:bCs w:val="0"/>
          <w:color w:val="auto"/>
          <w:sz w:val="24"/>
          <w:szCs w:val="24"/>
          <w:lang w:val="en-US" w:eastAsia="zh-CN"/>
        </w:rPr>
      </w:pPr>
      <w:r>
        <w:rPr>
          <w:rFonts w:hint="eastAsia" w:ascii="微软雅黑" w:hAnsi="微软雅黑" w:eastAsia="微软雅黑" w:cs="微软雅黑"/>
          <w:b/>
          <w:bCs w:val="0"/>
          <w:color w:val="auto"/>
          <w:sz w:val="24"/>
          <w:szCs w:val="24"/>
          <w:lang w:val="en-US" w:eastAsia="zh-CN"/>
        </w:rPr>
        <w:t>时间：</w:t>
      </w:r>
      <w:r>
        <w:rPr>
          <w:rFonts w:hint="eastAsia" w:ascii="微软雅黑" w:hAnsi="微软雅黑" w:eastAsia="微软雅黑" w:cs="微软雅黑"/>
          <w:b w:val="0"/>
          <w:bCs/>
          <w:color w:val="auto"/>
          <w:sz w:val="24"/>
          <w:szCs w:val="24"/>
          <w:lang w:val="en-US" w:eastAsia="zh-CN"/>
        </w:rPr>
        <w:t>2018年10月12-13日（周五、周六）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b/>
          <w:bCs w:val="0"/>
          <w:color w:val="auto"/>
          <w:sz w:val="24"/>
          <w:szCs w:val="24"/>
          <w:lang w:val="en-US" w:eastAsia="zh-CN"/>
        </w:rPr>
      </w:pPr>
      <w:r>
        <w:rPr>
          <w:rFonts w:hint="eastAsia" w:ascii="微软雅黑" w:hAnsi="微软雅黑" w:eastAsia="微软雅黑" w:cs="微软雅黑"/>
          <w:b/>
          <w:bCs w:val="0"/>
          <w:color w:val="auto"/>
          <w:sz w:val="24"/>
          <w:szCs w:val="24"/>
          <w:lang w:val="en-US" w:eastAsia="zh-CN"/>
        </w:rPr>
        <w:t>课题：</w:t>
      </w:r>
      <w:r>
        <w:rPr>
          <w:rFonts w:hint="eastAsia" w:ascii="微软雅黑" w:hAnsi="微软雅黑" w:eastAsia="微软雅黑" w:cs="微软雅黑"/>
          <w:b w:val="0"/>
          <w:bCs/>
          <w:color w:val="auto"/>
          <w:sz w:val="24"/>
          <w:szCs w:val="24"/>
          <w:lang w:val="en-US" w:eastAsia="zh-CN"/>
        </w:rPr>
        <w:t>《与成功有约--解读七个习惯》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b w:val="0"/>
          <w:bCs/>
          <w:color w:val="auto"/>
          <w:sz w:val="24"/>
          <w:szCs w:val="24"/>
          <w:lang w:val="en-US" w:eastAsia="zh-CN"/>
        </w:rPr>
      </w:pPr>
      <w:r>
        <w:rPr>
          <w:rFonts w:hint="eastAsia" w:ascii="微软雅黑" w:hAnsi="微软雅黑" w:eastAsia="微软雅黑" w:cs="微软雅黑"/>
          <w:b/>
          <w:bCs w:val="0"/>
          <w:color w:val="auto"/>
          <w:sz w:val="24"/>
          <w:szCs w:val="24"/>
          <w:lang w:val="en-US" w:eastAsia="zh-CN"/>
        </w:rPr>
        <w:t>主讲：</w:t>
      </w:r>
      <w:r>
        <w:rPr>
          <w:rFonts w:hint="eastAsia" w:ascii="微软雅黑" w:hAnsi="微软雅黑" w:eastAsia="微软雅黑" w:cs="微软雅黑"/>
          <w:b w:val="0"/>
          <w:bCs/>
          <w:color w:val="auto"/>
          <w:sz w:val="24"/>
          <w:szCs w:val="24"/>
          <w:lang w:val="en-US" w:eastAsia="zh-CN"/>
        </w:rPr>
        <w:t>王晓慧（</w:t>
      </w:r>
      <w:r>
        <w:rPr>
          <w:rFonts w:hint="eastAsia" w:ascii="微软雅黑" w:hAnsi="微软雅黑" w:eastAsia="微软雅黑" w:cs="微软雅黑"/>
          <w:b w:val="0"/>
          <w:bCs/>
          <w:color w:val="7F7F7F" w:themeColor="background1" w:themeShade="80"/>
          <w:sz w:val="24"/>
          <w:szCs w:val="24"/>
          <w:lang w:val="en-US" w:eastAsia="zh-CN"/>
        </w:rPr>
        <w:t>P-MBC管理行为密码授权讲师</w:t>
      </w:r>
      <w:r>
        <w:rPr>
          <w:rFonts w:hint="eastAsia" w:ascii="微软雅黑" w:hAnsi="微软雅黑" w:eastAsia="微软雅黑" w:cs="微软雅黑"/>
          <w:b w:val="0"/>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b w:val="0"/>
          <w:bCs/>
          <w:color w:val="auto"/>
          <w:sz w:val="24"/>
          <w:szCs w:val="24"/>
          <w:lang w:val="en-US" w:eastAsia="zh-CN"/>
        </w:rPr>
      </w:pPr>
    </w:p>
    <w:p>
      <w:pPr>
        <w:rPr>
          <w:rFonts w:ascii="微软雅黑" w:hAnsi="微软雅黑" w:eastAsia="微软雅黑"/>
          <w:b/>
          <w:sz w:val="32"/>
        </w:rPr>
      </w:pPr>
      <w:r>
        <w:rPr>
          <w:rFonts w:hint="eastAsia" w:ascii="微软雅黑" w:hAnsi="微软雅黑" w:eastAsia="微软雅黑"/>
          <w:b/>
          <w:sz w:val="32"/>
        </w:rPr>
        <w:t>学习卡套餐</w:t>
      </w:r>
    </w:p>
    <w:p>
      <w:pPr>
        <w:rPr>
          <w:rFonts w:ascii="微软雅黑" w:hAnsi="微软雅黑" w:eastAsia="微软雅黑"/>
          <w:b/>
          <w:sz w:val="10"/>
          <w:szCs w:val="10"/>
        </w:rPr>
      </w:pPr>
      <w:r>
        <w:drawing>
          <wp:inline distT="0" distB="0" distL="114300" distR="114300">
            <wp:extent cx="6127750" cy="5730240"/>
            <wp:effectExtent l="0" t="0" r="13970" b="0"/>
            <wp:docPr id="7468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89" name="图片 3"/>
                    <pic:cNvPicPr>
                      <a:picLocks noChangeAspect="1"/>
                    </pic:cNvPicPr>
                  </pic:nvPicPr>
                  <pic:blipFill>
                    <a:blip r:embed="rId8"/>
                    <a:stretch>
                      <a:fillRect/>
                    </a:stretch>
                  </pic:blipFill>
                  <pic:spPr>
                    <a:xfrm>
                      <a:off x="0" y="0"/>
                      <a:ext cx="6127750" cy="5730240"/>
                    </a:xfrm>
                    <a:prstGeom prst="rect">
                      <a:avLst/>
                    </a:prstGeom>
                    <a:noFill/>
                    <a:ln w="9525">
                      <a:noFill/>
                    </a:ln>
                  </pic:spPr>
                </pic:pic>
              </a:graphicData>
            </a:graphic>
          </wp:inline>
        </w:drawing>
      </w:r>
      <w:bookmarkStart w:id="0" w:name="_GoBack"/>
      <w:bookmarkEnd w:id="0"/>
    </w:p>
    <w:p>
      <w:pPr>
        <w:jc w:val="left"/>
        <w:rPr>
          <w:rFonts w:ascii="微软雅黑" w:hAnsi="微软雅黑" w:eastAsia="微软雅黑"/>
          <w:b/>
          <w:sz w:val="32"/>
        </w:rPr>
      </w:pPr>
    </w:p>
    <w:p>
      <w:pPr>
        <w:jc w:val="left"/>
        <w:rPr>
          <w:rFonts w:hint="eastAsia" w:ascii="微软雅黑" w:hAnsi="微软雅黑" w:eastAsia="微软雅黑"/>
          <w:b/>
          <w:sz w:val="32"/>
          <w:lang w:eastAsia="zh-CN"/>
        </w:rPr>
      </w:pPr>
    </w:p>
    <w:sectPr>
      <w:type w:val="continuous"/>
      <w:pgSz w:w="11906" w:h="16838"/>
      <w:pgMar w:top="720" w:right="720" w:bottom="720" w:left="720" w:header="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 w:leftChars="-337" w:right="-718" w:rightChars="-342" w:hanging="707" w:hangingChars="39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 w:leftChars="-338" w:right="-718" w:rightChars="-342" w:hanging="707" w:hangingChars="337"/>
    </w:pPr>
    <w:r>
      <mc:AlternateContent>
        <mc:Choice Requires="wps">
          <w:drawing>
            <wp:anchor distT="0" distB="0" distL="114300" distR="114300" simplePos="0" relativeHeight="251658240" behindDoc="0" locked="0" layoutInCell="1" allowOverlap="1">
              <wp:simplePos x="0" y="0"/>
              <wp:positionH relativeFrom="column">
                <wp:posOffset>-445135</wp:posOffset>
              </wp:positionH>
              <wp:positionV relativeFrom="paragraph">
                <wp:posOffset>-302895</wp:posOffset>
              </wp:positionV>
              <wp:extent cx="7534275" cy="166370"/>
              <wp:effectExtent l="6350" t="6350" r="22225" b="17780"/>
              <wp:wrapNone/>
              <wp:docPr id="18" name="矩形 43"/>
              <wp:cNvGraphicFramePr/>
              <a:graphic xmlns:a="http://schemas.openxmlformats.org/drawingml/2006/main">
                <a:graphicData uri="http://schemas.microsoft.com/office/word/2010/wordprocessingShape">
                  <wps:wsp>
                    <wps:cNvSpPr>
                      <a:spLocks noChangeArrowheads="1"/>
                    </wps:cNvSpPr>
                    <wps:spPr bwMode="auto">
                      <a:xfrm>
                        <a:off x="0" y="0"/>
                        <a:ext cx="7534275" cy="166370"/>
                      </a:xfrm>
                      <a:prstGeom prst="rect">
                        <a:avLst/>
                      </a:prstGeom>
                      <a:solidFill>
                        <a:srgbClr val="FF0000"/>
                      </a:solidFill>
                      <a:ln w="12700">
                        <a:solidFill>
                          <a:srgbClr val="FF0000"/>
                        </a:solidFill>
                        <a:miter lim="200000"/>
                      </a:ln>
                      <a:effectLst/>
                    </wps:spPr>
                    <wps:bodyPr rot="0" vert="horz" wrap="square" lIns="91440" tIns="45720" rIns="91440" bIns="45720" anchor="t" anchorCtr="0" upright="1">
                      <a:noAutofit/>
                    </wps:bodyPr>
                  </wps:wsp>
                </a:graphicData>
              </a:graphic>
            </wp:anchor>
          </w:drawing>
        </mc:Choice>
        <mc:Fallback>
          <w:pict>
            <v:rect id="矩形 43" o:spid="_x0000_s1026" o:spt="1" style="position:absolute;left:0pt;margin-left:-35.05pt;margin-top:-23.85pt;height:13.1pt;width:593.25pt;z-index:251658240;mso-width-relative:page;mso-height-relative:page;" fillcolor="#FF0000" filled="t" stroked="t" coordsize="21600,21600" o:gfxdata="UEsDBAoAAAAAAIdO4kAAAAAAAAAAAAAAAAAEAAAAZHJzL1BLAwQUAAAACACHTuJAd+2/ddsAAAAM&#10;AQAADwAAAGRycy9kb3ducmV2LnhtbE2PPU/DMBCGdyT+g3VIbK3tEhoU4lQFVESRGNoywObGRxwR&#10;n6PYbcO/x51gu49H7z1XLkbXsSMOofWkQE4FMKTam5YaBe+71eQOWIiajO48oYIfDLCoLi9KXRh/&#10;og0et7FhKYRCoRXYGPuC81BbdDpMfY+Udl9+cDqmdmi4GfQphbuOz4SYc6dbShes7vHRYv29PTgF&#10;o31dfmi5fH7K8PPhxazfVnQTlbq+kuIeWMQx/sFw1k/qUCWnvT+QCaxTMMmFTGgqsjwHdiaknGfA&#10;9mk0k7fAq5L/f6L6BVBLAwQUAAAACACHTuJABW6qUxcCAAAyBAAADgAAAGRycy9lMm9Eb2MueG1s&#10;rVPbjtMwEH1H4h8sv9M0vULUdLXqqghpgZUWPsB1nMTC9pix23T5GSTe+Ag+B/EbTNzLFnhbkQfL&#10;kxkfz5xzvLjaW8N2CoMGV/J8MORMOQmVdk3JP35Yv3jJWYjCVcKAUyV/UIFfLZ8/W3S+UCNowVQK&#10;GYG4UHS+5G2MvsiyIFtlRRiAV46SNaAVkUJssgpFR+jWZKPhcJZ1gJVHkCoE+ntzSPJlwq9rJeP7&#10;ug4qMlNy6i2mFdO66ddsuRBFg8K3Wh7bEE/owgrt6NIz1I2Igm1R/wNltUQIUMeBBJtBXWup0gw0&#10;TT78a5r7VniVZiFygj/TFP4frHy3u0OmK9KOlHLCkka/vn7/+eMbm4x7djofCiq693fYzxf8LchP&#10;gTlYtcI16hoRulaJinrK+/rsjwN9EOgo23RvoSJssY2QiNrXaHtAooDtkx4PZz3UPjJJP+fT8WQ0&#10;n3ImKZfPZuN5EiwTxem0xxBfK7Cs35QcSe+ELna3IfbdiOJUkroHo6u1NiYF2GxWBtlOkDfW6yF9&#10;aQAa8rLMONbR7aM5pZ+KYXUklxttS06mfbzIuB5RJZ8eGz4xdmB+A9UDsYdwMC49NNq0gF8468i0&#10;JQ+ftwIVZ+aNIwVe5ZNJ7/IUTKbzEQV4mdlcZoSTBFXyyNlhu4qHl7H1qJuWbsrTxA6uSbVaJ0L7&#10;/g5dHbUmYyaej4+od/5lnKoen/r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ftv3XbAAAADAEA&#10;AA8AAAAAAAAAAQAgAAAAIgAAAGRycy9kb3ducmV2LnhtbFBLAQIUABQAAAAIAIdO4kAFbqpTFwIA&#10;ADIEAAAOAAAAAAAAAAEAIAAAACoBAABkcnMvZTJvRG9jLnhtbFBLBQYAAAAABgAGAFkBAACzBQAA&#10;AAA=&#10;">
              <v:fill on="t" focussize="0,0"/>
              <v:stroke weight="1pt" color="#FF0000" miterlimit="2"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24A0D7"/>
    <w:multiLevelType w:val="singleLevel"/>
    <w:tmpl w:val="F824A0D7"/>
    <w:lvl w:ilvl="0" w:tentative="0">
      <w:start w:val="1"/>
      <w:numFmt w:val="bullet"/>
      <w:lvlText w:val=""/>
      <w:lvlJc w:val="left"/>
      <w:pPr>
        <w:ind w:left="420" w:leftChars="0" w:hanging="420" w:firstLineChars="0"/>
      </w:pPr>
      <w:rPr>
        <w:rFonts w:hint="default" w:ascii="Wingdings" w:hAnsi="Wingdings"/>
        <w:color w:val="00B0F0"/>
      </w:rPr>
    </w:lvl>
  </w:abstractNum>
  <w:abstractNum w:abstractNumId="1">
    <w:nsid w:val="0B9F3C38"/>
    <w:multiLevelType w:val="singleLevel"/>
    <w:tmpl w:val="0B9F3C38"/>
    <w:lvl w:ilvl="0" w:tentative="0">
      <w:start w:val="1"/>
      <w:numFmt w:val="bullet"/>
      <w:lvlText w:val=""/>
      <w:lvlJc w:val="left"/>
      <w:pPr>
        <w:ind w:left="420" w:leftChars="0" w:hanging="23" w:firstLineChars="0"/>
      </w:pPr>
      <w:rPr>
        <w:rFonts w:hint="default" w:ascii="Wingdings" w:hAnsi="Wingdings"/>
        <w:color w:val="00B0F0"/>
      </w:rPr>
    </w:lvl>
  </w:abstractNum>
  <w:abstractNum w:abstractNumId="2">
    <w:nsid w:val="24B950D7"/>
    <w:multiLevelType w:val="singleLevel"/>
    <w:tmpl w:val="24B950D7"/>
    <w:lvl w:ilvl="0" w:tentative="0">
      <w:start w:val="1"/>
      <w:numFmt w:val="bullet"/>
      <w:lvlText w:val=""/>
      <w:lvlJc w:val="left"/>
      <w:pPr>
        <w:ind w:left="420" w:leftChars="0" w:hanging="420" w:firstLineChars="0"/>
      </w:pPr>
      <w:rPr>
        <w:rFonts w:hint="default" w:ascii="Wingdings" w:hAnsi="Wingdings"/>
        <w:color w:val="00B0F0"/>
      </w:rPr>
    </w:lvl>
  </w:abstractNum>
  <w:abstractNum w:abstractNumId="3">
    <w:nsid w:val="3B03294C"/>
    <w:multiLevelType w:val="multilevel"/>
    <w:tmpl w:val="3B03294C"/>
    <w:lvl w:ilvl="0" w:tentative="0">
      <w:start w:val="1"/>
      <w:numFmt w:val="bullet"/>
      <w:pStyle w:val="36"/>
      <w:lvlText w:val=""/>
      <w:lvlJc w:val="left"/>
      <w:pPr>
        <w:tabs>
          <w:tab w:val="left" w:pos="360"/>
        </w:tabs>
        <w:ind w:left="340" w:hanging="340"/>
      </w:pPr>
      <w:rPr>
        <w:rFonts w:hint="default" w:ascii="Wingdings" w:hAnsi="Wingdings"/>
        <w:color w:val="000080"/>
      </w:rPr>
    </w:lvl>
    <w:lvl w:ilvl="1" w:tentative="0">
      <w:start w:val="1"/>
      <w:numFmt w:val="bullet"/>
      <w:lvlText w:val=""/>
      <w:lvlJc w:val="left"/>
      <w:pPr>
        <w:tabs>
          <w:tab w:val="left" w:pos="415"/>
        </w:tabs>
        <w:ind w:left="415" w:hanging="420"/>
      </w:pPr>
      <w:rPr>
        <w:rFonts w:hint="default" w:ascii="Wingdings" w:hAnsi="Wingdings"/>
      </w:rPr>
    </w:lvl>
    <w:lvl w:ilvl="2" w:tentative="0">
      <w:start w:val="1"/>
      <w:numFmt w:val="bullet"/>
      <w:lvlText w:val=""/>
      <w:lvlJc w:val="left"/>
      <w:pPr>
        <w:tabs>
          <w:tab w:val="left" w:pos="835"/>
        </w:tabs>
        <w:ind w:left="835" w:hanging="420"/>
      </w:pPr>
      <w:rPr>
        <w:rFonts w:hint="default" w:ascii="Wingdings" w:hAnsi="Wingdings"/>
      </w:rPr>
    </w:lvl>
    <w:lvl w:ilvl="3" w:tentative="0">
      <w:start w:val="6"/>
      <w:numFmt w:val="bullet"/>
      <w:lvlText w:val="-"/>
      <w:lvlJc w:val="left"/>
      <w:pPr>
        <w:tabs>
          <w:tab w:val="left" w:pos="1195"/>
        </w:tabs>
        <w:ind w:left="1195" w:hanging="360"/>
      </w:pPr>
      <w:rPr>
        <w:rFonts w:hint="default" w:ascii="Times New Roman" w:hAnsi="Times New Roman" w:eastAsia="楷体_GB2312"/>
      </w:rPr>
    </w:lvl>
    <w:lvl w:ilvl="4" w:tentative="0">
      <w:start w:val="1"/>
      <w:numFmt w:val="bullet"/>
      <w:lvlText w:val=""/>
      <w:lvlJc w:val="left"/>
      <w:pPr>
        <w:tabs>
          <w:tab w:val="left" w:pos="1675"/>
        </w:tabs>
        <w:ind w:left="1675" w:hanging="420"/>
      </w:pPr>
      <w:rPr>
        <w:rFonts w:hint="default" w:ascii="Wingdings" w:hAnsi="Wingdings"/>
      </w:rPr>
    </w:lvl>
    <w:lvl w:ilvl="5" w:tentative="0">
      <w:start w:val="1"/>
      <w:numFmt w:val="bullet"/>
      <w:lvlText w:val=""/>
      <w:lvlJc w:val="left"/>
      <w:pPr>
        <w:tabs>
          <w:tab w:val="left" w:pos="2095"/>
        </w:tabs>
        <w:ind w:left="2095" w:hanging="420"/>
      </w:pPr>
      <w:rPr>
        <w:rFonts w:hint="default" w:ascii="Wingdings" w:hAnsi="Wingdings"/>
      </w:rPr>
    </w:lvl>
    <w:lvl w:ilvl="6" w:tentative="0">
      <w:start w:val="1"/>
      <w:numFmt w:val="bullet"/>
      <w:lvlText w:val=""/>
      <w:lvlJc w:val="left"/>
      <w:pPr>
        <w:tabs>
          <w:tab w:val="left" w:pos="2515"/>
        </w:tabs>
        <w:ind w:left="2515" w:hanging="420"/>
      </w:pPr>
      <w:rPr>
        <w:rFonts w:hint="default" w:ascii="Wingdings" w:hAnsi="Wingdings"/>
      </w:rPr>
    </w:lvl>
    <w:lvl w:ilvl="7" w:tentative="0">
      <w:start w:val="1"/>
      <w:numFmt w:val="bullet"/>
      <w:lvlText w:val=""/>
      <w:lvlJc w:val="left"/>
      <w:pPr>
        <w:tabs>
          <w:tab w:val="left" w:pos="2935"/>
        </w:tabs>
        <w:ind w:left="2935" w:hanging="420"/>
      </w:pPr>
      <w:rPr>
        <w:rFonts w:hint="default" w:ascii="Wingdings" w:hAnsi="Wingdings"/>
      </w:rPr>
    </w:lvl>
    <w:lvl w:ilvl="8" w:tentative="0">
      <w:start w:val="1"/>
      <w:numFmt w:val="bullet"/>
      <w:lvlText w:val=""/>
      <w:lvlJc w:val="left"/>
      <w:pPr>
        <w:tabs>
          <w:tab w:val="left" w:pos="3355"/>
        </w:tabs>
        <w:ind w:left="3355" w:hanging="420"/>
      </w:pPr>
      <w:rPr>
        <w:rFonts w:hint="default" w:ascii="Wingdings" w:hAnsi="Wingdings"/>
      </w:rPr>
    </w:lvl>
  </w:abstractNum>
  <w:abstractNum w:abstractNumId="4">
    <w:nsid w:val="5A1E2B61"/>
    <w:multiLevelType w:val="singleLevel"/>
    <w:tmpl w:val="5A1E2B61"/>
    <w:lvl w:ilvl="0" w:tentative="0">
      <w:start w:val="1"/>
      <w:numFmt w:val="bullet"/>
      <w:lvlText w:val=""/>
      <w:lvlJc w:val="left"/>
      <w:pPr>
        <w:ind w:left="420" w:hanging="420"/>
      </w:pPr>
      <w:rPr>
        <w:rFonts w:hint="default" w:ascii="Wingdings" w:hAnsi="Wingdings"/>
        <w:color w:val="00B0F0"/>
      </w:rPr>
    </w:lvl>
  </w:abstractNum>
  <w:abstractNum w:abstractNumId="5">
    <w:nsid w:val="5A3C80B7"/>
    <w:multiLevelType w:val="singleLevel"/>
    <w:tmpl w:val="5A3C80B7"/>
    <w:lvl w:ilvl="0" w:tentative="0">
      <w:start w:val="1"/>
      <w:numFmt w:val="bullet"/>
      <w:lvlText w:val=""/>
      <w:lvlJc w:val="left"/>
      <w:pPr>
        <w:ind w:left="420" w:hanging="420"/>
      </w:pPr>
      <w:rPr>
        <w:rFonts w:hint="default" w:ascii="Wingdings" w:hAnsi="Wingdings" w:cs="Wingdings"/>
        <w:color w:val="00B0F0"/>
      </w:rPr>
    </w:lvl>
  </w:abstractNum>
  <w:abstractNum w:abstractNumId="6">
    <w:nsid w:val="688C7E31"/>
    <w:multiLevelType w:val="multilevel"/>
    <w:tmpl w:val="688C7E31"/>
    <w:lvl w:ilvl="0" w:tentative="0">
      <w:start w:val="1"/>
      <w:numFmt w:val="bullet"/>
      <w:lvlText w:val=""/>
      <w:lvlJc w:val="left"/>
      <w:pPr>
        <w:tabs>
          <w:tab w:val="left" w:pos="873"/>
        </w:tabs>
        <w:ind w:left="873" w:hanging="453"/>
      </w:pPr>
      <w:rPr>
        <w:rFonts w:hint="default" w:ascii="Wingdings" w:hAnsi="Wingdings"/>
        <w:color w:val="666699"/>
      </w:rPr>
    </w:lvl>
    <w:lvl w:ilvl="1" w:tentative="0">
      <w:start w:val="1"/>
      <w:numFmt w:val="bullet"/>
      <w:pStyle w:val="35"/>
      <w:lvlText w:val=""/>
      <w:lvlJc w:val="left"/>
      <w:pPr>
        <w:tabs>
          <w:tab w:val="left" w:pos="873"/>
        </w:tabs>
        <w:ind w:left="873" w:hanging="453"/>
      </w:pPr>
      <w:rPr>
        <w:rFonts w:hint="default" w:ascii="Wingdings" w:hAnsi="Wingdings"/>
        <w:color w:val="666699"/>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740837E3"/>
    <w:multiLevelType w:val="multilevel"/>
    <w:tmpl w:val="740837E3"/>
    <w:lvl w:ilvl="0" w:tentative="0">
      <w:start w:val="1"/>
      <w:numFmt w:val="none"/>
      <w:pStyle w:val="2"/>
      <w:suff w:val="nothing"/>
      <w:lvlText w:val="%1"/>
      <w:lvlJc w:val="left"/>
      <w:pPr>
        <w:ind w:left="0" w:firstLine="0"/>
      </w:pPr>
      <w:rPr>
        <w:rFonts w:hint="eastAsia"/>
      </w:rPr>
    </w:lvl>
    <w:lvl w:ilvl="1" w:tentative="0">
      <w:start w:val="1"/>
      <w:numFmt w:val="decimal"/>
      <w:pStyle w:val="3"/>
      <w:suff w:val="nothing"/>
      <w:lvlText w:val="%1第%2讲"/>
      <w:lvlJc w:val="left"/>
      <w:pPr>
        <w:ind w:left="0" w:firstLine="0"/>
      </w:pPr>
      <w:rPr>
        <w:rFonts w:hint="eastAsia"/>
        <w:lang w:val="en-US"/>
      </w:rPr>
    </w:lvl>
    <w:lvl w:ilvl="2" w:tentative="0">
      <w:start w:val="1"/>
      <w:numFmt w:val="decimal"/>
      <w:pStyle w:val="4"/>
      <w:suff w:val="nothing"/>
      <w:lvlText w:val="%1%2.%3"/>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tentative="0">
      <w:start w:val="1"/>
      <w:numFmt w:val="decimal"/>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7"/>
  </w:num>
  <w:num w:numId="2">
    <w:abstractNumId w:val="6"/>
  </w:num>
  <w:num w:numId="3">
    <w:abstractNumId w:val="3"/>
  </w:num>
  <w:num w:numId="4">
    <w:abstractNumId w:val="2"/>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6C"/>
    <w:rsid w:val="000042CA"/>
    <w:rsid w:val="0000476A"/>
    <w:rsid w:val="0001288F"/>
    <w:rsid w:val="00023189"/>
    <w:rsid w:val="0002428E"/>
    <w:rsid w:val="00026C09"/>
    <w:rsid w:val="00032E96"/>
    <w:rsid w:val="00045EEE"/>
    <w:rsid w:val="00050E34"/>
    <w:rsid w:val="00052BF3"/>
    <w:rsid w:val="00063EE0"/>
    <w:rsid w:val="00064246"/>
    <w:rsid w:val="00074451"/>
    <w:rsid w:val="000B0523"/>
    <w:rsid w:val="000B1242"/>
    <w:rsid w:val="000B503E"/>
    <w:rsid w:val="000B51C8"/>
    <w:rsid w:val="000D32C7"/>
    <w:rsid w:val="000D5F25"/>
    <w:rsid w:val="000E0B05"/>
    <w:rsid w:val="000F2025"/>
    <w:rsid w:val="001013E7"/>
    <w:rsid w:val="001105BB"/>
    <w:rsid w:val="0013367C"/>
    <w:rsid w:val="00134725"/>
    <w:rsid w:val="00162257"/>
    <w:rsid w:val="00187601"/>
    <w:rsid w:val="00187F8A"/>
    <w:rsid w:val="00190671"/>
    <w:rsid w:val="00194A3F"/>
    <w:rsid w:val="001952CB"/>
    <w:rsid w:val="001964B2"/>
    <w:rsid w:val="001A6E22"/>
    <w:rsid w:val="001E490B"/>
    <w:rsid w:val="00241DD4"/>
    <w:rsid w:val="00247BB3"/>
    <w:rsid w:val="00274B11"/>
    <w:rsid w:val="00293177"/>
    <w:rsid w:val="0029606F"/>
    <w:rsid w:val="002A476E"/>
    <w:rsid w:val="002B69D3"/>
    <w:rsid w:val="002C626E"/>
    <w:rsid w:val="002D0F9B"/>
    <w:rsid w:val="002D3AC9"/>
    <w:rsid w:val="002F1EC9"/>
    <w:rsid w:val="002F6628"/>
    <w:rsid w:val="003063A5"/>
    <w:rsid w:val="003305D9"/>
    <w:rsid w:val="00333738"/>
    <w:rsid w:val="003358C1"/>
    <w:rsid w:val="003438F8"/>
    <w:rsid w:val="00343FE4"/>
    <w:rsid w:val="00350452"/>
    <w:rsid w:val="00362B19"/>
    <w:rsid w:val="003679A2"/>
    <w:rsid w:val="00371BDB"/>
    <w:rsid w:val="00376520"/>
    <w:rsid w:val="00377644"/>
    <w:rsid w:val="00386590"/>
    <w:rsid w:val="003C0251"/>
    <w:rsid w:val="003C6F41"/>
    <w:rsid w:val="003D5138"/>
    <w:rsid w:val="003E16A4"/>
    <w:rsid w:val="003E4E1D"/>
    <w:rsid w:val="003F48BD"/>
    <w:rsid w:val="00402519"/>
    <w:rsid w:val="00415B3B"/>
    <w:rsid w:val="00416675"/>
    <w:rsid w:val="00417648"/>
    <w:rsid w:val="004267CD"/>
    <w:rsid w:val="00445830"/>
    <w:rsid w:val="004472BF"/>
    <w:rsid w:val="004717A0"/>
    <w:rsid w:val="004718F5"/>
    <w:rsid w:val="00481E3F"/>
    <w:rsid w:val="004827E2"/>
    <w:rsid w:val="004A7FD5"/>
    <w:rsid w:val="004B7CB2"/>
    <w:rsid w:val="004C754F"/>
    <w:rsid w:val="004D30FE"/>
    <w:rsid w:val="004F0B53"/>
    <w:rsid w:val="005169BE"/>
    <w:rsid w:val="00524A7E"/>
    <w:rsid w:val="005335DB"/>
    <w:rsid w:val="00535D93"/>
    <w:rsid w:val="0054343A"/>
    <w:rsid w:val="00564E3F"/>
    <w:rsid w:val="00574368"/>
    <w:rsid w:val="00581EB6"/>
    <w:rsid w:val="00584C54"/>
    <w:rsid w:val="00586CB8"/>
    <w:rsid w:val="005B54FC"/>
    <w:rsid w:val="005D230B"/>
    <w:rsid w:val="005D3C30"/>
    <w:rsid w:val="005E0D2A"/>
    <w:rsid w:val="005E2D42"/>
    <w:rsid w:val="005F22FD"/>
    <w:rsid w:val="00607B63"/>
    <w:rsid w:val="00614988"/>
    <w:rsid w:val="00614C16"/>
    <w:rsid w:val="00616082"/>
    <w:rsid w:val="00620B52"/>
    <w:rsid w:val="00637899"/>
    <w:rsid w:val="00637DDF"/>
    <w:rsid w:val="00670D15"/>
    <w:rsid w:val="00670DB7"/>
    <w:rsid w:val="006737D2"/>
    <w:rsid w:val="006747F4"/>
    <w:rsid w:val="00677181"/>
    <w:rsid w:val="006902E1"/>
    <w:rsid w:val="00693689"/>
    <w:rsid w:val="006C3CCA"/>
    <w:rsid w:val="006C6A8B"/>
    <w:rsid w:val="006D3549"/>
    <w:rsid w:val="006E22D3"/>
    <w:rsid w:val="006E7812"/>
    <w:rsid w:val="00700418"/>
    <w:rsid w:val="00705D88"/>
    <w:rsid w:val="00707B5E"/>
    <w:rsid w:val="007148FD"/>
    <w:rsid w:val="0072406B"/>
    <w:rsid w:val="007242A6"/>
    <w:rsid w:val="007244A6"/>
    <w:rsid w:val="00744EC5"/>
    <w:rsid w:val="00745EE6"/>
    <w:rsid w:val="00746341"/>
    <w:rsid w:val="0075322F"/>
    <w:rsid w:val="00753A42"/>
    <w:rsid w:val="007713D6"/>
    <w:rsid w:val="007743CC"/>
    <w:rsid w:val="007808D4"/>
    <w:rsid w:val="00793658"/>
    <w:rsid w:val="007D628B"/>
    <w:rsid w:val="007D6E51"/>
    <w:rsid w:val="007D7358"/>
    <w:rsid w:val="007E10F2"/>
    <w:rsid w:val="007F0580"/>
    <w:rsid w:val="008113E4"/>
    <w:rsid w:val="008159DE"/>
    <w:rsid w:val="00824321"/>
    <w:rsid w:val="008313B2"/>
    <w:rsid w:val="00833E26"/>
    <w:rsid w:val="008420F5"/>
    <w:rsid w:val="008503E4"/>
    <w:rsid w:val="0086201E"/>
    <w:rsid w:val="00870437"/>
    <w:rsid w:val="00870D07"/>
    <w:rsid w:val="0087630C"/>
    <w:rsid w:val="008A7412"/>
    <w:rsid w:val="008C5894"/>
    <w:rsid w:val="008C6D9C"/>
    <w:rsid w:val="008D2D0A"/>
    <w:rsid w:val="008E50B1"/>
    <w:rsid w:val="008E5AB6"/>
    <w:rsid w:val="00901F1A"/>
    <w:rsid w:val="009155D6"/>
    <w:rsid w:val="009270BC"/>
    <w:rsid w:val="0092762F"/>
    <w:rsid w:val="00954022"/>
    <w:rsid w:val="00956092"/>
    <w:rsid w:val="0096006C"/>
    <w:rsid w:val="00960686"/>
    <w:rsid w:val="00965D0B"/>
    <w:rsid w:val="009808F5"/>
    <w:rsid w:val="0098204F"/>
    <w:rsid w:val="00986271"/>
    <w:rsid w:val="00992513"/>
    <w:rsid w:val="00994028"/>
    <w:rsid w:val="009970F0"/>
    <w:rsid w:val="009A075C"/>
    <w:rsid w:val="009A2CFE"/>
    <w:rsid w:val="009A2E11"/>
    <w:rsid w:val="009A5034"/>
    <w:rsid w:val="009A6285"/>
    <w:rsid w:val="009B155F"/>
    <w:rsid w:val="009B7F29"/>
    <w:rsid w:val="009C787F"/>
    <w:rsid w:val="009E20A3"/>
    <w:rsid w:val="009E3BE2"/>
    <w:rsid w:val="009F3859"/>
    <w:rsid w:val="00A328FB"/>
    <w:rsid w:val="00A419FA"/>
    <w:rsid w:val="00A64AD2"/>
    <w:rsid w:val="00A84B24"/>
    <w:rsid w:val="00A87640"/>
    <w:rsid w:val="00A878EB"/>
    <w:rsid w:val="00A87A5B"/>
    <w:rsid w:val="00A95261"/>
    <w:rsid w:val="00A95434"/>
    <w:rsid w:val="00AA469C"/>
    <w:rsid w:val="00AA6D48"/>
    <w:rsid w:val="00AE1D24"/>
    <w:rsid w:val="00AE3D39"/>
    <w:rsid w:val="00B26528"/>
    <w:rsid w:val="00B56CBF"/>
    <w:rsid w:val="00B639B6"/>
    <w:rsid w:val="00B64113"/>
    <w:rsid w:val="00B83568"/>
    <w:rsid w:val="00B917C6"/>
    <w:rsid w:val="00B9423C"/>
    <w:rsid w:val="00BD1E2E"/>
    <w:rsid w:val="00BE1122"/>
    <w:rsid w:val="00BE1B6C"/>
    <w:rsid w:val="00BE712C"/>
    <w:rsid w:val="00C229E6"/>
    <w:rsid w:val="00C51949"/>
    <w:rsid w:val="00C51C85"/>
    <w:rsid w:val="00C5488F"/>
    <w:rsid w:val="00C629E5"/>
    <w:rsid w:val="00C674CC"/>
    <w:rsid w:val="00C708C3"/>
    <w:rsid w:val="00C71793"/>
    <w:rsid w:val="00CD2D7B"/>
    <w:rsid w:val="00CD4E01"/>
    <w:rsid w:val="00CF6F59"/>
    <w:rsid w:val="00D05DF0"/>
    <w:rsid w:val="00D10141"/>
    <w:rsid w:val="00D14033"/>
    <w:rsid w:val="00D22183"/>
    <w:rsid w:val="00D235C4"/>
    <w:rsid w:val="00D25513"/>
    <w:rsid w:val="00D2585C"/>
    <w:rsid w:val="00D3718B"/>
    <w:rsid w:val="00D37F0E"/>
    <w:rsid w:val="00D546D8"/>
    <w:rsid w:val="00D64A8A"/>
    <w:rsid w:val="00D704DD"/>
    <w:rsid w:val="00D7114D"/>
    <w:rsid w:val="00D92296"/>
    <w:rsid w:val="00D95153"/>
    <w:rsid w:val="00DB7B7B"/>
    <w:rsid w:val="00DC70C4"/>
    <w:rsid w:val="00DD241D"/>
    <w:rsid w:val="00DD7EE8"/>
    <w:rsid w:val="00DE0B18"/>
    <w:rsid w:val="00E468B8"/>
    <w:rsid w:val="00E72B44"/>
    <w:rsid w:val="00E83390"/>
    <w:rsid w:val="00E9294D"/>
    <w:rsid w:val="00EA29E7"/>
    <w:rsid w:val="00EA67D2"/>
    <w:rsid w:val="00EB4FD3"/>
    <w:rsid w:val="00EC3167"/>
    <w:rsid w:val="00EC6133"/>
    <w:rsid w:val="00ED4331"/>
    <w:rsid w:val="00EE18BA"/>
    <w:rsid w:val="00EE3477"/>
    <w:rsid w:val="00EE59A3"/>
    <w:rsid w:val="00F211AB"/>
    <w:rsid w:val="00F30826"/>
    <w:rsid w:val="00F30EB5"/>
    <w:rsid w:val="00F418FC"/>
    <w:rsid w:val="00F44243"/>
    <w:rsid w:val="00F53BAE"/>
    <w:rsid w:val="00F55C25"/>
    <w:rsid w:val="00F614CA"/>
    <w:rsid w:val="00F63EA9"/>
    <w:rsid w:val="00F74166"/>
    <w:rsid w:val="00FA7286"/>
    <w:rsid w:val="00FC49AE"/>
    <w:rsid w:val="00FE0F7B"/>
    <w:rsid w:val="00FF4934"/>
    <w:rsid w:val="00FF6990"/>
    <w:rsid w:val="030A11A1"/>
    <w:rsid w:val="04412C6F"/>
    <w:rsid w:val="0659799D"/>
    <w:rsid w:val="07F23F62"/>
    <w:rsid w:val="087C606A"/>
    <w:rsid w:val="08CC176A"/>
    <w:rsid w:val="09B502C2"/>
    <w:rsid w:val="10523A62"/>
    <w:rsid w:val="11330E20"/>
    <w:rsid w:val="12C6169E"/>
    <w:rsid w:val="1445327A"/>
    <w:rsid w:val="14547BAE"/>
    <w:rsid w:val="14EC2BB1"/>
    <w:rsid w:val="157C3E5D"/>
    <w:rsid w:val="168D43C1"/>
    <w:rsid w:val="18774C43"/>
    <w:rsid w:val="194C2AB8"/>
    <w:rsid w:val="1AD16315"/>
    <w:rsid w:val="1CB974E3"/>
    <w:rsid w:val="1DC56A4D"/>
    <w:rsid w:val="1E59101B"/>
    <w:rsid w:val="1EA4381C"/>
    <w:rsid w:val="1ECD7371"/>
    <w:rsid w:val="1FC854A4"/>
    <w:rsid w:val="215D0D9C"/>
    <w:rsid w:val="22003B30"/>
    <w:rsid w:val="247A3A18"/>
    <w:rsid w:val="24A1061C"/>
    <w:rsid w:val="25CC01CB"/>
    <w:rsid w:val="27944D9A"/>
    <w:rsid w:val="28DA3E5B"/>
    <w:rsid w:val="296E6C93"/>
    <w:rsid w:val="29A67B31"/>
    <w:rsid w:val="29F140A6"/>
    <w:rsid w:val="2A965048"/>
    <w:rsid w:val="2BA95307"/>
    <w:rsid w:val="2E363522"/>
    <w:rsid w:val="2EE73107"/>
    <w:rsid w:val="3105277C"/>
    <w:rsid w:val="314A552F"/>
    <w:rsid w:val="319B0FA4"/>
    <w:rsid w:val="31F2543F"/>
    <w:rsid w:val="32155F4C"/>
    <w:rsid w:val="325B54B8"/>
    <w:rsid w:val="327148E0"/>
    <w:rsid w:val="32D12F8F"/>
    <w:rsid w:val="34BE1F89"/>
    <w:rsid w:val="360556FB"/>
    <w:rsid w:val="36E37EB0"/>
    <w:rsid w:val="38CF2F29"/>
    <w:rsid w:val="391A0DD4"/>
    <w:rsid w:val="398E0DAE"/>
    <w:rsid w:val="3A056318"/>
    <w:rsid w:val="3B781713"/>
    <w:rsid w:val="3BD52FAE"/>
    <w:rsid w:val="3C7E1CCA"/>
    <w:rsid w:val="3CD67196"/>
    <w:rsid w:val="3D117005"/>
    <w:rsid w:val="3D1E55B7"/>
    <w:rsid w:val="3DE17E7F"/>
    <w:rsid w:val="3F126BE0"/>
    <w:rsid w:val="406C6CD0"/>
    <w:rsid w:val="41DA1535"/>
    <w:rsid w:val="44EB4048"/>
    <w:rsid w:val="46A56284"/>
    <w:rsid w:val="48141E0C"/>
    <w:rsid w:val="48300B3D"/>
    <w:rsid w:val="48BD24DA"/>
    <w:rsid w:val="49395D27"/>
    <w:rsid w:val="4A142266"/>
    <w:rsid w:val="4A184561"/>
    <w:rsid w:val="4A820A3B"/>
    <w:rsid w:val="4C9546CC"/>
    <w:rsid w:val="51DF34BB"/>
    <w:rsid w:val="538E3A2B"/>
    <w:rsid w:val="54984945"/>
    <w:rsid w:val="54B31652"/>
    <w:rsid w:val="57E24D15"/>
    <w:rsid w:val="58C96D67"/>
    <w:rsid w:val="591431D0"/>
    <w:rsid w:val="5C8276CC"/>
    <w:rsid w:val="5CC97B96"/>
    <w:rsid w:val="5F5B3296"/>
    <w:rsid w:val="5FD5341C"/>
    <w:rsid w:val="608B4D0B"/>
    <w:rsid w:val="6232481E"/>
    <w:rsid w:val="654B1D62"/>
    <w:rsid w:val="686B5634"/>
    <w:rsid w:val="6964373A"/>
    <w:rsid w:val="6AF32913"/>
    <w:rsid w:val="6C1267D6"/>
    <w:rsid w:val="6C92060F"/>
    <w:rsid w:val="6CCE3329"/>
    <w:rsid w:val="6D5A4044"/>
    <w:rsid w:val="6E150956"/>
    <w:rsid w:val="70490B2B"/>
    <w:rsid w:val="70C70EEE"/>
    <w:rsid w:val="718476F9"/>
    <w:rsid w:val="72BC4925"/>
    <w:rsid w:val="74CB33EF"/>
    <w:rsid w:val="74DE1AB1"/>
    <w:rsid w:val="756F7A8C"/>
    <w:rsid w:val="77D01568"/>
    <w:rsid w:val="77E26D16"/>
    <w:rsid w:val="78CF032E"/>
    <w:rsid w:val="790911C0"/>
    <w:rsid w:val="7A655B99"/>
    <w:rsid w:val="7A991C3D"/>
    <w:rsid w:val="7AB46CD4"/>
    <w:rsid w:val="7B3E2787"/>
    <w:rsid w:val="7C701A04"/>
    <w:rsid w:val="7D7820E4"/>
    <w:rsid w:val="7E3A1D8E"/>
    <w:rsid w:val="7FA1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5"/>
    <w:qFormat/>
    <w:uiPriority w:val="9"/>
    <w:pPr>
      <w:keepNext/>
      <w:keepLines/>
      <w:numPr>
        <w:ilvl w:val="0"/>
        <w:numId w:val="1"/>
      </w:numPr>
      <w:adjustRightInd w:val="0"/>
      <w:snapToGrid w:val="0"/>
      <w:spacing w:beforeLines="50" w:afterLines="50"/>
      <w:outlineLvl w:val="0"/>
    </w:pPr>
    <w:rPr>
      <w:rFonts w:eastAsia="微软雅黑" w:asciiTheme="minorHAnsi" w:hAnsiTheme="minorHAnsi" w:cstheme="minorBidi"/>
      <w:b/>
      <w:bCs/>
      <w:color w:val="0070C0"/>
      <w:kern w:val="44"/>
      <w:sz w:val="32"/>
      <w:szCs w:val="44"/>
    </w:rPr>
  </w:style>
  <w:style w:type="paragraph" w:styleId="3">
    <w:name w:val="heading 2"/>
    <w:basedOn w:val="1"/>
    <w:next w:val="1"/>
    <w:link w:val="26"/>
    <w:unhideWhenUsed/>
    <w:qFormat/>
    <w:uiPriority w:val="9"/>
    <w:pPr>
      <w:keepNext/>
      <w:keepLines/>
      <w:numPr>
        <w:ilvl w:val="1"/>
        <w:numId w:val="1"/>
      </w:numPr>
      <w:adjustRightInd w:val="0"/>
      <w:spacing w:line="312" w:lineRule="auto"/>
      <w:outlineLvl w:val="1"/>
    </w:pPr>
    <w:rPr>
      <w:rFonts w:eastAsia="微软雅黑" w:asciiTheme="majorHAnsi" w:hAnsiTheme="majorHAnsi" w:cstheme="majorBidi"/>
      <w:b/>
      <w:bCs/>
      <w:color w:val="0070C0"/>
      <w:sz w:val="32"/>
      <w:szCs w:val="32"/>
    </w:rPr>
  </w:style>
  <w:style w:type="paragraph" w:styleId="4">
    <w:name w:val="heading 3"/>
    <w:next w:val="1"/>
    <w:link w:val="27"/>
    <w:unhideWhenUsed/>
    <w:qFormat/>
    <w:uiPriority w:val="9"/>
    <w:pPr>
      <w:keepNext/>
      <w:keepLines/>
      <w:numPr>
        <w:ilvl w:val="2"/>
        <w:numId w:val="1"/>
      </w:numPr>
      <w:adjustRightInd w:val="0"/>
      <w:snapToGrid w:val="0"/>
      <w:spacing w:beforeLines="50" w:afterLines="50"/>
      <w:outlineLvl w:val="2"/>
    </w:pPr>
    <w:rPr>
      <w:rFonts w:eastAsia="微软雅黑" w:asciiTheme="minorHAnsi" w:hAnsiTheme="minorHAnsi" w:cstheme="minorBidi"/>
      <w:b/>
      <w:bCs/>
      <w:kern w:val="2"/>
      <w:sz w:val="21"/>
      <w:szCs w:val="32"/>
      <w:lang w:val="en-US" w:eastAsia="zh-CN" w:bidi="ar-SA"/>
    </w:rPr>
  </w:style>
  <w:style w:type="paragraph" w:styleId="5">
    <w:name w:val="heading 4"/>
    <w:basedOn w:val="1"/>
    <w:next w:val="1"/>
    <w:link w:val="2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rPr>
  </w:style>
  <w:style w:type="paragraph" w:styleId="7">
    <w:name w:val="Body Text"/>
    <w:basedOn w:val="1"/>
    <w:unhideWhenUsed/>
    <w:qFormat/>
    <w:uiPriority w:val="0"/>
    <w:pPr>
      <w:spacing w:line="360" w:lineRule="auto"/>
    </w:pPr>
    <w:rPr>
      <w:sz w:val="24"/>
    </w:rPr>
  </w:style>
  <w:style w:type="paragraph" w:styleId="8">
    <w:name w:val="Balloon Text"/>
    <w:basedOn w:val="1"/>
    <w:link w:val="20"/>
    <w:unhideWhenUsed/>
    <w:qFormat/>
    <w:uiPriority w:val="0"/>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3">
    <w:name w:val="Strong"/>
    <w:qFormat/>
    <w:uiPriority w:val="0"/>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6">
    <w:name w:val="Light List Accent 3"/>
    <w:basedOn w:val="14"/>
    <w:qFormat/>
    <w:uiPriority w:val="61"/>
    <w:rPr>
      <w:rFonts w:asciiTheme="minorHAnsi" w:hAnsiTheme="minorHAnsi" w:eastAsiaTheme="minorEastAsia" w:cstheme="minorBidi"/>
      <w:sz w:val="22"/>
      <w:szCs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paragraph" w:customStyle="1" w:styleId="17">
    <w:name w:val="列出段落1"/>
    <w:basedOn w:val="1"/>
    <w:qFormat/>
    <w:uiPriority w:val="34"/>
    <w:pPr>
      <w:ind w:firstLine="420" w:firstLineChars="200"/>
    </w:pPr>
    <w:rPr>
      <w:rFonts w:ascii="Calibri" w:hAnsi="Calibri"/>
      <w:szCs w:val="22"/>
    </w:rPr>
  </w:style>
  <w:style w:type="character" w:customStyle="1" w:styleId="18">
    <w:name w:val="页眉 字符"/>
    <w:basedOn w:val="12"/>
    <w:link w:val="10"/>
    <w:qFormat/>
    <w:uiPriority w:val="99"/>
    <w:rPr>
      <w:sz w:val="18"/>
      <w:szCs w:val="18"/>
    </w:rPr>
  </w:style>
  <w:style w:type="character" w:customStyle="1" w:styleId="19">
    <w:name w:val="页脚 字符"/>
    <w:basedOn w:val="12"/>
    <w:link w:val="9"/>
    <w:qFormat/>
    <w:uiPriority w:val="99"/>
    <w:rPr>
      <w:sz w:val="18"/>
      <w:szCs w:val="18"/>
    </w:rPr>
  </w:style>
  <w:style w:type="character" w:customStyle="1" w:styleId="20">
    <w:name w:val="批注框文本 字符"/>
    <w:basedOn w:val="12"/>
    <w:link w:val="8"/>
    <w:semiHidden/>
    <w:qFormat/>
    <w:uiPriority w:val="0"/>
    <w:rPr>
      <w:kern w:val="2"/>
      <w:sz w:val="18"/>
      <w:szCs w:val="18"/>
    </w:rPr>
  </w:style>
  <w:style w:type="paragraph" w:customStyle="1" w:styleId="21">
    <w:name w:val="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2">
    <w:name w:val="列出段落2"/>
    <w:basedOn w:val="1"/>
    <w:qFormat/>
    <w:uiPriority w:val="0"/>
    <w:pPr>
      <w:ind w:firstLine="420" w:firstLineChars="200"/>
    </w:pPr>
    <w:rPr>
      <w:rFonts w:ascii="Calibri" w:hAnsi="Calibri"/>
      <w:szCs w:val="22"/>
    </w:rPr>
  </w:style>
  <w:style w:type="character" w:customStyle="1" w:styleId="23">
    <w:name w:val="style681"/>
    <w:basedOn w:val="12"/>
    <w:qFormat/>
    <w:uiPriority w:val="0"/>
    <w:rPr>
      <w:color w:val="000033"/>
      <w:sz w:val="20"/>
      <w:szCs w:val="20"/>
    </w:rPr>
  </w:style>
  <w:style w:type="character" w:customStyle="1" w:styleId="24">
    <w:name w:val="course_content1"/>
    <w:basedOn w:val="12"/>
    <w:qFormat/>
    <w:uiPriority w:val="0"/>
    <w:rPr>
      <w:rFonts w:hint="default" w:ascii="Arial" w:hAnsi="Arial" w:cs="Arial"/>
      <w:sz w:val="21"/>
      <w:szCs w:val="21"/>
    </w:rPr>
  </w:style>
  <w:style w:type="character" w:customStyle="1" w:styleId="25">
    <w:name w:val="标题 1 字符"/>
    <w:basedOn w:val="12"/>
    <w:link w:val="2"/>
    <w:qFormat/>
    <w:uiPriority w:val="9"/>
    <w:rPr>
      <w:rFonts w:eastAsia="微软雅黑" w:asciiTheme="minorHAnsi" w:hAnsiTheme="minorHAnsi" w:cstheme="minorBidi"/>
      <w:b/>
      <w:bCs/>
      <w:color w:val="0070C0"/>
      <w:kern w:val="44"/>
      <w:sz w:val="32"/>
      <w:szCs w:val="44"/>
    </w:rPr>
  </w:style>
  <w:style w:type="character" w:customStyle="1" w:styleId="26">
    <w:name w:val="标题 2 字符"/>
    <w:basedOn w:val="12"/>
    <w:link w:val="3"/>
    <w:qFormat/>
    <w:uiPriority w:val="9"/>
    <w:rPr>
      <w:rFonts w:eastAsia="微软雅黑" w:asciiTheme="majorHAnsi" w:hAnsiTheme="majorHAnsi" w:cstheme="majorBidi"/>
      <w:b/>
      <w:bCs/>
      <w:color w:val="0070C0"/>
      <w:kern w:val="2"/>
      <w:sz w:val="32"/>
      <w:szCs w:val="32"/>
    </w:rPr>
  </w:style>
  <w:style w:type="character" w:customStyle="1" w:styleId="27">
    <w:name w:val="标题 3 字符"/>
    <w:basedOn w:val="12"/>
    <w:link w:val="4"/>
    <w:qFormat/>
    <w:uiPriority w:val="9"/>
    <w:rPr>
      <w:rFonts w:eastAsia="微软雅黑" w:asciiTheme="minorHAnsi" w:hAnsiTheme="minorHAnsi" w:cstheme="minorBidi"/>
      <w:b/>
      <w:bCs/>
      <w:kern w:val="2"/>
      <w:sz w:val="21"/>
      <w:szCs w:val="32"/>
    </w:rPr>
  </w:style>
  <w:style w:type="character" w:customStyle="1" w:styleId="28">
    <w:name w:val="标题 4 字符"/>
    <w:basedOn w:val="12"/>
    <w:link w:val="5"/>
    <w:semiHidden/>
    <w:qFormat/>
    <w:uiPriority w:val="9"/>
    <w:rPr>
      <w:rFonts w:asciiTheme="majorHAnsi" w:hAnsiTheme="majorHAnsi" w:eastAsiaTheme="majorEastAsia" w:cstheme="majorBidi"/>
      <w:b/>
      <w:bCs/>
      <w:kern w:val="2"/>
      <w:sz w:val="28"/>
      <w:szCs w:val="28"/>
    </w:rPr>
  </w:style>
  <w:style w:type="paragraph" w:customStyle="1" w:styleId="29">
    <w:name w:val="列出段落3"/>
    <w:basedOn w:val="1"/>
    <w:unhideWhenUsed/>
    <w:qFormat/>
    <w:uiPriority w:val="34"/>
    <w:pPr>
      <w:ind w:firstLine="420" w:firstLineChars="200"/>
    </w:pPr>
  </w:style>
  <w:style w:type="paragraph" w:customStyle="1" w:styleId="30">
    <w:name w:val="列出段落4"/>
    <w:basedOn w:val="1"/>
    <w:unhideWhenUsed/>
    <w:qFormat/>
    <w:uiPriority w:val="99"/>
    <w:pPr>
      <w:ind w:firstLine="420" w:firstLineChars="200"/>
    </w:pPr>
  </w:style>
  <w:style w:type="paragraph" w:customStyle="1" w:styleId="31">
    <w:name w:val="p0"/>
    <w:basedOn w:val="1"/>
    <w:qFormat/>
    <w:uiPriority w:val="0"/>
    <w:pPr>
      <w:widowControl/>
    </w:pPr>
    <w:rPr>
      <w:rFonts w:hint="eastAsia"/>
    </w:rPr>
  </w:style>
  <w:style w:type="paragraph" w:customStyle="1" w:styleId="32">
    <w:name w:val="列出段落5"/>
    <w:basedOn w:val="1"/>
    <w:qFormat/>
    <w:uiPriority w:val="34"/>
    <w:pPr>
      <w:ind w:firstLine="420" w:firstLineChars="200"/>
    </w:pPr>
    <w:rPr>
      <w:rFonts w:ascii="Calibri" w:hAnsi="Calibri"/>
      <w:szCs w:val="22"/>
    </w:rPr>
  </w:style>
  <w:style w:type="paragraph" w:styleId="33">
    <w:name w:val="List Paragraph"/>
    <w:basedOn w:val="1"/>
    <w:qFormat/>
    <w:uiPriority w:val="34"/>
    <w:pPr>
      <w:ind w:firstLine="420" w:firstLineChars="200"/>
    </w:pPr>
  </w:style>
  <w:style w:type="paragraph" w:customStyle="1" w:styleId="34">
    <w:name w:val="正文楷体"/>
    <w:basedOn w:val="1"/>
    <w:qFormat/>
    <w:uiPriority w:val="0"/>
    <w:pPr>
      <w:spacing w:line="300" w:lineRule="auto"/>
    </w:pPr>
  </w:style>
  <w:style w:type="paragraph" w:customStyle="1" w:styleId="35">
    <w:name w:val="Bullet Level 2"/>
    <w:qFormat/>
    <w:uiPriority w:val="99"/>
    <w:pPr>
      <w:numPr>
        <w:ilvl w:val="1"/>
        <w:numId w:val="2"/>
      </w:numPr>
      <w:spacing w:before="60" w:after="60"/>
    </w:pPr>
    <w:rPr>
      <w:rFonts w:ascii="Times New Roman" w:hAnsi="Times New Roman" w:eastAsia="楷体_GB2312" w:cs="Times New Roman"/>
      <w:sz w:val="24"/>
      <w:szCs w:val="22"/>
      <w:lang w:val="en-US" w:eastAsia="zh-CN" w:bidi="ar-SA"/>
    </w:rPr>
  </w:style>
  <w:style w:type="paragraph" w:customStyle="1" w:styleId="36">
    <w:name w:val="Bullet Level 1"/>
    <w:next w:val="35"/>
    <w:qFormat/>
    <w:uiPriority w:val="99"/>
    <w:pPr>
      <w:numPr>
        <w:ilvl w:val="0"/>
        <w:numId w:val="3"/>
      </w:numPr>
      <w:spacing w:before="60" w:after="60"/>
    </w:pPr>
    <w:rPr>
      <w:rFonts w:ascii="Times New Roman" w:hAnsi="Times New Roman" w:eastAsia="楷体_GB2312" w:cs="Times New Roman"/>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A1A7FF-11AB-4141-9662-5AE628EB16F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470</Words>
  <Characters>2681</Characters>
  <Lines>22</Lines>
  <Paragraphs>6</Paragraphs>
  <TotalTime>0</TotalTime>
  <ScaleCrop>false</ScaleCrop>
  <LinksUpToDate>false</LinksUpToDate>
  <CharactersWithSpaces>3145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2018-01-16T01:45:00Z</dcterms:created>
  <dc:creator>nina</dc:creator>
  <cp:lastModifiedBy>Administrator</cp:lastModifiedBy>
  <cp:lastPrinted>2015-07-07T09:25:00Z</cp:lastPrinted>
  <dcterms:modified xsi:type="dcterms:W3CDTF">2018-07-31T01:32:16Z</dcterms:modified>
  <dc:title>《压力与情绪管理》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