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748030</wp:posOffset>
                </wp:positionV>
                <wp:extent cx="7529830" cy="702945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7029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《问题员工的法律界定与处理技巧》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5.1pt;margin-top:58.9pt;height:55.35pt;width:592.9pt;z-index:251656192;mso-width-relative:page;mso-height-relative:page;" filled="f" stroked="f" coordsize="21600,21600" o:gfxdata="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2sKovdAAAADAEAAA8AAAAAAAAA&#10;AQAgAAAAIgAAAGRycy9kb3ducmV2LnhtbFBLAQIUABQAAAAIAIdO4kBy4TAEmgEAAAsDAAAOAAAA&#10;AAAAAAEAIAAAACw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《问题员工的法律界定与处理技巧》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635</wp:posOffset>
            </wp:positionV>
            <wp:extent cx="7585075" cy="4272280"/>
            <wp:effectExtent l="0" t="0" r="15875" b="13970"/>
            <wp:wrapSquare wrapText="bothSides"/>
            <wp:docPr id="4" name="图片 4" descr="E:\2018\logo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2018\logo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9.14-15  周五、六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9.14-15  周五、六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主讲老师：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毕春秋</w:t>
      </w:r>
      <w:r>
        <w:rPr>
          <w:rFonts w:hint="eastAsia" w:ascii="微软雅黑" w:hAnsi="微软雅黑" w:eastAsia="微软雅黑" w:cs="微软雅黑"/>
          <w:color w:val="7F7F7F" w:themeColor="background1" w:themeShade="80"/>
          <w:szCs w:val="21"/>
        </w:rPr>
        <w:t>（原中南集团法务总监，人力资源总监）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授课对象：</w:t>
      </w:r>
      <w:r>
        <w:rPr>
          <w:rFonts w:hint="eastAsia" w:ascii="微软雅黑" w:hAnsi="微软雅黑" w:eastAsia="微软雅黑" w:cs="微软雅黑"/>
          <w:sz w:val="24"/>
          <w:szCs w:val="24"/>
        </w:rPr>
        <w:t>总经理、人力资源总监、经理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企业类型：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企业大小：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时间安排：</w:t>
      </w: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月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日9:30至17:00</w:t>
      </w:r>
    </w:p>
    <w:p>
      <w:pPr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15 </w:t>
      </w:r>
      <w:r>
        <w:rPr>
          <w:rFonts w:hint="eastAsia" w:ascii="微软雅黑" w:hAnsi="微软雅黑" w:eastAsia="微软雅黑" w:cs="微软雅黑"/>
          <w:sz w:val="24"/>
          <w:szCs w:val="24"/>
        </w:rPr>
        <w:t>日9:00至16:30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地点安排：</w:t>
      </w:r>
      <w:r>
        <w:rPr>
          <w:rFonts w:hint="eastAsia" w:ascii="微软雅黑" w:hAnsi="微软雅黑" w:eastAsia="微软雅黑" w:cs="微软雅黑"/>
          <w:sz w:val="24"/>
          <w:szCs w:val="24"/>
        </w:rPr>
        <w:t>待定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参课费用：</w:t>
      </w:r>
      <w:r>
        <w:rPr>
          <w:rFonts w:hint="eastAsia" w:ascii="微软雅黑" w:hAnsi="微软雅黑" w:eastAsia="微软雅黑" w:cs="微软雅黑"/>
          <w:sz w:val="24"/>
          <w:szCs w:val="24"/>
        </w:rPr>
        <w:t>学习卡套票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张/人   </w:t>
      </w:r>
    </w:p>
    <w:p>
      <w:pPr>
        <w:ind w:left="1197" w:leftChars="57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现金票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00元/人 </w:t>
      </w:r>
      <w:r>
        <w:fldChar w:fldCharType="begin"/>
      </w:r>
      <w:r>
        <w:instrText xml:space="preserve"> HYPERLINK "http://www.hztbc.com/public/study_card.php"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购买学习卡享受更多优惠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人数限制：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0人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对不合格、不胜任、营私舞弊、严重失职、违纪违规进行明确梳理或定义，完整解读其明示及默示内涵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通过经典案例对所有疑/难/热点问题给出逐一应对措施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帮助学员在短时间内掌握劳动争议中的法律法规要点，以期立竿见影地运用于实际工作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通过学习，拓展学员视野，提高学员的劳动合同综合管理水平</w:t>
      </w:r>
    </w:p>
    <w:p>
      <w:pPr>
        <w:jc w:val="left"/>
        <w:rPr>
          <w:rFonts w:hint="eastAsia" w:ascii="宋体" w:hAnsi="宋体"/>
          <w:b w:val="0"/>
          <w:bCs w:val="0"/>
          <w:color w:val="7F7F7F" w:themeColor="background1" w:themeShade="80"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352425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27.75pt;height:0.75pt;width:552.75pt;z-index:251700224;mso-width-relative:page;mso-height-relative:page;" filled="f" stroked="t" coordsize="21600,21600" o:gfxdata="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TpGetkAAAAKAQAADwAAAAAAAAABACAAAAAiAAAAZHJzL2Rvd25yZXYueG1sUEsBAhQAFAAA&#10;AAgAh07iQIemT93uAQAAnwMAAA4AAAAAAAAAAQAgAAAAKA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第一编 《劳动合同法》相关条款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 xml:space="preserve"> 核心条款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第三十九条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(一)在试用期间被证明不符合录用条件的（不合格）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(二)严重违反用人单位的规章制度的（违纪违规）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(三)严重失职，营私舞弊，给用人单位造成重大损害的（营私舞弊、严重失职）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第四十条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(一)劳动者不能胜任工作，经过培训或者调整工作岗位，仍不能胜任工作的（不胜任）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关联条款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第三条　订立劳动合同，应当遵循合法、公平、平等自愿、协商一致、诚实信用的原则（营私舞弊）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第八条　用人单位有权了解劳动者与劳动合同直接相关的基本情况，劳动者应当如实说明（欺诈/违纪违规）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 xml:space="preserve">第二十一条　…用人单位在试用期解除劳动合同的，应当向劳动者说明理由（不合格）                   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第二十六条　下列劳动合同无效或者部分无效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（一）以欺诈、胁迫的手段或者乘人之危，使对方在违背真实意思的情况下订立或者变更劳动合同的（违纪违规）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第二十九条　用人单位与劳动者应当按照劳动合同的约定，全面履行各自的义务（违纪违规/严重失职/营私舞弊）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第八十六条　劳动合同依照本法第二十六条规定被确认无效，给对方造成损害的，有过错的一方应当承担赔偿责任（欺诈/违纪违规）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第九十条　劳动者违反本法规定解除劳动合同，或者违反劳动合同中约定的保密义务或者竞业限制，给用人单位造成损失的，应当承担赔偿责任（违纪违规）</w: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第二编 “不合格”的界定与处理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 xml:space="preserve">如何解读与应对“试用期间被证明不符合录用条件” 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如何解读与应对“用人单位在试用期解除劳动合同的，应当向劳动者说明理由”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如何解读与应对“用人单位有权了解劳动者与劳动合同直接相关的基本情况，劳动者应当如实说明”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何谓明示的录用条件和默示的条件约定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“试用条件”与“录用条件”/“转正条件”的区别与联系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 xml:space="preserve"> 《入职通知书》与《录用通知书》的异同及其表述风险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 xml:space="preserve"> 试用期不符合录用条件和劳动合同期不胜任工作的异同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如何设计试用期员工的工作任务或绩效目标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如何设计试用期转正的考核流程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劳动者在试用期解除劳动合同是否需赔偿培训费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企业提前转正与劳动者主动申请延长试用期的风险与操作技巧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何时订立书面劳动合同为最佳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防止出现试用期违法解除的三条基本措施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实操与互动：我来做法官（一）——案例1、案例2</w: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第三编 “不胜任”的界定与处理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法律上如何界定与应对劳动者“不能胜任工作”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设定岗位职责/绩效目标/工作量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做好岗位职责/绩效目标/工作量考核的相关记录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如何通过绩效考核或试用期考核来证明与应对劳动者“不能胜任工作”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劳动者拒绝签署考核结果，怎么办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根据绩效考核结果对员工进行调岗/调薪的风险与应对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末位淘汰制的执行风险与应对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实操与互动：我来做法官（二）——案例3、案例4</w: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第四编 “营私舞弊”的界定与处理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如何解读与应对“营私舞弊，给用人单位造成重大损害”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用人单位应将“营私舞弊”的情形进行定义和列举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对“营私舞弊”进行处罚的关键是对“造成重大损害”的定义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将营私舞弊规定为严重违反公司规章制度的行为，则即算未造成重大损害，亦可根据 《劳动合同法》第三十九条第二项，与劳动者解除劳动关系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如何认定与应对“重大损害”？法律有无具体规定？司法实践中有无统一标准可供参考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规章制度以可量化的如经济损失金额等来界定“重大损害”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“重大损害”的界定，不一定为直接经济损失，亦可为公司无形资产的损害，如品牌侵害、声誉受损等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单位事先制定“重大损害”标准，既能直接影响案件的裁判结果，又可避免因概念之争而导致的风险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如何预防核心员工营私舞弊，损害企业利益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政策约束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制度约束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机制约束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其他防范措施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实操与互动：我来做法官（三）——案例5、案例6</w: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第五编 “严重失职”的界定与处理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如何解读与应对“严重失职，给用人单位造成重大损害”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用人单位应将“严重失职”的情形进行定义和列举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对“严重失职”进行处罚的关键是对“造成重大损害”的定义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将“严重失职”规定为严重违反公司规章制度的行为，则即算未造成重大损害，亦可根据 《劳动合同法》第三十九条第二项，与劳动者解除劳动关系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如何认定与应对“重大损害”？法律有无具体规定？司法实践中有无统一标准可供参考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如何处理“严重失职”员工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法律上如何证明劳动者“严重失职”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“营私舞弊”与“严重失职”，“轻微失职”、“一般失职”与“严重失职”的区别是什么</w:t>
      </w:r>
    </w:p>
    <w:p>
      <w:pPr>
        <w:numPr>
          <w:ilvl w:val="0"/>
          <w:numId w:val="6"/>
        </w:numPr>
        <w:spacing w:line="240" w:lineRule="auto"/>
        <w:ind w:left="399" w:leftChars="0" w:hanging="2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如何合法解除“严重失职”者的劳动合同及追究其法律责任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实操与互动：我来做法官（四）——案例7、案例8、案例9</w: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第六编 “违纪违规”的界定与处理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如何解读“严重违反用人单位的规章制度”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 xml:space="preserve">法律上如何证明劳动者“严重违纪违规” 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如何将违纪违规行为分为“一般违反”、“较重违反”及“严重违反”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如何应对劳动者拒签《警告信》、拒交《检讨书》或否认违纪违规事实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如何应对劳动者拒签《解除/终止劳动合同通知书》？如何送达才能避免法律风险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采用“录音录像”方式创制、保留的证据，法院是否采信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处理违纪违规员工的最佳时段是什么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工会在程序合法中的法定作用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不出具正常且已完成解除或终止劳动合同手续员工的“解除或终止证明”的风险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出具证据不充分的解除或终止劳动合同员工的“解除或终止证明”的风险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违纪违规员工的薪酬调整处理策略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实操与互动：我来做法官（五）——案例10</w: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第七编 其他处理风险与要点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用人单位败诉的主要原因是什么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用人单位违法解除劳动合同，劳动者主张撤销、继续履行并支付工资怎么办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企业能否在规章制度中设定对劳动者进行处罚的条款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合同时约定的工作地点有没有法定范围及如何避免搬迁纠纷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规定女职工违反计划生育政策的属于严重违反单位的规章制度，是否合法有效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关于“泡病假”的表现形式及其应对措施</w:t>
      </w:r>
    </w:p>
    <w:p>
      <w:pPr>
        <w:spacing w:line="240" w:lineRule="auto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实操与互动：我来做法官（六）——案例11、案例12</w: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第八编 附件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唐僧的行为会构成哪些违法风险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唐伯虎是否构成欺诈应聘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杨子荣是否构成欺诈应聘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余则成是否负有保密责任/竞业限制/竞业禁止义务/责任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266700</wp:posOffset>
                </wp:positionV>
                <wp:extent cx="3695700" cy="18764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  <w:t>毕春秋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原中南集团法务总监，人力资源总监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3.5pt;margin-top:21pt;height:147.75pt;width:291pt;z-index:251658240;mso-width-relative:page;mso-height-relative:page;" fillcolor="#FFFFFF" filled="t" stroked="f" coordsize="21600,21600" o:gfxdata="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MVT7tsAAAAKAQAADwAAAAAAAAABACAAAAAiAAAAZHJzL2Rvd25yZXYu&#10;eG1sUEsBAhQAFAAAAAgAh07iQFBUOs/4AQAA5QMAAA4AAAAAAAAAAQAgAAAAKgEAAGRycy9lMm9E&#10;b2MueG1sUEsFBgAAAAAGAAYAWQEAAJQ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  <w:t>毕春秋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原中南集团法务总监，人力资源总监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Cs w:val="21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3" name="图片 3" descr="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/>
                  </pic:nvPicPr>
                  <pic:blipFill>
                    <a:blip r:embed="rId7"/>
                    <a:srcRect l="11905" t="693" r="10327" b="-693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</w:p>
    <w:p>
      <w:pPr>
        <w:numPr>
          <w:ilvl w:val="0"/>
          <w:numId w:val="7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国内著名劳动法/劳动关系管理实战专家</w:t>
      </w:r>
    </w:p>
    <w:p>
      <w:pPr>
        <w:numPr>
          <w:ilvl w:val="0"/>
          <w:numId w:val="7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著名劳动争议预防与应对专家</w:t>
      </w:r>
    </w:p>
    <w:p>
      <w:pPr>
        <w:numPr>
          <w:ilvl w:val="0"/>
          <w:numId w:val="7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员工心理健康管理（EAP咨询）中型企业常年顾问</w:t>
      </w:r>
    </w:p>
    <w:p>
      <w:pP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sz w:val="32"/>
        </w:rPr>
        <w:t>授课风格</w:t>
      </w:r>
    </w:p>
    <w:p>
      <w:pPr>
        <w:pStyle w:val="33"/>
        <w:numPr>
          <w:ilvl w:val="0"/>
          <w:numId w:val="0"/>
        </w:numPr>
        <w:spacing w:line="240" w:lineRule="auto"/>
        <w:ind w:leftChars="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．有的放矢——针对企业在劳动用工中所出现的高频法律风险，或学员在实际工作、生活中面临的心理压力、情绪障碍等，结合丰富的现实案例，将枯燥的法律条款或心理学理论赋予生动活泼的实际内涵，逐一予以详细讲解，以期学员能够抓大放小，避免舍本逐末。</w:t>
      </w:r>
    </w:p>
    <w:p>
      <w:pPr>
        <w:pStyle w:val="33"/>
        <w:numPr>
          <w:ilvl w:val="0"/>
          <w:numId w:val="0"/>
        </w:numPr>
        <w:spacing w:line="240" w:lineRule="auto"/>
        <w:ind w:leftChars="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．注重实效——针对学员的在职特点以及企业形态的差异，从点到线，由线及面，立体地展现了劳动法律法规与企业实际经营活动的经纬交集，或学员自身的心理健康现实问题，从而不失要点、重点和难点地分析讲解，确保在理论框架下有效解决差异性的实际问题。</w:t>
      </w:r>
    </w:p>
    <w:p>
      <w:pPr>
        <w:pStyle w:val="33"/>
        <w:numPr>
          <w:ilvl w:val="0"/>
          <w:numId w:val="0"/>
        </w:numPr>
        <w:spacing w:line="240" w:lineRule="auto"/>
        <w:ind w:leftChars="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．融会贯通——利用自身在管理学和心理学专业上的优势，以及20余年法务及心理学应用方面的实操经验，纵横捭阖、剖析人性；解读法律、贯穿管理；力求授课内容的清晰、条理、逻辑、人性化；寓教于乐，教学相长；令人理解通透、记忆深刻。</w:t>
      </w:r>
    </w:p>
    <w:p>
      <w:pPr>
        <w:rPr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授课经验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美的、华润、万达、比亚迪、中国平安、帅康、东江汽车、中外运、海亮集团、农夫山泉、白云机场、星群药业、雅视光学、南约合荣电器、雷泰电器、广兴隆集团、伟成塑胶、源磊科技、吉阳智云科技、林百朋包装、惠科股份、深圳诗普琳珠宝、兴飞科技、联泰集团、正宏汽车科技、硕诺科技、祈飞科技、安普尔科技、美力高集团、华侨城集团、博家琴行、大凡珠宝、广田集团、生益电子、六洲置业、越航物流、科宏健科技、富采包装、德升电子、雅图仕印刷、香江塑化、佳倩皮具、特发信息股份、岭南园林股份、光距电子、朗科智能电气、华茂集团、森源酒店家具、建星控股、邯泰鞋业、福永骏达制造、众茂五金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.....</w:t>
      </w:r>
    </w:p>
    <w:p>
      <w:pPr>
        <w:spacing w:line="0" w:lineRule="atLeast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课程预告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时间：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2018年10月12、13日（周五、六）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课题：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《与成功有约--解读七个习惯》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主讲：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王晓慧（</w:t>
      </w:r>
      <w:r>
        <w:rPr>
          <w:rFonts w:hint="eastAsia" w:ascii="微软雅黑" w:hAnsi="微软雅黑" w:eastAsia="微软雅黑" w:cs="微软雅黑"/>
          <w:b w:val="0"/>
          <w:bCs/>
          <w:color w:val="7F7F7F" w:themeColor="background1" w:themeShade="80"/>
          <w:sz w:val="24"/>
          <w:szCs w:val="24"/>
          <w:lang w:val="en-US" w:eastAsia="zh-CN"/>
        </w:rPr>
        <w:t>P-MBC管理行为密码授权讲师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  <w:r>
        <w:drawing>
          <wp:inline distT="0" distB="0" distL="114300" distR="114300">
            <wp:extent cx="6127750" cy="5730240"/>
            <wp:effectExtent l="0" t="0" r="13970" b="0"/>
            <wp:docPr id="746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ascii="微软雅黑" w:hAnsi="微软雅黑" w:eastAsia="微软雅黑"/>
          <w:b/>
          <w:sz w:val="32"/>
        </w:rPr>
      </w:pPr>
    </w:p>
    <w:p>
      <w:pPr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B9738F"/>
    <w:multiLevelType w:val="singleLevel"/>
    <w:tmpl w:val="ECB9738F"/>
    <w:lvl w:ilvl="0" w:tentative="0">
      <w:start w:val="1"/>
      <w:numFmt w:val="bullet"/>
      <w:lvlText w:val=""/>
      <w:lvlJc w:val="left"/>
      <w:pPr>
        <w:tabs>
          <w:tab w:val="left" w:pos="399"/>
        </w:tabs>
        <w:ind w:left="399" w:leftChars="0" w:hanging="2" w:firstLineChars="0"/>
      </w:pPr>
      <w:rPr>
        <w:rFonts w:hint="default" w:ascii="Wingdings" w:hAnsi="Wingdings"/>
        <w:color w:val="00B0F0"/>
      </w:rPr>
    </w:lvl>
  </w:abstractNum>
  <w:abstractNum w:abstractNumId="1">
    <w:nsid w:val="1518AEFA"/>
    <w:multiLevelType w:val="singleLevel"/>
    <w:tmpl w:val="1518AEFA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2">
    <w:nsid w:val="3B03294C"/>
    <w:multiLevelType w:val="multilevel"/>
    <w:tmpl w:val="3B03294C"/>
    <w:lvl w:ilvl="0" w:tentative="0">
      <w:start w:val="1"/>
      <w:numFmt w:val="bullet"/>
      <w:pStyle w:val="36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3">
    <w:nsid w:val="5A1E2B61"/>
    <w:multiLevelType w:val="singleLevel"/>
    <w:tmpl w:val="5A1E2B6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4">
    <w:nsid w:val="5AD445FB"/>
    <w:multiLevelType w:val="singleLevel"/>
    <w:tmpl w:val="5AD445FB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5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5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3189"/>
    <w:rsid w:val="0002428E"/>
    <w:rsid w:val="00026C09"/>
    <w:rsid w:val="00032E96"/>
    <w:rsid w:val="00045EEE"/>
    <w:rsid w:val="00050E34"/>
    <w:rsid w:val="00052BF3"/>
    <w:rsid w:val="00063EE0"/>
    <w:rsid w:val="00064246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5727B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6520"/>
    <w:rsid w:val="00377644"/>
    <w:rsid w:val="00386590"/>
    <w:rsid w:val="003C0251"/>
    <w:rsid w:val="003C6F41"/>
    <w:rsid w:val="003D5138"/>
    <w:rsid w:val="003E16A4"/>
    <w:rsid w:val="003E4E1D"/>
    <w:rsid w:val="003F48BD"/>
    <w:rsid w:val="00402519"/>
    <w:rsid w:val="00415B3B"/>
    <w:rsid w:val="00416675"/>
    <w:rsid w:val="00417648"/>
    <w:rsid w:val="004267CD"/>
    <w:rsid w:val="00445830"/>
    <w:rsid w:val="004472BF"/>
    <w:rsid w:val="004717A0"/>
    <w:rsid w:val="004718F5"/>
    <w:rsid w:val="00481E3F"/>
    <w:rsid w:val="004827E2"/>
    <w:rsid w:val="004A7FD5"/>
    <w:rsid w:val="004B7CB2"/>
    <w:rsid w:val="004C754F"/>
    <w:rsid w:val="004D30FE"/>
    <w:rsid w:val="004F0B53"/>
    <w:rsid w:val="005169BE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13D6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5A36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2296"/>
    <w:rsid w:val="00D95153"/>
    <w:rsid w:val="00DB7B7B"/>
    <w:rsid w:val="00DC70C4"/>
    <w:rsid w:val="00DD241D"/>
    <w:rsid w:val="00DD7EE8"/>
    <w:rsid w:val="00DE0B18"/>
    <w:rsid w:val="00E100F1"/>
    <w:rsid w:val="00E468B8"/>
    <w:rsid w:val="00E72B44"/>
    <w:rsid w:val="00E83390"/>
    <w:rsid w:val="00E9294D"/>
    <w:rsid w:val="00EA29E7"/>
    <w:rsid w:val="00EA67D2"/>
    <w:rsid w:val="00EB4FD3"/>
    <w:rsid w:val="00EC3167"/>
    <w:rsid w:val="00EC6133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E0F7B"/>
    <w:rsid w:val="00FF4934"/>
    <w:rsid w:val="00FF6990"/>
    <w:rsid w:val="030A11A1"/>
    <w:rsid w:val="03C5340D"/>
    <w:rsid w:val="04412C6F"/>
    <w:rsid w:val="07F23F62"/>
    <w:rsid w:val="087C606A"/>
    <w:rsid w:val="08CC176A"/>
    <w:rsid w:val="09B502C2"/>
    <w:rsid w:val="0A6136EA"/>
    <w:rsid w:val="0EDC0D6C"/>
    <w:rsid w:val="0F35252B"/>
    <w:rsid w:val="12C6169E"/>
    <w:rsid w:val="1445327A"/>
    <w:rsid w:val="14547BAE"/>
    <w:rsid w:val="14EC2BB1"/>
    <w:rsid w:val="157C3E5D"/>
    <w:rsid w:val="171B2D34"/>
    <w:rsid w:val="1C993B1B"/>
    <w:rsid w:val="1CB974E3"/>
    <w:rsid w:val="1DC56A4D"/>
    <w:rsid w:val="1E59101B"/>
    <w:rsid w:val="1EA4381C"/>
    <w:rsid w:val="1ECD7371"/>
    <w:rsid w:val="1FC854A4"/>
    <w:rsid w:val="215D0D9C"/>
    <w:rsid w:val="22003B30"/>
    <w:rsid w:val="247A3A18"/>
    <w:rsid w:val="257953F4"/>
    <w:rsid w:val="27944D9A"/>
    <w:rsid w:val="28DA3E5B"/>
    <w:rsid w:val="296E6C93"/>
    <w:rsid w:val="29A67B31"/>
    <w:rsid w:val="29F140A6"/>
    <w:rsid w:val="2A965048"/>
    <w:rsid w:val="2E725995"/>
    <w:rsid w:val="2EE73107"/>
    <w:rsid w:val="314A552F"/>
    <w:rsid w:val="319B0FA4"/>
    <w:rsid w:val="31F2543F"/>
    <w:rsid w:val="32155F4C"/>
    <w:rsid w:val="327148E0"/>
    <w:rsid w:val="32D84123"/>
    <w:rsid w:val="344A4E65"/>
    <w:rsid w:val="3459338D"/>
    <w:rsid w:val="34BE1F89"/>
    <w:rsid w:val="3600355D"/>
    <w:rsid w:val="360556FB"/>
    <w:rsid w:val="38CF2F29"/>
    <w:rsid w:val="398E0DAE"/>
    <w:rsid w:val="3A056318"/>
    <w:rsid w:val="3B781713"/>
    <w:rsid w:val="3BD52FAE"/>
    <w:rsid w:val="3C0A102F"/>
    <w:rsid w:val="3CD67196"/>
    <w:rsid w:val="3D117005"/>
    <w:rsid w:val="3D1E55B7"/>
    <w:rsid w:val="3DE17E7F"/>
    <w:rsid w:val="3EEB18DB"/>
    <w:rsid w:val="3F126BE0"/>
    <w:rsid w:val="406C6CD0"/>
    <w:rsid w:val="44EB4048"/>
    <w:rsid w:val="46A56284"/>
    <w:rsid w:val="48141E0C"/>
    <w:rsid w:val="48300B3D"/>
    <w:rsid w:val="49395D27"/>
    <w:rsid w:val="4A142266"/>
    <w:rsid w:val="4A184561"/>
    <w:rsid w:val="4A820A3B"/>
    <w:rsid w:val="4C9546CC"/>
    <w:rsid w:val="51DF34BB"/>
    <w:rsid w:val="538E3A2B"/>
    <w:rsid w:val="53D47B7F"/>
    <w:rsid w:val="54984945"/>
    <w:rsid w:val="57E24D15"/>
    <w:rsid w:val="58C96D67"/>
    <w:rsid w:val="591431D0"/>
    <w:rsid w:val="5C8276CC"/>
    <w:rsid w:val="5CC97B96"/>
    <w:rsid w:val="5DEE3F6F"/>
    <w:rsid w:val="5F5B3296"/>
    <w:rsid w:val="5FC938AE"/>
    <w:rsid w:val="5FD5341C"/>
    <w:rsid w:val="620710F4"/>
    <w:rsid w:val="6232481E"/>
    <w:rsid w:val="654B1D62"/>
    <w:rsid w:val="6759179A"/>
    <w:rsid w:val="686B5634"/>
    <w:rsid w:val="6964373A"/>
    <w:rsid w:val="6AF32913"/>
    <w:rsid w:val="6C92060F"/>
    <w:rsid w:val="6C9B23D6"/>
    <w:rsid w:val="6CCE3329"/>
    <w:rsid w:val="6E150956"/>
    <w:rsid w:val="70490B2B"/>
    <w:rsid w:val="70C70EEE"/>
    <w:rsid w:val="718476F9"/>
    <w:rsid w:val="74560FB4"/>
    <w:rsid w:val="74CB33EF"/>
    <w:rsid w:val="74DE1AB1"/>
    <w:rsid w:val="756F7A8C"/>
    <w:rsid w:val="77E26D16"/>
    <w:rsid w:val="78CF032E"/>
    <w:rsid w:val="790911C0"/>
    <w:rsid w:val="7A655B99"/>
    <w:rsid w:val="7A991C3D"/>
    <w:rsid w:val="7AB46CD4"/>
    <w:rsid w:val="7B3E2787"/>
    <w:rsid w:val="7C701A04"/>
    <w:rsid w:val="7E8031EA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7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6">
    <w:name w:val="Light List Accent 3"/>
    <w:basedOn w:val="14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1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4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5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6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7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8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9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0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2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正文楷体"/>
    <w:basedOn w:val="1"/>
    <w:qFormat/>
    <w:uiPriority w:val="0"/>
    <w:pPr>
      <w:spacing w:line="300" w:lineRule="auto"/>
    </w:pPr>
  </w:style>
  <w:style w:type="paragraph" w:customStyle="1" w:styleId="35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6">
    <w:name w:val="Bullet Level 1"/>
    <w:next w:val="35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086D5-7979-486D-8CBF-3136D3CCA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367</Words>
  <Characters>2097</Characters>
  <Lines>17</Lines>
  <Paragraphs>4</Paragraphs>
  <TotalTime>6</TotalTime>
  <ScaleCrop>false</ScaleCrop>
  <LinksUpToDate>false</LinksUpToDate>
  <CharactersWithSpaces>2460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2018-01-15T02:11:00Z</dcterms:created>
  <dc:creator>nina</dc:creator>
  <cp:lastModifiedBy>Administrator</cp:lastModifiedBy>
  <cp:lastPrinted>2015-07-07T09:25:00Z</cp:lastPrinted>
  <dcterms:modified xsi:type="dcterms:W3CDTF">2018-07-31T01:27:58Z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