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r>
        <w:drawing>
          <wp:anchor distT="0" distB="0" distL="114300" distR="114300" simplePos="0" relativeHeight="251682816" behindDoc="0" locked="0" layoutInCell="1" allowOverlap="1">
            <wp:simplePos x="0" y="0"/>
            <wp:positionH relativeFrom="column">
              <wp:posOffset>-1134110</wp:posOffset>
            </wp:positionH>
            <wp:positionV relativeFrom="paragraph">
              <wp:posOffset>28575</wp:posOffset>
            </wp:positionV>
            <wp:extent cx="7567930" cy="262636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cstate="print"/>
                    <a:stretch>
                      <a:fillRect/>
                    </a:stretch>
                  </pic:blipFill>
                  <pic:spPr>
                    <a:xfrm>
                      <a:off x="0" y="0"/>
                      <a:ext cx="7567930" cy="2626360"/>
                    </a:xfrm>
                    <a:prstGeom prst="rect">
                      <a:avLst/>
                    </a:prstGeom>
                    <a:noFill/>
                    <a:ln w="9525">
                      <a:noFill/>
                    </a:ln>
                  </pic:spPr>
                </pic:pic>
              </a:graphicData>
            </a:graphic>
          </wp:anchor>
        </w:drawing>
      </w:r>
      <w:r>
        <w:pict>
          <v:rect id="_x0000_s1026" o:spid="_x0000_s1026" o:spt="1" style="position:absolute;left:0pt;margin-left:-90.35pt;margin-top:-72.65pt;height:55.45pt;width:599.2pt;z-index:251681792;v-text-anchor:middle;mso-width-relative:page;mso-height-relative:page;" stroked="f" coordsize="21600,21600" o:gfxdata="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9K0i3NsAAAAOAQAADwAAAAAAAAABACAAAAAiAAAAZHJzL2Rvd25yZXYueG1sUEsBAhQA&#10;FAAAAAgAh07iQN/YG/dhAgAAmAQAAA4AAAAAAAAAAQAgAAAAKgEAAGRycy9lMm9Eb2MueG1sUEsF&#10;BgAAAAAGAAYAWQEAAP0FAAAAAA==&#10;">
            <v:path/>
            <v:fill focussize="0,0"/>
            <v:stroke on="f" weight="1pt"/>
            <v:imagedata o:title=""/>
            <o:lock v:ext="edit"/>
          </v:rect>
        </w:pict>
      </w:r>
      <w:r>
        <w:rPr>
          <w:rFonts w:hint="eastAsia" w:eastAsiaTheme="minorEastAsia"/>
        </w:rPr>
        <w:drawing>
          <wp:anchor distT="0" distB="0" distL="114300" distR="114300" simplePos="0" relativeHeight="251847680" behindDoc="0" locked="0" layoutInCell="1" allowOverlap="1">
            <wp:simplePos x="0" y="0"/>
            <wp:positionH relativeFrom="column">
              <wp:posOffset>4314825</wp:posOffset>
            </wp:positionH>
            <wp:positionV relativeFrom="paragraph">
              <wp:posOffset>-847090</wp:posOffset>
            </wp:positionV>
            <wp:extent cx="2054225" cy="504825"/>
            <wp:effectExtent l="0" t="0" r="3175" b="9525"/>
            <wp:wrapSquare wrapText="bothSides"/>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pic:cNvPicPr>
                  </pic:nvPicPr>
                  <pic:blipFill>
                    <a:blip r:embed="rId7" cstate="print"/>
                    <a:stretch>
                      <a:fillRect/>
                    </a:stretch>
                  </pic:blipFill>
                  <pic:spPr>
                    <a:xfrm>
                      <a:off x="0" y="0"/>
                      <a:ext cx="2054225" cy="504825"/>
                    </a:xfrm>
                    <a:prstGeom prst="rect">
                      <a:avLst/>
                    </a:prstGeom>
                  </pic:spPr>
                </pic:pic>
              </a:graphicData>
            </a:graphic>
          </wp:anchor>
        </w:drawing>
      </w:r>
      <w:r>
        <w:rPr>
          <w:rFonts w:hint="eastAsia" w:eastAsiaTheme="minorEastAsia"/>
        </w:rPr>
        <w:drawing>
          <wp:anchor distT="0" distB="0" distL="114300" distR="114300" simplePos="0" relativeHeight="251737088" behindDoc="0" locked="0" layoutInCell="1" allowOverlap="1">
            <wp:simplePos x="0" y="0"/>
            <wp:positionH relativeFrom="column">
              <wp:posOffset>-1152525</wp:posOffset>
            </wp:positionH>
            <wp:positionV relativeFrom="paragraph">
              <wp:posOffset>-952500</wp:posOffset>
            </wp:positionV>
            <wp:extent cx="1954530" cy="698500"/>
            <wp:effectExtent l="0" t="0" r="0" b="0"/>
            <wp:wrapSquare wrapText="bothSides"/>
            <wp:docPr id="13" name="图片 13"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原稿LOGO"/>
                    <pic:cNvPicPr>
                      <a:picLocks noChangeAspect="1"/>
                    </pic:cNvPicPr>
                  </pic:nvPicPr>
                  <pic:blipFill>
                    <a:blip r:embed="rId8" cstate="print"/>
                    <a:stretch>
                      <a:fillRect/>
                    </a:stretch>
                  </pic:blipFill>
                  <pic:spPr>
                    <a:xfrm>
                      <a:off x="0" y="0"/>
                      <a:ext cx="1954530" cy="698500"/>
                    </a:xfrm>
                    <a:prstGeom prst="rect">
                      <a:avLst/>
                    </a:prstGeom>
                  </pic:spPr>
                </pic:pic>
              </a:graphicData>
            </a:graphic>
          </wp:anchor>
        </w:drawing>
      </w:r>
      <w:r>
        <w:drawing>
          <wp:anchor distT="0" distB="0" distL="114300" distR="114300" simplePos="0" relativeHeight="251683840" behindDoc="0" locked="0" layoutInCell="1" allowOverlap="1">
            <wp:simplePos x="0" y="0"/>
            <wp:positionH relativeFrom="column">
              <wp:posOffset>-1143000</wp:posOffset>
            </wp:positionH>
            <wp:positionV relativeFrom="paragraph">
              <wp:posOffset>-217805</wp:posOffset>
            </wp:positionV>
            <wp:extent cx="7569835" cy="2642235"/>
            <wp:effectExtent l="0" t="0" r="12065" b="5715"/>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cstate="print"/>
                    <a:stretch>
                      <a:fillRect/>
                    </a:stretch>
                  </pic:blipFill>
                  <pic:spPr>
                    <a:xfrm>
                      <a:off x="0" y="0"/>
                      <a:ext cx="7569835" cy="2642235"/>
                    </a:xfrm>
                    <a:prstGeom prst="rect">
                      <a:avLst/>
                    </a:prstGeom>
                    <a:noFill/>
                    <a:ln w="9525">
                      <a:noFill/>
                    </a:ln>
                  </pic:spPr>
                </pic:pic>
              </a:graphicData>
            </a:graphic>
          </wp:anchor>
        </w:drawing>
      </w:r>
    </w:p>
    <w:p>
      <w:pPr>
        <w:rPr>
          <w:rFonts w:eastAsiaTheme="minorEastAsia"/>
        </w:rPr>
      </w:pPr>
    </w:p>
    <w:p>
      <w:pPr>
        <w:rPr>
          <w:rFonts w:eastAsiaTheme="minorEastAsia"/>
        </w:rPr>
      </w:pPr>
    </w:p>
    <w:p>
      <w:pPr>
        <w:rPr>
          <w:rFonts w:eastAsiaTheme="minorEastAsia"/>
        </w:rPr>
      </w:pPr>
    </w:p>
    <w:p>
      <w:pPr>
        <w:rPr>
          <w:rFonts w:eastAsiaTheme="minorEastAsia"/>
        </w:rPr>
      </w:pPr>
      <w:r>
        <w:drawing>
          <wp:anchor distT="0" distB="0" distL="114300" distR="114300" simplePos="0" relativeHeight="252564480" behindDoc="0" locked="0" layoutInCell="1" allowOverlap="1">
            <wp:simplePos x="0" y="0"/>
            <wp:positionH relativeFrom="column">
              <wp:posOffset>1152525</wp:posOffset>
            </wp:positionH>
            <wp:positionV relativeFrom="paragraph">
              <wp:posOffset>26670</wp:posOffset>
            </wp:positionV>
            <wp:extent cx="3359150" cy="1323975"/>
            <wp:effectExtent l="0" t="0" r="12700" b="9525"/>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cstate="print"/>
                    <a:stretch>
                      <a:fillRect/>
                    </a:stretch>
                  </pic:blipFill>
                  <pic:spPr>
                    <a:xfrm>
                      <a:off x="0" y="0"/>
                      <a:ext cx="3359150" cy="1323975"/>
                    </a:xfrm>
                    <a:prstGeom prst="rect">
                      <a:avLst/>
                    </a:prstGeom>
                    <a:noFill/>
                    <a:ln w="9525">
                      <a:noFill/>
                    </a:ln>
                  </pic:spPr>
                </pic:pic>
              </a:graphicData>
            </a:graphic>
          </wp:anchor>
        </w:drawing>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w:pict>
          <v:shape id="Text Box 65" o:spid="_x0000_s1031" o:spt="202" type="#_x0000_t202" style="position:absolute;left:0pt;margin-left:-44.3pt;margin-top:7.4pt;height:247.65pt;width:484.4pt;z-index:251735040;mso-width-relative:page;mso-height-relative:page;" fillcolor="#FFFFFF" filled="t" stroked="f" coordsize="21600,21600" o:gfxdata="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sFAy9kAAAALAQAADwAAAAAAAAABACAAAAAiAAAAZHJzL2Rvd25yZXYueG1sUEsBAhQAFAAAAAgA&#10;h07iQBtUZ6qyAQAAXgMAAA4AAAAAAAAAAQAgAAAAKAEAAGRycy9lMm9Eb2MueG1sUEsFBgAAAAAG&#10;AAYAWQEAAEwFAAAAAA==&#10;">
            <v:path/>
            <v:fill on="t" color2="#FFFFFF" opacity="0f" focussize="0,0"/>
            <v:stroke on="f"/>
            <v:imagedata o:title=""/>
            <o:lock v:ext="edit" aspectratio="f"/>
            <v:textbox>
              <w:txbxContent>
                <w:p>
                  <w:pPr>
                    <w:spacing w:line="720" w:lineRule="auto"/>
                    <w:rPr>
                      <w:rFonts w:ascii="微软雅黑" w:hAnsi="微软雅黑" w:eastAsia="微软雅黑" w:cs="微软雅黑"/>
                      <w:b/>
                      <w:bCs/>
                      <w:color w:val="595959"/>
                      <w:sz w:val="40"/>
                      <w:szCs w:val="44"/>
                    </w:rPr>
                  </w:pPr>
                  <w:r>
                    <w:rPr>
                      <w:rFonts w:hint="eastAsia" w:ascii="微软雅黑" w:hAnsi="微软雅黑" w:eastAsia="微软雅黑" w:cs="微软雅黑"/>
                      <w:b/>
                      <w:bCs/>
                      <w:color w:val="595959"/>
                      <w:sz w:val="40"/>
                      <w:szCs w:val="44"/>
                    </w:rPr>
                    <w:t xml:space="preserve">产供研学习系列 </w:t>
                  </w:r>
                </w:p>
                <w:p>
                  <w:pPr>
                    <w:spacing w:line="720" w:lineRule="auto"/>
                    <w:rPr>
                      <w:rFonts w:hint="eastAsia" w:ascii="微软雅黑" w:hAnsi="微软雅黑" w:eastAsia="微软雅黑" w:cs="微软雅黑"/>
                      <w:b/>
                      <w:bCs/>
                      <w:color w:val="595959"/>
                      <w:sz w:val="72"/>
                      <w:szCs w:val="72"/>
                    </w:rPr>
                  </w:pPr>
                  <w:r>
                    <w:rPr>
                      <w:rFonts w:hint="eastAsia" w:ascii="微软雅黑" w:hAnsi="微软雅黑" w:eastAsia="微软雅黑" w:cs="微软雅黑"/>
                      <w:b/>
                      <w:bCs/>
                      <w:color w:val="595959"/>
                      <w:sz w:val="72"/>
                      <w:szCs w:val="72"/>
                    </w:rPr>
                    <w:t>供应商管理与采购谈判技巧</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46"/>
                      <w:szCs w:val="52"/>
                    </w:rPr>
                    <w:t xml:space="preserve">主 讲：柳荣  原三菱集团采购经理和制造总监           </w:t>
                  </w:r>
                </w:p>
                <w:p>
                  <w:pPr>
                    <w:spacing w:line="720" w:lineRule="auto"/>
                    <w:rPr>
                      <w:rFonts w:ascii="微软雅黑" w:hAnsi="微软雅黑" w:eastAsia="微软雅黑" w:cs="微软雅黑"/>
                      <w:color w:val="595959"/>
                      <w:sz w:val="22"/>
                    </w:rPr>
                  </w:pPr>
                  <w:r>
                    <w:rPr>
                      <w:rFonts w:hint="eastAsia" w:ascii="微软雅黑" w:hAnsi="微软雅黑" w:eastAsia="微软雅黑" w:cs="微软雅黑"/>
                      <w:b/>
                      <w:color w:val="595959"/>
                      <w:sz w:val="22"/>
                    </w:rPr>
                    <w:t>课程时间/地点：11月21-22日/广州                 课程费用：2800元/人（会员6张票）</w:t>
                  </w:r>
                </w:p>
                <w:p>
                  <w:pPr>
                    <w:jc w:val="left"/>
                    <w:rPr>
                      <w:rFonts w:ascii="仿宋_GB2312" w:eastAsia="仿宋_GB2312"/>
                      <w:sz w:val="24"/>
                      <w:szCs w:val="24"/>
                    </w:rPr>
                  </w:pPr>
                  <w:r>
                    <w:rPr>
                      <w:rFonts w:hint="eastAsia" w:ascii="微软雅黑" w:hAnsi="微软雅黑" w:eastAsia="微软雅黑" w:cs="微软雅黑"/>
                      <w:bCs/>
                      <w:color w:val="595959"/>
                      <w:sz w:val="22"/>
                    </w:rPr>
                    <w:t>课程对象：采购主管、采购经理、采购人员、供应人员等从事采购供应的人士</w:t>
                  </w:r>
                </w:p>
                <w:p>
                  <w:pPr>
                    <w:spacing w:line="312" w:lineRule="auto"/>
                    <w:rPr>
                      <w:rFonts w:ascii="微软雅黑" w:hAnsi="微软雅黑" w:eastAsia="微软雅黑" w:cs="微软雅黑"/>
                      <w:bCs/>
                      <w:color w:val="595959"/>
                      <w:sz w:val="22"/>
                    </w:rPr>
                  </w:pPr>
                </w:p>
                <w:p>
                  <w:pPr>
                    <w:spacing w:line="312" w:lineRule="auto"/>
                    <w:rPr>
                      <w:rFonts w:ascii="微软雅黑" w:hAnsi="微软雅黑" w:eastAsia="微软雅黑" w:cs="微软雅黑"/>
                      <w:b/>
                      <w:bCs/>
                      <w:color w:val="595959"/>
                      <w:sz w:val="22"/>
                      <w:szCs w:val="22"/>
                    </w:rPr>
                  </w:pPr>
                </w:p>
                <w:p>
                  <w:pPr>
                    <w:spacing w:line="312" w:lineRule="auto"/>
                    <w:rPr>
                      <w:rFonts w:ascii="微软雅黑" w:hAnsi="微软雅黑" w:eastAsia="微软雅黑" w:cs="微软雅黑"/>
                      <w:bCs/>
                      <w:color w:val="595959"/>
                      <w:sz w:val="22"/>
                      <w:lang w:bidi="en-US"/>
                    </w:rPr>
                  </w:pPr>
                </w:p>
              </w:txbxContent>
            </v:textbox>
          </v:shape>
        </w:pic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bookmarkStart w:id="0" w:name="_GoBack"/>
      <w:bookmarkEnd w:id="0"/>
    </w:p>
    <w:p>
      <w:pPr>
        <w:rPr>
          <w:rFonts w:eastAsiaTheme="minorEastAsia"/>
        </w:rPr>
      </w:pPr>
      <w:r>
        <w:pict>
          <v:rect id="_x0000_s1030" o:spid="_x0000_s1030" o:spt="1" style="position:absolute;left:0pt;margin-left:-90.15pt;margin-top:-2.7pt;height:48.75pt;width:159.05pt;z-index:251958272;v-text-anchor:middle;mso-width-relative:page;mso-height-relative:page;" fillcolor="#DE0000" filled="t" stroked="f" coordsize="21600,21600" o:gfxdata="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p6JS9oAAAAKAQAADwAAAAAAAAABACAAAAAiAAAAZHJzL2Rvd25yZXYu&#10;eG1sUEsBAhQAFAAAAAgAh07iQNbrnY5rAgAAowQAAA4AAAAAAAAAAQAgAAAAKQEAAGRycy9lMm9E&#10;b2MueG1sUEsFBgAAAAAGAAYAWQEAAAYGA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课程概要</w:t>
                  </w:r>
                </w:p>
              </w:txbxContent>
            </v:textbox>
          </v:rect>
        </w:pict>
      </w:r>
    </w:p>
    <w:p>
      <w:pPr>
        <w:rPr>
          <w:rFonts w:eastAsiaTheme="minorEastAsia"/>
        </w:rPr>
      </w:pPr>
    </w:p>
    <w:p>
      <w:pPr>
        <w:rPr>
          <w:rFonts w:ascii="宋体" w:hAnsi="宋体"/>
          <w:bCs/>
          <w:sz w:val="24"/>
          <w:szCs w:val="24"/>
        </w:rPr>
      </w:pPr>
    </w:p>
    <w:p>
      <w:pPr>
        <w:ind w:left="-420" w:leftChars="-200" w:right="-420" w:rightChars="-200"/>
        <w:rPr>
          <w:rFonts w:ascii="微软雅黑" w:hAnsi="微软雅黑" w:eastAsia="微软雅黑" w:cs="微软雅黑"/>
        </w:rPr>
      </w:pP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计划出现延迟、质量出现异常、供应商价格毫无征兆地上涨、单一供应商牛气冲天，采购运营总成本居高不下</w:t>
      </w:r>
      <w:r>
        <w:rPr>
          <w:rFonts w:ascii="微软雅黑" w:hAnsi="微软雅黑" w:eastAsia="微软雅黑"/>
          <w:sz w:val="24"/>
          <w:szCs w:val="24"/>
        </w:rPr>
        <w:t>…</w:t>
      </w:r>
      <w:r>
        <w:rPr>
          <w:rFonts w:hint="eastAsia" w:ascii="微软雅黑" w:hAnsi="微软雅黑" w:eastAsia="微软雅黑"/>
          <w:sz w:val="24"/>
          <w:szCs w:val="24"/>
        </w:rPr>
        <w:t>.</w:t>
      </w: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目前生产企业面临客户需求多变、订单提前期短、供应商交货不及时和质量不稳定、库存控制困难的问题，选择什么样的供应商,并且如何有效地管理与绩效管控供应商一直是困扰企业采购的一个重要问题。</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打造一支高效服务企业物流需求的采购团队成为企业优化采购、提高采购绩效的核心工程。但由于历史原因，国内企业职业采购人员来源困乏、在职学习提升比较少，采购人员在商务过程中无法往往处于被动的劣势。本课程将通过知识讲解与案例系统全面展示一个职业采购人员所需的知识与技能。通过学习，使学员树立现代采购、供应商管理、绩效管理、采购谈判等新理念，同时谈判技巧已经成为很多采购人缘的瓶颈，课程按照企业实际谈判要求，通过情景模式模拟谈判过程中的陈述自己的观点，倾听对方的提案、发盘、并作反提案，还盘、互相让步，最后达成合作协议的商务过程，总结谈判技巧，全面系统地构筑谈判乃至获得商务成功的整个过程。课程冶东西方战略智慧于一炉，精心开发的谈判技巧，比西方的谈判思维更深刻；比传统的中国捭阖之术更具体。</w:t>
      </w:r>
    </w:p>
    <w:p>
      <w:pPr>
        <w:spacing w:line="360" w:lineRule="auto"/>
        <w:ind w:left="-420" w:leftChars="-200" w:right="-420" w:rightChars="-200"/>
        <w:rPr>
          <w:rFonts w:ascii="微软雅黑" w:hAnsi="微软雅黑" w:eastAsia="微软雅黑" w:cs="新宋体"/>
          <w:b/>
          <w:color w:val="CC0000"/>
          <w:sz w:val="32"/>
          <w:szCs w:val="32"/>
        </w:rPr>
      </w:pPr>
      <w:r>
        <w:rPr>
          <w:rFonts w:hint="eastAsia" w:ascii="微软雅黑" w:hAnsi="微软雅黑" w:eastAsia="微软雅黑" w:cs="新宋体"/>
          <w:b/>
          <w:color w:val="CC0000"/>
          <w:sz w:val="32"/>
          <w:szCs w:val="32"/>
        </w:rPr>
        <w:t>【课程收益】</w:t>
      </w:r>
    </w:p>
    <w:p>
      <w:pPr>
        <w:jc w:val="left"/>
        <w:rPr>
          <w:rFonts w:ascii="微软雅黑" w:hAnsi="微软雅黑" w:eastAsia="微软雅黑"/>
          <w:sz w:val="24"/>
          <w:szCs w:val="24"/>
        </w:rPr>
      </w:pPr>
      <w:r>
        <w:rPr>
          <w:rFonts w:hint="eastAsia" w:ascii="微软雅黑" w:hAnsi="微软雅黑" w:eastAsia="微软雅黑"/>
          <w:sz w:val="24"/>
          <w:szCs w:val="24"/>
        </w:rPr>
        <w:t>最终提升学员理解供应商管理的紧迫性，通过现场模拟操作，使学员掌握采购操作的方法和技巧，提升采购人员的基础运营水平，降低采购成本和风险，促进企业可持续发展。</w:t>
      </w:r>
    </w:p>
    <w:p/>
    <w:p>
      <w:pPr>
        <w:spacing w:line="360" w:lineRule="auto"/>
        <w:ind w:left="-420" w:leftChars="-200" w:right="-420" w:rightChars="-200"/>
        <w:jc w:val="left"/>
        <w:rPr>
          <w:rFonts w:hint="eastAsia" w:ascii="微软雅黑" w:hAnsi="微软雅黑" w:eastAsia="微软雅黑" w:cs="微软雅黑"/>
          <w:b/>
          <w:szCs w:val="22"/>
        </w:rPr>
      </w:pPr>
      <w:r>
        <w:rPr>
          <w:rFonts w:hint="eastAsia" w:ascii="微软雅黑" w:hAnsi="微软雅黑" w:eastAsia="微软雅黑" w:cs="新宋体"/>
          <w:b/>
          <w:color w:val="CC0000"/>
          <w:sz w:val="32"/>
          <w:szCs w:val="32"/>
        </w:rPr>
        <w:t>【课程特色】</w:t>
      </w:r>
    </w:p>
    <w:p>
      <w:pPr>
        <w:spacing w:line="360" w:lineRule="auto"/>
        <w:ind w:left="-420" w:leftChars="-200" w:right="-420" w:rightChars="-200"/>
        <w:jc w:val="left"/>
        <w:rPr>
          <w:rFonts w:ascii="微软雅黑" w:hAnsi="微软雅黑" w:eastAsia="微软雅黑" w:cs="新宋体"/>
          <w:b/>
          <w:color w:val="FF0000"/>
          <w:sz w:val="32"/>
          <w:szCs w:val="32"/>
        </w:rPr>
      </w:pPr>
      <w:r>
        <w:rPr>
          <w:rFonts w:hint="eastAsia" w:ascii="微软雅黑" w:hAnsi="微软雅黑" w:eastAsia="微软雅黑"/>
          <w:sz w:val="24"/>
          <w:szCs w:val="24"/>
        </w:rPr>
        <w:t>知识讲授、小组讨论、视频演示、角色扮演、情景模拟</w:t>
      </w:r>
    </w:p>
    <w:p/>
    <w:p/>
    <w:p/>
    <w:p>
      <w:r>
        <w:pict>
          <v:rect id="_x0000_s1029" o:spid="_x0000_s1029" o:spt="1" style="position:absolute;left:0pt;margin-left:-90.15pt;margin-top:-4.95pt;height:52.45pt;width:166.45pt;z-index:252560384;v-text-anchor:middle;mso-width-relative:page;mso-height-relative:page;" fillcolor="#DE0000" filled="t" stroked="f" coordsize="21600,21600" o:gfxdata="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SyC+tsAAAAKAQAADwAAAAAAAAABACAAAAAiAAAAZHJzL2Rvd25yZXYueG1sUEsBAhQAFAAAAAgA&#10;h07iQLYxFfpbAgAAlgQAAA4AAAAAAAAAAQAgAAAAKgEAAGRycy9lMm9Eb2MueG1sUEsFBgAAAAAG&#10;AAYAWQEAAPcFA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课程大纲</w:t>
                  </w:r>
                </w:p>
              </w:txbxContent>
            </v:textbox>
          </v:rect>
        </w:pict>
      </w:r>
    </w:p>
    <w:p/>
    <w:p/>
    <w:p>
      <w:pPr>
        <w:ind w:left="-420" w:leftChars="-200" w:right="-420" w:rightChars="-200"/>
        <w:rPr>
          <w:rFonts w:ascii="微软雅黑" w:hAnsi="微软雅黑" w:eastAsia="微软雅黑"/>
          <w:bCs/>
          <w:color w:val="0D0D0D"/>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ascii="微软雅黑" w:hAnsi="微软雅黑" w:eastAsia="微软雅黑" w:cs="微软雅黑"/>
          <w:b/>
        </w:rPr>
      </w:pPr>
    </w:p>
    <w:p>
      <w:pPr>
        <w:rPr>
          <w:rFonts w:ascii="微软雅黑" w:hAnsi="微软雅黑" w:eastAsia="微软雅黑" w:cs="微软雅黑"/>
          <w:bCs/>
        </w:rPr>
        <w:sectPr>
          <w:type w:val="continuous"/>
          <w:pgSz w:w="11906" w:h="16838"/>
          <w:pgMar w:top="1440" w:right="1797" w:bottom="1440" w:left="1797" w:header="851" w:footer="992" w:gutter="0"/>
          <w:cols w:space="425" w:num="1"/>
          <w:docGrid w:linePitch="312" w:charSpace="0"/>
        </w:sectPr>
      </w:pPr>
    </w:p>
    <w:p>
      <w:pPr>
        <w:jc w:val="left"/>
        <w:rPr>
          <w:rFonts w:ascii="仿宋_GB2312" w:eastAsia="仿宋_GB2312"/>
          <w:b/>
          <w:sz w:val="24"/>
          <w:szCs w:val="24"/>
        </w:rPr>
      </w:pPr>
      <w:r>
        <w:rPr>
          <w:rFonts w:hint="eastAsia" w:ascii="仿宋_GB2312" w:eastAsia="仿宋_GB2312"/>
          <w:b/>
          <w:sz w:val="24"/>
          <w:szCs w:val="24"/>
        </w:rPr>
        <w:t>第一讲：供应商开发与管理</w:t>
      </w:r>
    </w:p>
    <w:p>
      <w:pPr>
        <w:jc w:val="left"/>
        <w:rPr>
          <w:rFonts w:ascii="仿宋_GB2312" w:eastAsia="仿宋_GB2312"/>
          <w:sz w:val="24"/>
          <w:szCs w:val="24"/>
        </w:rPr>
      </w:pPr>
      <w:r>
        <w:rPr>
          <w:rFonts w:hint="eastAsia" w:ascii="仿宋_GB2312" w:eastAsia="仿宋_GB2312"/>
          <w:sz w:val="24"/>
          <w:szCs w:val="24"/>
        </w:rPr>
        <w:t>供应商的选择</w:t>
      </w:r>
    </w:p>
    <w:p>
      <w:pPr>
        <w:jc w:val="left"/>
        <w:rPr>
          <w:rFonts w:ascii="仿宋_GB2312" w:eastAsia="仿宋_GB2312"/>
          <w:sz w:val="24"/>
          <w:szCs w:val="24"/>
        </w:rPr>
      </w:pPr>
      <w:r>
        <w:rPr>
          <w:rFonts w:hint="eastAsia" w:ascii="仿宋_GB2312" w:eastAsia="仿宋_GB2312"/>
          <w:sz w:val="24"/>
          <w:szCs w:val="24"/>
        </w:rPr>
        <w:t>供应商开发的流程</w:t>
      </w:r>
    </w:p>
    <w:p>
      <w:pPr>
        <w:jc w:val="left"/>
        <w:rPr>
          <w:rFonts w:ascii="仿宋_GB2312" w:eastAsia="仿宋_GB2312"/>
          <w:sz w:val="24"/>
          <w:szCs w:val="24"/>
        </w:rPr>
      </w:pPr>
      <w:r>
        <w:rPr>
          <w:rFonts w:hint="eastAsia" w:ascii="仿宋_GB2312" w:eastAsia="仿宋_GB2312"/>
          <w:sz w:val="24"/>
          <w:szCs w:val="24"/>
        </w:rPr>
        <w:t>一些工厂的常见现象</w:t>
      </w:r>
    </w:p>
    <w:p>
      <w:pPr>
        <w:jc w:val="left"/>
        <w:rPr>
          <w:rFonts w:ascii="仿宋_GB2312" w:eastAsia="仿宋_GB2312"/>
          <w:sz w:val="24"/>
          <w:szCs w:val="24"/>
        </w:rPr>
      </w:pPr>
      <w:r>
        <w:rPr>
          <w:rFonts w:hint="eastAsia" w:ascii="仿宋_GB2312" w:eastAsia="仿宋_GB2312"/>
          <w:sz w:val="24"/>
          <w:szCs w:val="24"/>
        </w:rPr>
        <w:t>供应商开发必要性</w:t>
      </w:r>
    </w:p>
    <w:p>
      <w:pPr>
        <w:jc w:val="left"/>
        <w:rPr>
          <w:rFonts w:ascii="仿宋_GB2312" w:eastAsia="仿宋_GB2312"/>
          <w:sz w:val="24"/>
          <w:szCs w:val="24"/>
        </w:rPr>
      </w:pPr>
      <w:r>
        <w:rPr>
          <w:rFonts w:hint="eastAsia" w:ascii="仿宋_GB2312" w:eastAsia="仿宋_GB2312"/>
          <w:sz w:val="24"/>
          <w:szCs w:val="24"/>
        </w:rPr>
        <w:t>新供应商的评核和开发流程步</w:t>
      </w:r>
      <w:r>
        <w:rPr>
          <w:rFonts w:hint="eastAsia" w:ascii="宋体" w:hAnsi="宋体" w:cs="宋体"/>
          <w:sz w:val="24"/>
          <w:szCs w:val="24"/>
        </w:rPr>
        <w:t>驟</w:t>
      </w:r>
    </w:p>
    <w:p>
      <w:pPr>
        <w:jc w:val="left"/>
        <w:rPr>
          <w:rFonts w:ascii="仿宋_GB2312" w:eastAsia="仿宋_GB2312"/>
          <w:sz w:val="24"/>
          <w:szCs w:val="24"/>
        </w:rPr>
      </w:pPr>
      <w:r>
        <w:rPr>
          <w:rFonts w:hint="eastAsia" w:ascii="仿宋_GB2312" w:eastAsia="仿宋_GB2312"/>
          <w:sz w:val="24"/>
          <w:szCs w:val="24"/>
        </w:rPr>
        <w:t xml:space="preserve">供应商开发流程分析  </w:t>
      </w:r>
    </w:p>
    <w:p>
      <w:pPr>
        <w:jc w:val="left"/>
        <w:rPr>
          <w:rFonts w:ascii="仿宋_GB2312" w:eastAsia="仿宋_GB2312"/>
          <w:sz w:val="24"/>
          <w:szCs w:val="24"/>
        </w:rPr>
      </w:pPr>
      <w:r>
        <w:rPr>
          <w:rFonts w:hint="eastAsia" w:ascii="仿宋_GB2312" w:eastAsia="仿宋_GB2312"/>
          <w:sz w:val="24"/>
          <w:szCs w:val="24"/>
        </w:rPr>
        <w:t>如何发现潜在供应商</w:t>
      </w:r>
    </w:p>
    <w:p>
      <w:pPr>
        <w:jc w:val="left"/>
        <w:rPr>
          <w:rFonts w:ascii="仿宋_GB2312" w:eastAsia="仿宋_GB2312"/>
          <w:sz w:val="24"/>
          <w:szCs w:val="24"/>
        </w:rPr>
      </w:pPr>
      <w:r>
        <w:rPr>
          <w:rFonts w:hint="eastAsia" w:ascii="仿宋_GB2312" w:eastAsia="仿宋_GB2312"/>
          <w:sz w:val="24"/>
          <w:szCs w:val="24"/>
        </w:rPr>
        <w:t>评估潜在供应商</w:t>
      </w:r>
    </w:p>
    <w:p>
      <w:pPr>
        <w:jc w:val="left"/>
        <w:rPr>
          <w:rFonts w:ascii="仿宋_GB2312" w:eastAsia="仿宋_GB2312"/>
          <w:sz w:val="24"/>
          <w:szCs w:val="24"/>
        </w:rPr>
      </w:pPr>
      <w:r>
        <w:rPr>
          <w:rFonts w:hint="eastAsia" w:ascii="仿宋_GB2312" w:eastAsia="仿宋_GB2312"/>
          <w:sz w:val="24"/>
          <w:szCs w:val="24"/>
        </w:rPr>
        <w:t>厂商评估策略与方法</w:t>
      </w:r>
    </w:p>
    <w:p>
      <w:pPr>
        <w:jc w:val="left"/>
        <w:rPr>
          <w:rFonts w:ascii="仿宋_GB2312" w:eastAsia="仿宋_GB2312"/>
          <w:sz w:val="24"/>
          <w:szCs w:val="24"/>
        </w:rPr>
      </w:pPr>
      <w:r>
        <w:rPr>
          <w:rFonts w:hint="eastAsia" w:ascii="仿宋_GB2312" w:eastAsia="仿宋_GB2312"/>
          <w:sz w:val="24"/>
          <w:szCs w:val="24"/>
        </w:rPr>
        <w:t>供应商选择的其他考虑</w:t>
      </w:r>
    </w:p>
    <w:p>
      <w:pPr>
        <w:jc w:val="left"/>
        <w:rPr>
          <w:rFonts w:ascii="仿宋_GB2312" w:eastAsia="仿宋_GB2312"/>
          <w:sz w:val="24"/>
          <w:szCs w:val="24"/>
        </w:rPr>
      </w:pPr>
      <w:r>
        <w:rPr>
          <w:rFonts w:hint="eastAsia" w:ascii="仿宋_GB2312" w:eastAsia="仿宋_GB2312"/>
          <w:sz w:val="24"/>
          <w:szCs w:val="24"/>
        </w:rPr>
        <w:t>如何评估潜在供应商需要考量的因素</w:t>
      </w:r>
    </w:p>
    <w:p>
      <w:pPr>
        <w:jc w:val="left"/>
        <w:rPr>
          <w:rFonts w:ascii="仿宋_GB2312" w:eastAsia="仿宋_GB2312"/>
          <w:sz w:val="24"/>
          <w:szCs w:val="24"/>
        </w:rPr>
      </w:pPr>
      <w:r>
        <w:rPr>
          <w:rFonts w:hint="eastAsia" w:ascii="仿宋_GB2312" w:eastAsia="仿宋_GB2312"/>
          <w:sz w:val="24"/>
          <w:szCs w:val="24"/>
        </w:rPr>
        <w:t>在收集供应商信息之前，必须制定出筛选的标准/供应商评估的要素</w:t>
      </w:r>
    </w:p>
    <w:p>
      <w:pPr>
        <w:jc w:val="left"/>
        <w:rPr>
          <w:rFonts w:ascii="仿宋_GB2312" w:eastAsia="仿宋_GB2312"/>
          <w:sz w:val="24"/>
          <w:szCs w:val="24"/>
        </w:rPr>
      </w:pPr>
      <w:r>
        <w:rPr>
          <w:rFonts w:hint="eastAsia" w:ascii="仿宋_GB2312" w:eastAsia="仿宋_GB2312"/>
          <w:sz w:val="24"/>
          <w:szCs w:val="24"/>
        </w:rPr>
        <w:t>搜索潜在供应商</w:t>
      </w:r>
    </w:p>
    <w:p>
      <w:pPr>
        <w:jc w:val="left"/>
        <w:rPr>
          <w:rFonts w:ascii="仿宋_GB2312" w:eastAsia="仿宋_GB2312"/>
          <w:sz w:val="24"/>
          <w:szCs w:val="24"/>
        </w:rPr>
      </w:pPr>
      <w:r>
        <w:rPr>
          <w:rFonts w:hint="eastAsia" w:ascii="仿宋_GB2312" w:eastAsia="仿宋_GB2312"/>
          <w:sz w:val="24"/>
          <w:szCs w:val="24"/>
        </w:rPr>
        <w:t>供应商的基础认证</w:t>
      </w:r>
    </w:p>
    <w:p>
      <w:pPr>
        <w:jc w:val="left"/>
        <w:rPr>
          <w:rFonts w:ascii="仿宋_GB2312" w:eastAsia="仿宋_GB2312"/>
          <w:sz w:val="24"/>
          <w:szCs w:val="24"/>
        </w:rPr>
      </w:pPr>
      <w:r>
        <w:rPr>
          <w:rFonts w:hint="eastAsia" w:ascii="仿宋_GB2312" w:eastAsia="仿宋_GB2312"/>
          <w:sz w:val="24"/>
          <w:szCs w:val="24"/>
        </w:rPr>
        <w:t>供应商评核因素</w:t>
      </w:r>
    </w:p>
    <w:p>
      <w:pPr>
        <w:jc w:val="left"/>
        <w:rPr>
          <w:rFonts w:ascii="仿宋_GB2312" w:eastAsia="仿宋_GB2312"/>
          <w:sz w:val="24"/>
          <w:szCs w:val="24"/>
        </w:rPr>
      </w:pPr>
      <w:r>
        <w:rPr>
          <w:rFonts w:hint="eastAsia" w:ascii="仿宋_GB2312" w:eastAsia="仿宋_GB2312"/>
          <w:sz w:val="24"/>
          <w:szCs w:val="24"/>
        </w:rPr>
        <w:t>A||一次性采购活动的三个阶段</w:t>
      </w:r>
    </w:p>
    <w:p>
      <w:pPr>
        <w:ind w:firstLine="120" w:firstLineChars="50"/>
        <w:jc w:val="left"/>
        <w:rPr>
          <w:rFonts w:ascii="仿宋_GB2312" w:eastAsia="仿宋_GB2312"/>
          <w:sz w:val="24"/>
          <w:szCs w:val="24"/>
        </w:rPr>
      </w:pPr>
      <w:r>
        <w:rPr>
          <w:rFonts w:hint="eastAsia" w:ascii="仿宋_GB2312" w:eastAsia="仿宋_GB2312"/>
          <w:sz w:val="24"/>
          <w:szCs w:val="24"/>
        </w:rPr>
        <w:t>I 内部需求评估</w:t>
      </w:r>
    </w:p>
    <w:p>
      <w:pPr>
        <w:ind w:firstLine="120" w:firstLineChars="50"/>
        <w:jc w:val="left"/>
        <w:rPr>
          <w:rFonts w:ascii="仿宋_GB2312" w:eastAsia="仿宋_GB2312"/>
          <w:sz w:val="24"/>
          <w:szCs w:val="24"/>
        </w:rPr>
      </w:pPr>
      <w:r>
        <w:rPr>
          <w:rFonts w:hint="eastAsia" w:ascii="仿宋_GB2312" w:eastAsia="仿宋_GB2312"/>
          <w:sz w:val="24"/>
          <w:szCs w:val="24"/>
        </w:rPr>
        <w:t>II 供应商分析</w:t>
      </w:r>
    </w:p>
    <w:p>
      <w:pPr>
        <w:ind w:firstLine="120" w:firstLineChars="50"/>
        <w:jc w:val="left"/>
        <w:rPr>
          <w:rFonts w:ascii="仿宋_GB2312" w:eastAsia="仿宋_GB2312"/>
          <w:sz w:val="24"/>
          <w:szCs w:val="24"/>
        </w:rPr>
      </w:pPr>
      <w:r>
        <w:rPr>
          <w:rFonts w:hint="eastAsia" w:ascii="仿宋_GB2312" w:eastAsia="仿宋_GB2312"/>
          <w:sz w:val="24"/>
          <w:szCs w:val="24"/>
        </w:rPr>
        <w:t>III 谈判和最终选择</w:t>
      </w:r>
    </w:p>
    <w:p>
      <w:pPr>
        <w:jc w:val="left"/>
        <w:rPr>
          <w:rFonts w:ascii="仿宋_GB2312" w:eastAsia="仿宋_GB2312"/>
          <w:sz w:val="24"/>
          <w:szCs w:val="24"/>
        </w:rPr>
      </w:pPr>
      <w:r>
        <w:rPr>
          <w:rFonts w:hint="eastAsia" w:ascii="仿宋_GB2312" w:eastAsia="仿宋_GB2312"/>
          <w:sz w:val="24"/>
          <w:szCs w:val="24"/>
        </w:rPr>
        <w:t>重复性采购供应商认证</w:t>
      </w:r>
    </w:p>
    <w:p>
      <w:pPr>
        <w:jc w:val="left"/>
        <w:rPr>
          <w:rFonts w:ascii="仿宋_GB2312" w:eastAsia="仿宋_GB2312"/>
          <w:sz w:val="24"/>
          <w:szCs w:val="24"/>
        </w:rPr>
      </w:pPr>
      <w:r>
        <w:rPr>
          <w:rFonts w:hint="eastAsia" w:ascii="仿宋_GB2312" w:eastAsia="仿宋_GB2312"/>
          <w:sz w:val="24"/>
          <w:szCs w:val="24"/>
        </w:rPr>
        <w:t>供应商价格评估</w:t>
      </w:r>
    </w:p>
    <w:p>
      <w:pPr>
        <w:jc w:val="left"/>
        <w:rPr>
          <w:rFonts w:ascii="仿宋_GB2312" w:eastAsia="仿宋_GB2312"/>
          <w:sz w:val="24"/>
          <w:szCs w:val="24"/>
        </w:rPr>
      </w:pPr>
      <w:r>
        <w:rPr>
          <w:rFonts w:hint="eastAsia" w:ascii="仿宋_GB2312" w:eastAsia="仿宋_GB2312"/>
          <w:sz w:val="24"/>
          <w:szCs w:val="24"/>
        </w:rPr>
        <w:t>价格评估的10种方法</w:t>
      </w:r>
    </w:p>
    <w:p>
      <w:pPr>
        <w:jc w:val="left"/>
        <w:rPr>
          <w:rFonts w:ascii="仿宋_GB2312" w:eastAsia="仿宋_GB2312"/>
          <w:sz w:val="24"/>
          <w:szCs w:val="24"/>
        </w:rPr>
      </w:pPr>
      <w:r>
        <w:rPr>
          <w:rFonts w:hint="eastAsia" w:ascii="仿宋_GB2312" w:eastAsia="仿宋_GB2312"/>
          <w:sz w:val="24"/>
          <w:szCs w:val="24"/>
        </w:rPr>
        <w:t>供应商分级方法</w:t>
      </w:r>
    </w:p>
    <w:p>
      <w:pPr>
        <w:jc w:val="left"/>
        <w:rPr>
          <w:rFonts w:ascii="仿宋_GB2312" w:eastAsia="仿宋_GB2312"/>
          <w:sz w:val="24"/>
          <w:szCs w:val="24"/>
        </w:rPr>
      </w:pPr>
      <w:r>
        <w:rPr>
          <w:rFonts w:hint="eastAsia" w:ascii="仿宋_GB2312" w:eastAsia="仿宋_GB2312"/>
          <w:sz w:val="24"/>
          <w:szCs w:val="24"/>
        </w:rPr>
        <w:t>供应商大会</w:t>
      </w:r>
    </w:p>
    <w:p>
      <w:pPr>
        <w:jc w:val="left"/>
        <w:rPr>
          <w:rFonts w:ascii="仿宋_GB2312" w:eastAsia="仿宋_GB2312"/>
          <w:sz w:val="24"/>
          <w:szCs w:val="24"/>
        </w:rPr>
      </w:pPr>
    </w:p>
    <w:p>
      <w:pPr>
        <w:jc w:val="left"/>
        <w:rPr>
          <w:rFonts w:ascii="仿宋_GB2312" w:eastAsia="仿宋_GB2312"/>
          <w:sz w:val="24"/>
          <w:szCs w:val="24"/>
        </w:rPr>
      </w:pPr>
      <w:r>
        <w:rPr>
          <w:rFonts w:hint="eastAsia" w:ascii="仿宋_GB2312" w:eastAsia="仿宋_GB2312"/>
          <w:b/>
          <w:sz w:val="24"/>
          <w:szCs w:val="24"/>
        </w:rPr>
        <w:t>第二讲：供应商绩效管理与关系管理</w:t>
      </w:r>
    </w:p>
    <w:p>
      <w:pPr>
        <w:jc w:val="left"/>
        <w:rPr>
          <w:rFonts w:ascii="仿宋_GB2312" w:eastAsia="仿宋_GB2312"/>
          <w:sz w:val="24"/>
          <w:szCs w:val="24"/>
        </w:rPr>
      </w:pPr>
      <w:r>
        <w:rPr>
          <w:rFonts w:hint="eastAsia" w:ascii="仿宋_GB2312" w:eastAsia="仿宋_GB2312"/>
          <w:sz w:val="24"/>
          <w:szCs w:val="24"/>
        </w:rPr>
        <w:t>供应商绩效考核的流程</w:t>
      </w:r>
    </w:p>
    <w:p>
      <w:pPr>
        <w:jc w:val="left"/>
        <w:rPr>
          <w:rFonts w:ascii="仿宋_GB2312" w:eastAsia="仿宋_GB2312"/>
          <w:sz w:val="24"/>
          <w:szCs w:val="24"/>
        </w:rPr>
      </w:pPr>
      <w:r>
        <w:rPr>
          <w:rFonts w:hint="eastAsia" w:ascii="仿宋_GB2312" w:eastAsia="仿宋_GB2312"/>
          <w:sz w:val="24"/>
          <w:szCs w:val="24"/>
        </w:rPr>
        <w:t>供应商考核KPI指标的确定</w:t>
      </w:r>
    </w:p>
    <w:p>
      <w:pPr>
        <w:jc w:val="left"/>
        <w:rPr>
          <w:rFonts w:ascii="仿宋_GB2312" w:eastAsia="仿宋_GB2312"/>
          <w:sz w:val="24"/>
          <w:szCs w:val="24"/>
        </w:rPr>
      </w:pPr>
      <w:r>
        <w:rPr>
          <w:rFonts w:hint="eastAsia" w:ascii="仿宋_GB2312" w:eastAsia="仿宋_GB2312"/>
          <w:sz w:val="24"/>
          <w:szCs w:val="24"/>
        </w:rPr>
        <w:t>供应商辅导与改善策略</w:t>
      </w:r>
    </w:p>
    <w:p>
      <w:pPr>
        <w:jc w:val="left"/>
        <w:rPr>
          <w:rFonts w:ascii="仿宋_GB2312" w:eastAsia="仿宋_GB2312"/>
          <w:sz w:val="24"/>
          <w:szCs w:val="24"/>
        </w:rPr>
      </w:pPr>
      <w:r>
        <w:rPr>
          <w:rFonts w:hint="eastAsia" w:ascii="仿宋_GB2312" w:eastAsia="仿宋_GB2312"/>
          <w:sz w:val="24"/>
          <w:szCs w:val="24"/>
        </w:rPr>
        <w:t>供应商考核目标的执行与修改</w:t>
      </w:r>
    </w:p>
    <w:p>
      <w:pPr>
        <w:jc w:val="left"/>
        <w:rPr>
          <w:rFonts w:ascii="仿宋_GB2312" w:eastAsia="仿宋_GB2312"/>
          <w:sz w:val="24"/>
          <w:szCs w:val="24"/>
        </w:rPr>
      </w:pPr>
      <w:r>
        <w:rPr>
          <w:rFonts w:hint="eastAsia" w:ascii="仿宋_GB2312" w:eastAsia="仿宋_GB2312"/>
          <w:sz w:val="24"/>
          <w:szCs w:val="24"/>
        </w:rPr>
        <w:t>绩效反馈</w:t>
      </w:r>
    </w:p>
    <w:p>
      <w:pPr>
        <w:jc w:val="left"/>
        <w:rPr>
          <w:rFonts w:ascii="仿宋_GB2312" w:eastAsia="仿宋_GB2312"/>
          <w:sz w:val="24"/>
          <w:szCs w:val="24"/>
        </w:rPr>
      </w:pPr>
      <w:r>
        <w:rPr>
          <w:rFonts w:hint="eastAsia" w:ascii="仿宋_GB2312" w:eastAsia="仿宋_GB2312"/>
          <w:sz w:val="24"/>
          <w:szCs w:val="24"/>
        </w:rPr>
        <w:t>案例：某世界500强企业的供应商绩效管理</w:t>
      </w:r>
    </w:p>
    <w:p>
      <w:pPr>
        <w:jc w:val="left"/>
        <w:rPr>
          <w:rFonts w:ascii="仿宋_GB2312" w:eastAsia="仿宋_GB2312"/>
          <w:sz w:val="24"/>
          <w:szCs w:val="24"/>
        </w:rPr>
      </w:pPr>
      <w:r>
        <w:rPr>
          <w:rFonts w:hint="eastAsia" w:ascii="仿宋_GB2312" w:eastAsia="仿宋_GB2312"/>
          <w:sz w:val="24"/>
          <w:szCs w:val="24"/>
        </w:rPr>
        <w:t>供应商关系管理</w:t>
      </w:r>
    </w:p>
    <w:p>
      <w:pPr>
        <w:jc w:val="left"/>
        <w:rPr>
          <w:rFonts w:ascii="仿宋_GB2312" w:eastAsia="仿宋_GB2312"/>
          <w:sz w:val="24"/>
          <w:szCs w:val="24"/>
        </w:rPr>
      </w:pPr>
      <w:r>
        <w:rPr>
          <w:rFonts w:hint="eastAsia" w:ascii="仿宋_GB2312" w:eastAsia="仿宋_GB2312"/>
          <w:sz w:val="24"/>
          <w:szCs w:val="24"/>
        </w:rPr>
        <w:t>－能力误解</w:t>
      </w:r>
    </w:p>
    <w:p>
      <w:pPr>
        <w:jc w:val="left"/>
        <w:rPr>
          <w:rFonts w:ascii="仿宋_GB2312" w:eastAsia="仿宋_GB2312"/>
          <w:sz w:val="24"/>
          <w:szCs w:val="24"/>
        </w:rPr>
      </w:pPr>
      <w:r>
        <w:rPr>
          <w:rFonts w:hint="eastAsia" w:ascii="仿宋_GB2312" w:eastAsia="仿宋_GB2312"/>
          <w:sz w:val="24"/>
          <w:szCs w:val="24"/>
        </w:rPr>
        <w:t>－关系误解</w:t>
      </w:r>
    </w:p>
    <w:p>
      <w:pPr>
        <w:jc w:val="left"/>
        <w:rPr>
          <w:rFonts w:ascii="仿宋_GB2312" w:eastAsia="仿宋_GB2312"/>
          <w:sz w:val="24"/>
          <w:szCs w:val="24"/>
        </w:rPr>
      </w:pPr>
    </w:p>
    <w:p>
      <w:pPr>
        <w:jc w:val="left"/>
        <w:rPr>
          <w:rFonts w:ascii="仿宋_GB2312" w:eastAsia="仿宋_GB2312"/>
          <w:b/>
          <w:sz w:val="24"/>
          <w:szCs w:val="24"/>
        </w:rPr>
      </w:pPr>
      <w:r>
        <w:rPr>
          <w:rFonts w:hint="eastAsia" w:ascii="仿宋_GB2312" w:eastAsia="仿宋_GB2312"/>
          <w:b/>
          <w:sz w:val="24"/>
          <w:szCs w:val="24"/>
        </w:rPr>
        <w:t>第三讲：专业采购谈判与议价技巧</w:t>
      </w:r>
    </w:p>
    <w:p>
      <w:pPr>
        <w:jc w:val="left"/>
        <w:rPr>
          <w:rFonts w:ascii="仿宋_GB2312" w:eastAsia="仿宋_GB2312"/>
          <w:sz w:val="24"/>
          <w:szCs w:val="24"/>
        </w:rPr>
      </w:pPr>
      <w:r>
        <w:rPr>
          <w:rFonts w:hint="eastAsia" w:ascii="仿宋_GB2312" w:eastAsia="仿宋_GB2312"/>
          <w:sz w:val="24"/>
          <w:szCs w:val="24"/>
        </w:rPr>
        <w:t>谈判专家的谈判阐释</w:t>
      </w:r>
    </w:p>
    <w:p>
      <w:pPr>
        <w:jc w:val="left"/>
        <w:rPr>
          <w:rFonts w:ascii="仿宋_GB2312" w:eastAsia="仿宋_GB2312"/>
          <w:sz w:val="24"/>
          <w:szCs w:val="24"/>
        </w:rPr>
      </w:pPr>
      <w:r>
        <w:rPr>
          <w:rFonts w:hint="eastAsia" w:ascii="仿宋_GB2312" w:eastAsia="仿宋_GB2312"/>
          <w:sz w:val="24"/>
          <w:szCs w:val="24"/>
        </w:rPr>
        <w:t>谈判前的“3+3”问题</w:t>
      </w:r>
    </w:p>
    <w:p>
      <w:pPr>
        <w:jc w:val="left"/>
        <w:rPr>
          <w:rFonts w:ascii="仿宋_GB2312" w:eastAsia="仿宋_GB2312"/>
          <w:sz w:val="24"/>
          <w:szCs w:val="24"/>
        </w:rPr>
      </w:pPr>
      <w:r>
        <w:rPr>
          <w:rFonts w:hint="eastAsia" w:ascii="仿宋_GB2312" w:eastAsia="仿宋_GB2312"/>
          <w:sz w:val="24"/>
          <w:szCs w:val="24"/>
        </w:rPr>
        <w:t>如何构筑自己的谈判能力：时间VS情报VS权利谈判力的误解</w:t>
      </w:r>
    </w:p>
    <w:p>
      <w:pPr>
        <w:jc w:val="left"/>
        <w:rPr>
          <w:rFonts w:ascii="仿宋_GB2312" w:eastAsia="仿宋_GB2312"/>
          <w:sz w:val="24"/>
          <w:szCs w:val="24"/>
        </w:rPr>
      </w:pPr>
      <w:r>
        <w:rPr>
          <w:rFonts w:hint="eastAsia" w:ascii="仿宋_GB2312" w:eastAsia="仿宋_GB2312"/>
          <w:sz w:val="24"/>
          <w:szCs w:val="24"/>
        </w:rPr>
        <w:t xml:space="preserve">谈判的致胜之道 </w:t>
      </w:r>
    </w:p>
    <w:p>
      <w:pPr>
        <w:jc w:val="left"/>
        <w:rPr>
          <w:rFonts w:ascii="仿宋_GB2312" w:eastAsia="仿宋_GB2312"/>
          <w:sz w:val="24"/>
          <w:szCs w:val="24"/>
        </w:rPr>
      </w:pPr>
      <w:r>
        <w:rPr>
          <w:rFonts w:hint="eastAsia" w:ascii="仿宋_GB2312" w:eastAsia="仿宋_GB2312"/>
          <w:sz w:val="24"/>
          <w:szCs w:val="24"/>
        </w:rPr>
        <w:t xml:space="preserve">－详细的谈判计划 </w:t>
      </w:r>
    </w:p>
    <w:p>
      <w:pPr>
        <w:jc w:val="left"/>
        <w:rPr>
          <w:rFonts w:ascii="仿宋_GB2312" w:eastAsia="仿宋_GB2312"/>
          <w:sz w:val="24"/>
          <w:szCs w:val="24"/>
        </w:rPr>
      </w:pPr>
      <w:r>
        <w:rPr>
          <w:rFonts w:hint="eastAsia" w:ascii="仿宋_GB2312" w:eastAsia="仿宋_GB2312"/>
          <w:sz w:val="24"/>
          <w:szCs w:val="24"/>
        </w:rPr>
        <w:t xml:space="preserve">－优势的谈判行动 </w:t>
      </w:r>
    </w:p>
    <w:p>
      <w:pPr>
        <w:jc w:val="left"/>
        <w:rPr>
          <w:rFonts w:ascii="仿宋_GB2312" w:eastAsia="仿宋_GB2312"/>
          <w:sz w:val="24"/>
          <w:szCs w:val="24"/>
        </w:rPr>
      </w:pPr>
      <w:r>
        <w:rPr>
          <w:rFonts w:hint="eastAsia" w:ascii="仿宋_GB2312" w:eastAsia="仿宋_GB2312"/>
          <w:sz w:val="24"/>
          <w:szCs w:val="24"/>
        </w:rPr>
        <w:t xml:space="preserve">降低期待系数 </w:t>
      </w:r>
    </w:p>
    <w:p>
      <w:pPr>
        <w:jc w:val="left"/>
        <w:rPr>
          <w:rFonts w:ascii="仿宋_GB2312" w:eastAsia="仿宋_GB2312"/>
          <w:sz w:val="24"/>
          <w:szCs w:val="24"/>
        </w:rPr>
      </w:pPr>
      <w:r>
        <w:rPr>
          <w:rFonts w:hint="eastAsia" w:ascii="仿宋_GB2312" w:eastAsia="仿宋_GB2312"/>
          <w:sz w:val="24"/>
          <w:szCs w:val="24"/>
        </w:rPr>
        <w:t>谈判实战测试与心理学经典分析</w:t>
      </w:r>
    </w:p>
    <w:p>
      <w:pPr>
        <w:jc w:val="left"/>
        <w:rPr>
          <w:rFonts w:ascii="仿宋_GB2312" w:eastAsia="仿宋_GB2312"/>
          <w:sz w:val="24"/>
          <w:szCs w:val="24"/>
        </w:rPr>
      </w:pPr>
      <w:r>
        <w:rPr>
          <w:rFonts w:hint="eastAsia" w:ascii="仿宋_GB2312" w:eastAsia="仿宋_GB2312"/>
          <w:sz w:val="24"/>
          <w:szCs w:val="24"/>
        </w:rPr>
        <w:t>A）、如何看待自己的谈判对手</w:t>
      </w:r>
    </w:p>
    <w:p>
      <w:pPr>
        <w:jc w:val="left"/>
        <w:rPr>
          <w:rFonts w:ascii="仿宋_GB2312" w:eastAsia="仿宋_GB2312"/>
          <w:sz w:val="24"/>
          <w:szCs w:val="24"/>
        </w:rPr>
      </w:pPr>
      <w:r>
        <w:rPr>
          <w:rFonts w:hint="eastAsia" w:ascii="仿宋_GB2312" w:eastAsia="仿宋_GB2312"/>
          <w:sz w:val="24"/>
          <w:szCs w:val="24"/>
        </w:rPr>
        <w:t>B）、如何看待谈判自己的劣势</w:t>
      </w:r>
    </w:p>
    <w:p>
      <w:pPr>
        <w:jc w:val="left"/>
        <w:rPr>
          <w:rFonts w:ascii="仿宋_GB2312" w:eastAsia="仿宋_GB2312"/>
          <w:sz w:val="24"/>
          <w:szCs w:val="24"/>
        </w:rPr>
      </w:pPr>
      <w:r>
        <w:rPr>
          <w:rFonts w:hint="eastAsia" w:ascii="仿宋_GB2312" w:eastAsia="仿宋_GB2312"/>
          <w:sz w:val="24"/>
          <w:szCs w:val="24"/>
        </w:rPr>
        <w:t>C）、对方的强势如何化解</w:t>
      </w:r>
    </w:p>
    <w:p>
      <w:pPr>
        <w:jc w:val="left"/>
        <w:rPr>
          <w:rFonts w:ascii="仿宋_GB2312" w:eastAsia="仿宋_GB2312"/>
          <w:sz w:val="24"/>
          <w:szCs w:val="24"/>
        </w:rPr>
      </w:pPr>
      <w:r>
        <w:rPr>
          <w:rFonts w:hint="eastAsia" w:ascii="仿宋_GB2312" w:eastAsia="仿宋_GB2312"/>
          <w:sz w:val="24"/>
          <w:szCs w:val="24"/>
        </w:rPr>
        <w:t>D）、如何分析对方的话术背后含义</w:t>
      </w:r>
    </w:p>
    <w:p>
      <w:pPr>
        <w:jc w:val="left"/>
        <w:rPr>
          <w:rFonts w:ascii="仿宋_GB2312" w:eastAsia="仿宋_GB2312"/>
          <w:sz w:val="24"/>
          <w:szCs w:val="24"/>
        </w:rPr>
      </w:pPr>
      <w:r>
        <w:rPr>
          <w:rFonts w:hint="eastAsia" w:ascii="仿宋_GB2312" w:eastAsia="仿宋_GB2312"/>
          <w:sz w:val="24"/>
          <w:szCs w:val="24"/>
        </w:rPr>
        <w:t>E）、“虚拟上司”处理技巧</w:t>
      </w:r>
    </w:p>
    <w:p>
      <w:pPr>
        <w:jc w:val="left"/>
        <w:rPr>
          <w:rFonts w:ascii="仿宋_GB2312" w:eastAsia="仿宋_GB2312"/>
          <w:sz w:val="24"/>
          <w:szCs w:val="24"/>
        </w:rPr>
      </w:pPr>
      <w:r>
        <w:rPr>
          <w:rFonts w:hint="eastAsia" w:ascii="仿宋_GB2312" w:eastAsia="仿宋_GB2312"/>
          <w:sz w:val="24"/>
          <w:szCs w:val="24"/>
        </w:rPr>
        <w:t>F）、心理价位的沟通</w:t>
      </w:r>
    </w:p>
    <w:p>
      <w:pPr>
        <w:jc w:val="left"/>
        <w:rPr>
          <w:rFonts w:ascii="仿宋_GB2312" w:eastAsia="仿宋_GB2312"/>
          <w:sz w:val="24"/>
          <w:szCs w:val="24"/>
        </w:rPr>
      </w:pPr>
      <w:r>
        <w:rPr>
          <w:rFonts w:hint="eastAsia" w:ascii="仿宋_GB2312" w:eastAsia="仿宋_GB2312"/>
          <w:sz w:val="24"/>
          <w:szCs w:val="24"/>
        </w:rPr>
        <w:t>G）、强势谈判建立</w:t>
      </w:r>
    </w:p>
    <w:p>
      <w:pPr>
        <w:jc w:val="left"/>
        <w:rPr>
          <w:rFonts w:ascii="仿宋_GB2312" w:eastAsia="仿宋_GB2312"/>
          <w:sz w:val="24"/>
          <w:szCs w:val="24"/>
        </w:rPr>
      </w:pPr>
      <w:r>
        <w:rPr>
          <w:rFonts w:hint="eastAsia" w:ascii="仿宋_GB2312" w:eastAsia="仿宋_GB2312"/>
          <w:sz w:val="24"/>
          <w:szCs w:val="24"/>
        </w:rPr>
        <w:t>H）、利益平衡法</w:t>
      </w:r>
    </w:p>
    <w:p>
      <w:pPr>
        <w:jc w:val="left"/>
        <w:rPr>
          <w:rFonts w:ascii="仿宋_GB2312" w:eastAsia="仿宋_GB2312"/>
          <w:sz w:val="24"/>
          <w:szCs w:val="24"/>
        </w:rPr>
      </w:pPr>
      <w:r>
        <w:rPr>
          <w:rFonts w:hint="eastAsia" w:ascii="仿宋_GB2312" w:eastAsia="仿宋_GB2312"/>
          <w:sz w:val="24"/>
          <w:szCs w:val="24"/>
        </w:rPr>
        <w:t>I）、借势谈判</w:t>
      </w:r>
    </w:p>
    <w:p>
      <w:pPr>
        <w:jc w:val="left"/>
        <w:rPr>
          <w:rFonts w:ascii="仿宋_GB2312" w:eastAsia="仿宋_GB2312"/>
          <w:sz w:val="24"/>
          <w:szCs w:val="24"/>
        </w:rPr>
      </w:pPr>
      <w:r>
        <w:rPr>
          <w:rFonts w:hint="eastAsia" w:ascii="仿宋_GB2312" w:eastAsia="仿宋_GB2312"/>
          <w:sz w:val="24"/>
          <w:szCs w:val="24"/>
        </w:rPr>
        <w:t>J）、降低撒切尔期待系数</w:t>
      </w:r>
    </w:p>
    <w:p>
      <w:pPr>
        <w:jc w:val="left"/>
        <w:rPr>
          <w:rFonts w:ascii="仿宋_GB2312" w:eastAsia="仿宋_GB2312"/>
          <w:sz w:val="24"/>
          <w:szCs w:val="24"/>
        </w:rPr>
      </w:pPr>
      <w:r>
        <w:rPr>
          <w:rFonts w:hint="eastAsia" w:ascii="仿宋_GB2312" w:eastAsia="仿宋_GB2312"/>
          <w:sz w:val="24"/>
          <w:szCs w:val="24"/>
        </w:rPr>
        <w:t>K）、轻缓的绝妙之道</w:t>
      </w:r>
    </w:p>
    <w:p>
      <w:pPr>
        <w:jc w:val="left"/>
        <w:rPr>
          <w:rFonts w:ascii="仿宋_GB2312" w:eastAsia="仿宋_GB2312"/>
          <w:sz w:val="24"/>
          <w:szCs w:val="24"/>
        </w:rPr>
      </w:pPr>
      <w:r>
        <w:rPr>
          <w:rFonts w:hint="eastAsia" w:ascii="仿宋_GB2312" w:eastAsia="仿宋_GB2312"/>
          <w:sz w:val="24"/>
          <w:szCs w:val="24"/>
        </w:rPr>
        <w:t xml:space="preserve">谈判的步骤与打破僵局技巧 </w:t>
      </w:r>
    </w:p>
    <w:p>
      <w:pPr>
        <w:jc w:val="left"/>
        <w:rPr>
          <w:rFonts w:ascii="仿宋_GB2312" w:eastAsia="仿宋_GB2312"/>
          <w:sz w:val="24"/>
          <w:szCs w:val="24"/>
        </w:rPr>
      </w:pPr>
      <w:r>
        <w:rPr>
          <w:rFonts w:hint="eastAsia" w:ascii="仿宋_GB2312" w:eastAsia="仿宋_GB2312"/>
          <w:sz w:val="24"/>
          <w:szCs w:val="24"/>
        </w:rPr>
        <w:t>成功谈判的步骤——天、地、人分析</w:t>
      </w:r>
    </w:p>
    <w:p>
      <w:pPr>
        <w:jc w:val="left"/>
        <w:rPr>
          <w:rFonts w:ascii="仿宋_GB2312" w:eastAsia="仿宋_GB2312"/>
          <w:sz w:val="24"/>
          <w:szCs w:val="24"/>
        </w:rPr>
      </w:pPr>
      <w:r>
        <w:rPr>
          <w:rFonts w:hint="eastAsia" w:ascii="仿宋_GB2312" w:eastAsia="仿宋_GB2312"/>
          <w:sz w:val="24"/>
          <w:szCs w:val="24"/>
        </w:rPr>
        <w:t xml:space="preserve">  -谈判矩阵</w:t>
      </w:r>
    </w:p>
    <w:p>
      <w:pPr>
        <w:jc w:val="left"/>
        <w:rPr>
          <w:rFonts w:ascii="仿宋_GB2312" w:eastAsia="仿宋_GB2312"/>
          <w:sz w:val="24"/>
          <w:szCs w:val="24"/>
        </w:rPr>
      </w:pPr>
      <w:r>
        <w:rPr>
          <w:rFonts w:hint="eastAsia" w:ascii="仿宋_GB2312" w:eastAsia="仿宋_GB2312"/>
          <w:sz w:val="24"/>
          <w:szCs w:val="24"/>
        </w:rPr>
        <w:t>谈判的节奏</w:t>
      </w:r>
    </w:p>
    <w:p>
      <w:pPr>
        <w:jc w:val="left"/>
        <w:rPr>
          <w:rFonts w:ascii="仿宋_GB2312" w:eastAsia="仿宋_GB2312"/>
          <w:sz w:val="24"/>
          <w:szCs w:val="24"/>
        </w:rPr>
      </w:pPr>
      <w:r>
        <w:rPr>
          <w:rFonts w:hint="eastAsia" w:ascii="仿宋_GB2312" w:eastAsia="仿宋_GB2312"/>
          <w:sz w:val="24"/>
          <w:szCs w:val="24"/>
        </w:rPr>
        <w:t>谈判的详细步骤</w:t>
      </w:r>
    </w:p>
    <w:p>
      <w:pPr>
        <w:jc w:val="left"/>
        <w:rPr>
          <w:rFonts w:ascii="仿宋_GB2312" w:eastAsia="仿宋_GB2312"/>
          <w:sz w:val="24"/>
          <w:szCs w:val="24"/>
        </w:rPr>
      </w:pPr>
      <w:r>
        <w:rPr>
          <w:rFonts w:hint="eastAsia" w:ascii="仿宋_GB2312" w:eastAsia="仿宋_GB2312"/>
          <w:sz w:val="24"/>
          <w:szCs w:val="24"/>
        </w:rPr>
        <w:t xml:space="preserve">   i)良好的准备是谈判致胜的前提</w:t>
      </w:r>
    </w:p>
    <w:p>
      <w:pPr>
        <w:jc w:val="left"/>
        <w:rPr>
          <w:rFonts w:ascii="仿宋_GB2312" w:eastAsia="仿宋_GB2312"/>
          <w:sz w:val="24"/>
          <w:szCs w:val="24"/>
        </w:rPr>
      </w:pPr>
      <w:r>
        <w:rPr>
          <w:rFonts w:hint="eastAsia" w:ascii="仿宋_GB2312" w:eastAsia="仿宋_GB2312"/>
          <w:sz w:val="24"/>
          <w:szCs w:val="24"/>
        </w:rPr>
        <w:t xml:space="preserve">     最重要的过程：谈判目标的设定</w:t>
      </w:r>
    </w:p>
    <w:p>
      <w:pPr>
        <w:jc w:val="left"/>
        <w:rPr>
          <w:rFonts w:ascii="仿宋_GB2312" w:eastAsia="仿宋_GB2312"/>
          <w:sz w:val="24"/>
          <w:szCs w:val="24"/>
        </w:rPr>
      </w:pPr>
      <w:r>
        <w:rPr>
          <w:rFonts w:hint="eastAsia" w:ascii="仿宋_GB2312" w:eastAsia="仿宋_GB2312"/>
          <w:sz w:val="24"/>
          <w:szCs w:val="24"/>
        </w:rPr>
        <w:t xml:space="preserve">     主场谈判VS客场谈判</w:t>
      </w:r>
    </w:p>
    <w:p>
      <w:pPr>
        <w:jc w:val="left"/>
        <w:rPr>
          <w:rFonts w:ascii="仿宋_GB2312" w:eastAsia="仿宋_GB2312"/>
          <w:sz w:val="24"/>
          <w:szCs w:val="24"/>
        </w:rPr>
      </w:pPr>
      <w:r>
        <w:rPr>
          <w:rFonts w:hint="eastAsia" w:ascii="仿宋_GB2312" w:eastAsia="仿宋_GB2312"/>
          <w:sz w:val="24"/>
          <w:szCs w:val="24"/>
        </w:rPr>
        <w:t xml:space="preserve">     案例讨论</w:t>
      </w:r>
    </w:p>
    <w:p>
      <w:pPr>
        <w:jc w:val="left"/>
        <w:rPr>
          <w:rFonts w:ascii="仿宋_GB2312" w:eastAsia="仿宋_GB2312"/>
          <w:sz w:val="24"/>
          <w:szCs w:val="24"/>
        </w:rPr>
      </w:pPr>
      <w:r>
        <w:rPr>
          <w:rFonts w:hint="eastAsia" w:ascii="仿宋_GB2312" w:eastAsia="仿宋_GB2312"/>
          <w:sz w:val="24"/>
          <w:szCs w:val="24"/>
        </w:rPr>
        <w:t xml:space="preserve">  ii)谈判中的把握与协调</w:t>
      </w:r>
    </w:p>
    <w:p>
      <w:pPr>
        <w:jc w:val="left"/>
        <w:rPr>
          <w:rFonts w:ascii="仿宋_GB2312" w:eastAsia="仿宋_GB2312"/>
          <w:sz w:val="24"/>
          <w:szCs w:val="24"/>
        </w:rPr>
      </w:pPr>
      <w:r>
        <w:rPr>
          <w:rFonts w:hint="eastAsia" w:ascii="仿宋_GB2312" w:eastAsia="仿宋_GB2312"/>
          <w:sz w:val="24"/>
          <w:szCs w:val="24"/>
        </w:rPr>
        <w:t xml:space="preserve">     注意团队协助，杜绝谈判英雄</w:t>
      </w:r>
    </w:p>
    <w:p>
      <w:pPr>
        <w:jc w:val="left"/>
        <w:rPr>
          <w:rFonts w:ascii="仿宋_GB2312" w:eastAsia="仿宋_GB2312"/>
          <w:sz w:val="24"/>
          <w:szCs w:val="24"/>
        </w:rPr>
      </w:pPr>
      <w:r>
        <w:rPr>
          <w:rFonts w:hint="eastAsia" w:ascii="仿宋_GB2312" w:eastAsia="仿宋_GB2312"/>
          <w:sz w:val="24"/>
          <w:szCs w:val="24"/>
        </w:rPr>
        <w:t xml:space="preserve">     在没有明白之前不要顺意表露自己的观点</w:t>
      </w:r>
    </w:p>
    <w:p>
      <w:pPr>
        <w:jc w:val="left"/>
        <w:rPr>
          <w:rFonts w:ascii="仿宋_GB2312" w:eastAsia="仿宋_GB2312"/>
          <w:sz w:val="24"/>
          <w:szCs w:val="24"/>
        </w:rPr>
      </w:pPr>
      <w:r>
        <w:rPr>
          <w:rFonts w:hint="eastAsia" w:ascii="仿宋_GB2312" w:eastAsia="仿宋_GB2312"/>
          <w:sz w:val="24"/>
          <w:szCs w:val="24"/>
        </w:rPr>
        <w:t xml:space="preserve">     谈判礼仪与察言观色</w:t>
      </w:r>
    </w:p>
    <w:p>
      <w:pPr>
        <w:jc w:val="left"/>
        <w:rPr>
          <w:rFonts w:ascii="仿宋_GB2312" w:eastAsia="仿宋_GB2312"/>
          <w:sz w:val="24"/>
          <w:szCs w:val="24"/>
        </w:rPr>
      </w:pPr>
      <w:r>
        <w:rPr>
          <w:rFonts w:hint="eastAsia" w:ascii="仿宋_GB2312" w:eastAsia="仿宋_GB2312"/>
          <w:sz w:val="24"/>
          <w:szCs w:val="24"/>
        </w:rPr>
        <w:t xml:space="preserve">     案例分析</w:t>
      </w:r>
    </w:p>
    <w:p>
      <w:pPr>
        <w:jc w:val="left"/>
        <w:rPr>
          <w:rFonts w:ascii="仿宋_GB2312" w:eastAsia="仿宋_GB2312"/>
          <w:sz w:val="24"/>
          <w:szCs w:val="24"/>
        </w:rPr>
      </w:pPr>
      <w:r>
        <w:rPr>
          <w:rFonts w:hint="eastAsia" w:ascii="仿宋_GB2312" w:eastAsia="仿宋_GB2312"/>
          <w:sz w:val="24"/>
          <w:szCs w:val="24"/>
        </w:rPr>
        <w:t xml:space="preserve">  iii) 谈判的关键控制</w:t>
      </w:r>
    </w:p>
    <w:p>
      <w:pPr>
        <w:jc w:val="left"/>
        <w:rPr>
          <w:rFonts w:ascii="仿宋_GB2312" w:eastAsia="仿宋_GB2312"/>
          <w:sz w:val="24"/>
          <w:szCs w:val="24"/>
        </w:rPr>
      </w:pPr>
      <w:r>
        <w:rPr>
          <w:rFonts w:hint="eastAsia" w:ascii="仿宋_GB2312" w:eastAsia="仿宋_GB2312"/>
          <w:sz w:val="24"/>
          <w:szCs w:val="24"/>
        </w:rPr>
        <w:t>8大让步技巧</w:t>
      </w:r>
    </w:p>
    <w:p>
      <w:pPr>
        <w:jc w:val="left"/>
        <w:rPr>
          <w:rFonts w:ascii="仿宋_GB2312" w:eastAsia="仿宋_GB2312"/>
          <w:sz w:val="24"/>
          <w:szCs w:val="24"/>
        </w:rPr>
      </w:pPr>
      <w:r>
        <w:rPr>
          <w:rFonts w:hint="eastAsia" w:ascii="仿宋_GB2312" w:eastAsia="仿宋_GB2312"/>
          <w:sz w:val="24"/>
          <w:szCs w:val="24"/>
        </w:rPr>
        <w:t>提问与沟通</w:t>
      </w:r>
    </w:p>
    <w:p>
      <w:pPr>
        <w:jc w:val="left"/>
        <w:rPr>
          <w:rFonts w:ascii="仿宋_GB2312" w:eastAsia="仿宋_GB2312"/>
          <w:sz w:val="24"/>
          <w:szCs w:val="24"/>
        </w:rPr>
      </w:pPr>
      <w:r>
        <w:rPr>
          <w:rFonts w:hint="eastAsia" w:ascii="仿宋_GB2312" w:eastAsia="仿宋_GB2312"/>
          <w:sz w:val="24"/>
          <w:szCs w:val="24"/>
        </w:rPr>
        <w:t>案例分析</w:t>
      </w:r>
    </w:p>
    <w:p>
      <w:pPr>
        <w:jc w:val="left"/>
        <w:rPr>
          <w:rFonts w:ascii="仿宋_GB2312" w:eastAsia="仿宋_GB2312"/>
          <w:sz w:val="24"/>
          <w:szCs w:val="24"/>
        </w:rPr>
      </w:pPr>
      <w:r>
        <w:rPr>
          <w:rFonts w:hint="eastAsia" w:ascii="仿宋_GB2312" w:eastAsia="仿宋_GB2312"/>
          <w:sz w:val="24"/>
          <w:szCs w:val="24"/>
        </w:rPr>
        <w:t>iiii)结束谈判的艺术</w:t>
      </w:r>
    </w:p>
    <w:p>
      <w:pPr>
        <w:jc w:val="left"/>
        <w:rPr>
          <w:rFonts w:ascii="仿宋_GB2312" w:eastAsia="仿宋_GB2312"/>
          <w:sz w:val="24"/>
          <w:szCs w:val="24"/>
        </w:rPr>
      </w:pPr>
      <w:r>
        <w:rPr>
          <w:rFonts w:hint="eastAsia" w:ascii="仿宋_GB2312" w:eastAsia="仿宋_GB2312"/>
          <w:sz w:val="24"/>
          <w:szCs w:val="24"/>
        </w:rPr>
        <w:t>肯定与期待的使用技法</w:t>
      </w:r>
    </w:p>
    <w:p>
      <w:pPr>
        <w:jc w:val="left"/>
        <w:rPr>
          <w:rFonts w:ascii="仿宋_GB2312" w:eastAsia="仿宋_GB2312"/>
          <w:sz w:val="24"/>
          <w:szCs w:val="24"/>
        </w:rPr>
      </w:pPr>
      <w:r>
        <w:rPr>
          <w:rFonts w:hint="eastAsia" w:ascii="仿宋_GB2312" w:eastAsia="仿宋_GB2312"/>
          <w:sz w:val="24"/>
          <w:szCs w:val="24"/>
        </w:rPr>
        <w:t>建立“标准-现实”法则</w:t>
      </w:r>
    </w:p>
    <w:p>
      <w:pPr>
        <w:jc w:val="left"/>
        <w:rPr>
          <w:rFonts w:ascii="仿宋_GB2312" w:eastAsia="仿宋_GB2312"/>
          <w:sz w:val="24"/>
          <w:szCs w:val="24"/>
        </w:rPr>
      </w:pPr>
      <w:r>
        <w:rPr>
          <w:rFonts w:hint="eastAsia" w:ascii="仿宋_GB2312" w:eastAsia="仿宋_GB2312"/>
          <w:sz w:val="24"/>
          <w:szCs w:val="24"/>
        </w:rPr>
        <w:t xml:space="preserve">突破僵局的共同解决问题法 </w:t>
      </w:r>
    </w:p>
    <w:p>
      <w:pPr>
        <w:jc w:val="left"/>
        <w:rPr>
          <w:rFonts w:ascii="仿宋_GB2312" w:eastAsia="仿宋_GB2312"/>
          <w:sz w:val="24"/>
          <w:szCs w:val="24"/>
        </w:rPr>
      </w:pPr>
      <w:r>
        <w:rPr>
          <w:rFonts w:hint="eastAsia" w:ascii="仿宋_GB2312" w:eastAsia="仿宋_GB2312"/>
          <w:sz w:val="24"/>
          <w:szCs w:val="24"/>
        </w:rPr>
        <w:t>勾画达成协议</w:t>
      </w:r>
    </w:p>
    <w:p>
      <w:pPr>
        <w:jc w:val="left"/>
        <w:rPr>
          <w:rFonts w:ascii="仿宋_GB2312" w:eastAsia="仿宋_GB2312"/>
          <w:sz w:val="24"/>
          <w:szCs w:val="24"/>
        </w:rPr>
      </w:pPr>
      <w:r>
        <w:rPr>
          <w:rFonts w:hint="eastAsia" w:ascii="仿宋_GB2312" w:eastAsia="仿宋_GB2312"/>
          <w:sz w:val="24"/>
          <w:szCs w:val="24"/>
        </w:rPr>
        <w:t>冲出困境</w:t>
      </w:r>
    </w:p>
    <w:p>
      <w:pPr>
        <w:jc w:val="left"/>
        <w:rPr>
          <w:rFonts w:ascii="仿宋_GB2312" w:eastAsia="仿宋_GB2312"/>
          <w:sz w:val="24"/>
          <w:szCs w:val="24"/>
        </w:rPr>
      </w:pPr>
      <w:r>
        <w:rPr>
          <w:rFonts w:hint="eastAsia" w:ascii="仿宋_GB2312" w:eastAsia="仿宋_GB2312"/>
          <w:sz w:val="24"/>
          <w:szCs w:val="24"/>
        </w:rPr>
        <w:t xml:space="preserve">三种类型的谈判伎俩及破解 </w:t>
      </w:r>
    </w:p>
    <w:p>
      <w:pPr>
        <w:jc w:val="left"/>
        <w:rPr>
          <w:rFonts w:ascii="仿宋_GB2312" w:eastAsia="仿宋_GB2312"/>
          <w:sz w:val="24"/>
          <w:szCs w:val="24"/>
        </w:rPr>
      </w:pPr>
      <w:r>
        <w:rPr>
          <w:rFonts w:hint="eastAsia" w:ascii="仿宋_GB2312" w:eastAsia="仿宋_GB2312"/>
          <w:sz w:val="24"/>
          <w:szCs w:val="24"/>
        </w:rPr>
        <w:t>案例：实战谈判演练</w:t>
      </w:r>
    </w:p>
    <w:p/>
    <w:p/>
    <w:p>
      <w:r>
        <w:pict>
          <v:rect id="矩形 1" o:spid="_x0000_s1028" o:spt="1" style="position:absolute;left:0pt;margin-left:-56.1pt;margin-top:4.3pt;height:52.45pt;width:166.45pt;z-index:252561408;v-text-anchor:middle;mso-width-relative:page;mso-height-relative:page;" fillcolor="#DE0000" filled="t" stroked="f" coordsize="21600,21600" o:gfxdata="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ZxRGNsAAAALAQAADwAAAAAAAAABACAAAAAiAAAAZHJzL2Rvd25yZXYueG1sUEsBAhQAFAAAAAgA&#10;h07iQCrnvW1bAgAAlgQAAA4AAAAAAAAAAQAgAAAAKgEAAGRycy9lMm9Eb2MueG1sUEsFBgAAAAAG&#10;AAYAWQEAAPcFA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讲师介绍</w:t>
                  </w:r>
                </w:p>
              </w:txbxContent>
            </v:textbox>
          </v:rect>
        </w:pict>
      </w:r>
    </w:p>
    <w:p/>
    <w:p>
      <w:pPr>
        <w:rPr>
          <w:rFonts w:eastAsiaTheme="minorEastAsia"/>
        </w:rPr>
      </w:pPr>
      <w:r>
        <w:pict>
          <v:shape id="文本框 2" o:spid="_x0000_s1027" o:spt="202" type="#_x0000_t202" style="position:absolute;left:0pt;margin-left:143.65pt;margin-top:11.7pt;height:204.95pt;width:316.6pt;z-index:252563456;mso-width-relative:page;mso-height-relative:page;" fillcolor="#FFFFFF" filled="t" stroked="f" coordsize="21600,21600" o:gfxdata="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wLfW9gAAAAKAQAADwAAAAAAAAABACAAAAAiAAAAZHJzL2Rvd25yZXYueG1sUEsBAhQAFAAA&#10;AAgAh07iQKG6QeS2AQAAQgMAAA4AAAAAAAAAAQAgAAAAJwEAAGRycy9lMm9Eb2MueG1sUEsFBgAA&#10;AAAGAAYAWQEAAE8FAAAAAA==&#10;">
            <v:path/>
            <v:fill on="t" color2="#FFFFFF" focussize="0,0"/>
            <v:stroke on="f"/>
            <v:imagedata o:title=""/>
            <o:lock v:ext="edit" aspectratio="f"/>
            <v:textbox>
              <w:txbxContent>
                <w:p>
                  <w:pPr>
                    <w:spacing w:line="276" w:lineRule="auto"/>
                    <w:rPr>
                      <w:rFonts w:ascii="微软雅黑" w:hAnsi="微软雅黑" w:eastAsia="微软雅黑"/>
                      <w:b/>
                      <w:color w:val="C00000"/>
                    </w:rPr>
                  </w:pPr>
                  <w:r>
                    <w:rPr>
                      <w:rFonts w:hint="eastAsia" w:ascii="微软雅黑" w:hAnsi="微软雅黑" w:eastAsia="微软雅黑"/>
                      <w:b/>
                      <w:color w:val="C00000"/>
                      <w:sz w:val="48"/>
                      <w:szCs w:val="48"/>
                    </w:rPr>
                    <w:t>柳荣</w:t>
                  </w:r>
                  <w:r>
                    <w:rPr>
                      <w:rFonts w:hint="eastAsia" w:ascii="微软雅黑" w:hAnsi="微软雅黑" w:eastAsia="微软雅黑"/>
                      <w:b/>
                      <w:color w:val="C00000"/>
                      <w:sz w:val="28"/>
                      <w:szCs w:val="28"/>
                    </w:rPr>
                    <w:t>——原三菱集团采购经理和制造总监</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原三菱制造部长、采购与供应链总监</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国内知名实战采购供应链与精益化管理顾问</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华夏管理培训网特聘制造管理类首席顾问</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中国制造业管理在线特约管理专家</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清华大学/中山大学/华南理工大学/人大商学院EDP/浙江大学制造总监班、MBA专家团成员 </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香港国际经济管理学院客座教授</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香港企业生产力协会顾问</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多家企业集团总裁私人企业发展运作顾问</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《经理人》等多家知名媒体的特约撰稿人</w:t>
                  </w:r>
                </w:p>
                <w:p>
                  <w:pPr>
                    <w:spacing w:line="460" w:lineRule="exact"/>
                    <w:jc w:val="left"/>
                    <w:rPr>
                      <w:rFonts w:ascii="微软雅黑" w:hAnsi="微软雅黑" w:eastAsia="微软雅黑"/>
                    </w:rPr>
                  </w:pPr>
                </w:p>
              </w:txbxContent>
            </v:textbox>
          </v:shape>
        </w:pict>
      </w:r>
    </w:p>
    <w:p>
      <w:pPr>
        <w:rPr>
          <w:rFonts w:eastAsiaTheme="minorEastAsia"/>
        </w:rPr>
      </w:pPr>
    </w:p>
    <w:p>
      <w:pPr>
        <w:rPr>
          <w:rFonts w:eastAsiaTheme="minorEastAsia"/>
        </w:rPr>
      </w:pPr>
    </w:p>
    <w:p>
      <w:pPr>
        <w:rPr>
          <w:rFonts w:eastAsiaTheme="minorEastAsia"/>
        </w:rPr>
      </w:pPr>
    </w:p>
    <w:p>
      <w:pPr>
        <w:rPr>
          <w:rFonts w:ascii="微软雅黑" w:hAnsi="微软雅黑" w:eastAsia="微软雅黑"/>
        </w:rPr>
      </w:pPr>
      <w:r>
        <w:rPr>
          <w:rFonts w:ascii="微软雅黑" w:hAnsi="微软雅黑" w:eastAsia="微软雅黑"/>
        </w:rPr>
        <w:drawing>
          <wp:anchor distT="0" distB="0" distL="114300" distR="114300" simplePos="0" relativeHeight="252566528" behindDoc="0" locked="0" layoutInCell="1" allowOverlap="1">
            <wp:simplePos x="0" y="0"/>
            <wp:positionH relativeFrom="column">
              <wp:posOffset>-607695</wp:posOffset>
            </wp:positionH>
            <wp:positionV relativeFrom="paragraph">
              <wp:posOffset>163830</wp:posOffset>
            </wp:positionV>
            <wp:extent cx="2146935" cy="2152650"/>
            <wp:effectExtent l="19050" t="0" r="5715" b="0"/>
            <wp:wrapSquare wrapText="bothSides"/>
            <wp:docPr id="1" name="图片 0" descr="柳荣n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柳荣nnnn.jpg"/>
                    <pic:cNvPicPr>
                      <a:picLocks noChangeAspect="1"/>
                    </pic:cNvPicPr>
                  </pic:nvPicPr>
                  <pic:blipFill>
                    <a:blip r:embed="rId11" cstate="print"/>
                    <a:stretch>
                      <a:fillRect/>
                    </a:stretch>
                  </pic:blipFill>
                  <pic:spPr>
                    <a:xfrm>
                      <a:off x="0" y="0"/>
                      <a:ext cx="2146935" cy="2152650"/>
                    </a:xfrm>
                    <a:prstGeom prst="rect">
                      <a:avLst/>
                    </a:prstGeom>
                  </pic:spPr>
                </pic:pic>
              </a:graphicData>
            </a:graphic>
          </wp:anchor>
        </w:drawing>
      </w:r>
    </w:p>
    <w:p>
      <w:pPr>
        <w:ind w:right="-420" w:rightChars="-200"/>
        <w:rPr>
          <w:rFonts w:ascii="微软雅黑" w:hAnsi="微软雅黑" w:eastAsia="微软雅黑"/>
          <w:color w:val="C00000"/>
          <w:sz w:val="28"/>
          <w:szCs w:val="28"/>
        </w:rPr>
      </w:pPr>
    </w:p>
    <w:p>
      <w:pPr>
        <w:ind w:left="-420" w:leftChars="-200" w:right="-420" w:rightChars="-200"/>
        <w:rPr>
          <w:rFonts w:hint="eastAsia" w:ascii="微软雅黑" w:hAnsi="微软雅黑" w:eastAsia="微软雅黑"/>
          <w:b/>
          <w:bCs/>
          <w:color w:val="C00000"/>
          <w:sz w:val="28"/>
          <w:szCs w:val="28"/>
        </w:rPr>
      </w:pPr>
    </w:p>
    <w:p>
      <w:pPr>
        <w:ind w:left="-420" w:leftChars="-200" w:right="-420" w:rightChars="-200"/>
        <w:rPr>
          <w:rFonts w:hint="eastAsia" w:ascii="微软雅黑" w:hAnsi="微软雅黑" w:eastAsia="微软雅黑"/>
          <w:b/>
          <w:bCs/>
          <w:color w:val="C00000"/>
          <w:sz w:val="28"/>
          <w:szCs w:val="28"/>
        </w:rPr>
      </w:pPr>
    </w:p>
    <w:p>
      <w:pPr>
        <w:ind w:left="-420" w:leftChars="-200" w:right="-420" w:rightChars="-200"/>
        <w:rPr>
          <w:rFonts w:hint="eastAsia" w:ascii="微软雅黑" w:hAnsi="微软雅黑" w:eastAsia="微软雅黑"/>
          <w:b/>
          <w:bCs/>
          <w:color w:val="C00000"/>
          <w:sz w:val="28"/>
          <w:szCs w:val="28"/>
        </w:rPr>
      </w:pPr>
    </w:p>
    <w:p>
      <w:pPr>
        <w:ind w:left="-420" w:leftChars="-200" w:right="-420" w:rightChars="-200"/>
        <w:rPr>
          <w:rFonts w:hint="eastAsia" w:ascii="微软雅黑" w:hAnsi="微软雅黑" w:eastAsia="微软雅黑"/>
          <w:b/>
          <w:bCs/>
          <w:color w:val="C00000"/>
          <w:sz w:val="28"/>
          <w:szCs w:val="28"/>
        </w:rPr>
      </w:pPr>
    </w:p>
    <w:p>
      <w:pPr>
        <w:ind w:left="-420" w:leftChars="-200" w:right="-420" w:rightChars="-200"/>
        <w:rPr>
          <w:rFonts w:hint="eastAsia" w:ascii="微软雅黑" w:hAnsi="微软雅黑" w:eastAsia="微软雅黑"/>
          <w:b/>
          <w:bCs/>
          <w:color w:val="C00000"/>
          <w:sz w:val="28"/>
          <w:szCs w:val="28"/>
        </w:rPr>
      </w:pPr>
    </w:p>
    <w:p>
      <w:pPr>
        <w:ind w:left="-420" w:leftChars="-200" w:right="-420" w:rightChars="-200"/>
        <w:rPr>
          <w:rFonts w:hint="eastAsia" w:ascii="微软雅黑" w:hAnsi="微软雅黑" w:eastAsia="微软雅黑"/>
          <w:b/>
          <w:bCs/>
          <w:color w:val="C00000"/>
          <w:sz w:val="28"/>
          <w:szCs w:val="28"/>
        </w:rPr>
      </w:pPr>
    </w:p>
    <w:p>
      <w:pPr>
        <w:ind w:right="-420" w:rightChars="-200"/>
        <w:rPr>
          <w:rFonts w:hint="eastAsia" w:ascii="微软雅黑" w:hAnsi="微软雅黑" w:eastAsia="微软雅黑"/>
          <w:b/>
          <w:bCs/>
          <w:color w:val="C00000"/>
          <w:sz w:val="28"/>
          <w:szCs w:val="28"/>
        </w:rPr>
      </w:pPr>
    </w:p>
    <w:p>
      <w:pPr>
        <w:ind w:left="-420" w:leftChars="-200" w:right="-420" w:rightChars="-200"/>
        <w:rPr>
          <w:rFonts w:ascii="微软雅黑" w:hAnsi="微软雅黑" w:eastAsia="微软雅黑"/>
          <w:b/>
          <w:bCs/>
          <w:color w:val="C00000"/>
          <w:sz w:val="28"/>
          <w:szCs w:val="28"/>
        </w:rPr>
      </w:pPr>
      <w:r>
        <w:rPr>
          <w:rFonts w:hint="eastAsia" w:ascii="微软雅黑" w:hAnsi="微软雅黑" w:eastAsia="微软雅黑"/>
          <w:b/>
          <w:bCs/>
          <w:color w:val="C00000"/>
          <w:sz w:val="28"/>
          <w:szCs w:val="28"/>
        </w:rPr>
        <w:t>授课风格：</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柳老师主讲的课程以观念和实务为特色，大量列举常见事例丰富课程讲解，主题鲜明、事例生动，理论部分观点新颖，常有惊人之语；实务部分主要由十余年的企业管理和职业顾问经历所积累的丰富案例为主，其演绎充满活力、富有激情、极具感染力，贴近企业的实际需要。</w:t>
      </w:r>
    </w:p>
    <w:p>
      <w:pPr>
        <w:ind w:left="-420" w:leftChars="-200" w:right="-420" w:rightChars="-200"/>
        <w:rPr>
          <w:rFonts w:ascii="微软雅黑" w:hAnsi="微软雅黑" w:eastAsia="微软雅黑"/>
          <w:sz w:val="24"/>
          <w:szCs w:val="24"/>
        </w:rPr>
      </w:pPr>
    </w:p>
    <w:p>
      <w:pPr>
        <w:ind w:left="-420" w:leftChars="-200" w:right="-420" w:rightChars="-200"/>
        <w:rPr>
          <w:rFonts w:ascii="微软雅黑" w:hAnsi="微软雅黑" w:eastAsia="微软雅黑"/>
          <w:b/>
          <w:color w:val="C00000"/>
          <w:sz w:val="32"/>
          <w:szCs w:val="32"/>
        </w:rPr>
      </w:pPr>
      <w:r>
        <w:rPr>
          <w:rFonts w:hint="eastAsia" w:ascii="微软雅黑" w:hAnsi="微软雅黑" w:eastAsia="微软雅黑"/>
          <w:b/>
          <w:color w:val="C00000"/>
          <w:sz w:val="32"/>
          <w:szCs w:val="32"/>
        </w:rPr>
        <w:t>服务客户</w:t>
      </w:r>
    </w:p>
    <w:p>
      <w:pPr>
        <w:spacing w:line="32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汽大众、广州本田、东风日产、东风汽车、江铃汽车、宇通客车、中兴汽车、海信电子、海尔集团、厦新电子、美的电器、高科集团、戴尔DELL、富士施乐、信利集团、深开发股份、赛尔康、精诚股份、南太集团、中国电子54所、三一重工、蒂森电梯、爱默生、大洋电机、TDK、OKI电气、麦克维尔、广州地铁、蒙牛乳业、伊利乳液、圣元乳液、金丝猴集团、青岛啤酒、中国电信、万华股份、丝丽雅集团、富裕塑胶、松泽集团、SOLA镜片、横店集团、当利纳印刷、南方包装、天威集团、安踏鞋业、七匹狼、东软股份、中国石油、中国航油、中国移动、中国南车、华帝集团。</w:t>
      </w:r>
    </w:p>
    <w:p>
      <w:pPr>
        <w:spacing w:line="320" w:lineRule="exact"/>
        <w:ind w:firstLine="420"/>
        <w:rPr>
          <w:rFonts w:hint="eastAsia" w:asciiTheme="minorEastAsia" w:hAnsiTheme="minorEastAsia" w:eastAsiaTheme="minorEastAsia" w:cstheme="minorEastAsia"/>
          <w:sz w:val="21"/>
          <w:szCs w:val="21"/>
        </w:rPr>
      </w:pPr>
    </w:p>
    <w:p>
      <w:pPr>
        <w:spacing w:line="320" w:lineRule="exact"/>
        <w:ind w:firstLine="420"/>
        <w:rPr>
          <w:rFonts w:hint="eastAsia" w:asciiTheme="minorEastAsia" w:hAnsiTheme="minorEastAsia" w:eastAsiaTheme="minorEastAsia" w:cstheme="minorEastAsia"/>
          <w:sz w:val="21"/>
          <w:szCs w:val="21"/>
        </w:rPr>
      </w:pPr>
    </w:p>
    <w:p>
      <w:pPr>
        <w:spacing w:line="320" w:lineRule="exact"/>
        <w:ind w:firstLine="420"/>
        <w:rPr>
          <w:rFonts w:hint="eastAsia" w:asciiTheme="minorEastAsia" w:hAnsiTheme="minorEastAsia" w:eastAsiaTheme="minorEastAsia" w:cstheme="minorEastAsia"/>
          <w:sz w:val="21"/>
          <w:szCs w:val="21"/>
        </w:rPr>
      </w:pPr>
    </w:p>
    <w:p>
      <w:pPr>
        <w:spacing w:line="320" w:lineRule="exact"/>
        <w:ind w:firstLine="420"/>
        <w:rPr>
          <w:rFonts w:hint="eastAsia" w:asciiTheme="minorEastAsia" w:hAnsiTheme="minorEastAsia" w:eastAsiaTheme="minorEastAsia" w:cstheme="minorEastAsia"/>
          <w:sz w:val="21"/>
          <w:szCs w:val="21"/>
        </w:rPr>
      </w:pPr>
    </w:p>
    <w:p>
      <w:pPr>
        <w:ind w:left="-420" w:leftChars="-200" w:right="-420" w:rightChars="-200"/>
        <w:jc w:val="center"/>
        <w:rPr>
          <w:rFonts w:ascii="微软雅黑" w:hAnsi="微软雅黑" w:eastAsia="微软雅黑"/>
          <w:b/>
          <w:bCs/>
          <w:color w:val="404040"/>
          <w:sz w:val="28"/>
          <w:szCs w:val="28"/>
        </w:rPr>
      </w:pPr>
      <w:r>
        <w:rPr>
          <w:rFonts w:hint="eastAsia" w:ascii="微软雅黑" w:hAnsi="微软雅黑" w:eastAsia="微软雅黑"/>
          <w:b/>
          <w:bCs/>
          <w:color w:val="404040"/>
          <w:sz w:val="28"/>
          <w:szCs w:val="28"/>
        </w:rPr>
        <w:t>《供应商管理与采购谈判技巧》报名表</w:t>
      </w:r>
    </w:p>
    <w:p>
      <w:pPr>
        <w:spacing w:line="360" w:lineRule="exact"/>
        <w:rPr>
          <w:rFonts w:ascii="微软雅黑" w:hAnsi="微软雅黑" w:eastAsia="微软雅黑"/>
          <w:color w:val="C00000"/>
          <w:sz w:val="18"/>
          <w:szCs w:val="18"/>
        </w:rPr>
      </w:pPr>
      <w:r>
        <w:rPr>
          <w:rFonts w:hint="eastAsia" w:ascii="微软雅黑" w:hAnsi="微软雅黑" w:eastAsia="微软雅黑"/>
          <w:b/>
          <w:color w:val="C00000"/>
          <w:sz w:val="18"/>
          <w:szCs w:val="18"/>
        </w:rPr>
        <w:t>填好下表后邮箱至：                         联系方式：</w:t>
      </w:r>
      <w:r>
        <w:rPr>
          <w:rFonts w:ascii="微软雅黑" w:hAnsi="微软雅黑" w:eastAsia="微软雅黑"/>
          <w:color w:val="C00000"/>
          <w:sz w:val="18"/>
          <w:szCs w:val="18"/>
        </w:rPr>
        <w:t xml:space="preserve"> </w:t>
      </w:r>
    </w:p>
    <w:tbl>
      <w:tblPr>
        <w:tblStyle w:val="7"/>
        <w:tblW w:w="82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18" w:type="dxa"/>
          </w:tcPr>
          <w:p>
            <w:pPr>
              <w:spacing w:line="400" w:lineRule="exact"/>
              <w:jc w:val="center"/>
              <w:rPr>
                <w:rStyle w:val="11"/>
                <w:rFonts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Pr>
          <w:p>
            <w:pPr>
              <w:spacing w:line="400" w:lineRule="exact"/>
              <w:rPr>
                <w:rStyle w:val="11"/>
                <w:rFonts w:ascii="微软雅黑" w:hAnsi="微软雅黑" w:eastAsia="微软雅黑"/>
                <w:b w:val="0"/>
                <w:bCs w:val="0"/>
                <w:sz w:val="18"/>
                <w:szCs w:val="18"/>
              </w:rPr>
            </w:pPr>
          </w:p>
        </w:tc>
        <w:tc>
          <w:tcPr>
            <w:tcW w:w="4353" w:type="dxa"/>
            <w:gridSpan w:val="2"/>
          </w:tcPr>
          <w:p>
            <w:pPr>
              <w:spacing w:line="400" w:lineRule="exact"/>
              <w:rPr>
                <w:rStyle w:val="11"/>
                <w:rFonts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Pr>
          <w:p>
            <w:pPr>
              <w:spacing w:line="400" w:lineRule="exact"/>
              <w:rPr>
                <w:rStyle w:val="11"/>
                <w:rFonts w:ascii="微软雅黑" w:hAnsi="微软雅黑" w:eastAsia="微软雅黑"/>
                <w:b w:val="0"/>
                <w:bCs w:val="0"/>
                <w:sz w:val="18"/>
                <w:szCs w:val="18"/>
              </w:rPr>
            </w:pPr>
          </w:p>
        </w:tc>
        <w:tc>
          <w:tcPr>
            <w:tcW w:w="1800" w:type="dxa"/>
          </w:tcPr>
          <w:p>
            <w:pPr>
              <w:spacing w:line="400" w:lineRule="exact"/>
              <w:jc w:val="center"/>
              <w:rPr>
                <w:rStyle w:val="11"/>
                <w:rFonts w:ascii="微软雅黑" w:hAnsi="微软雅黑" w:eastAsia="微软雅黑"/>
                <w:b w:val="0"/>
                <w:bCs w:val="0"/>
                <w:sz w:val="18"/>
                <w:szCs w:val="18"/>
              </w:rPr>
            </w:pPr>
            <w:r>
              <w:rPr>
                <w:rStyle w:val="11"/>
                <w:rFonts w:ascii="微软雅黑" w:hAnsi="微软雅黑" w:eastAsia="微软雅黑"/>
                <w:b w:val="0"/>
                <w:bCs w:val="0"/>
                <w:sz w:val="18"/>
                <w:szCs w:val="18"/>
              </w:rPr>
              <w:t>公司地址</w:t>
            </w:r>
          </w:p>
        </w:tc>
        <w:tc>
          <w:tcPr>
            <w:tcW w:w="2553" w:type="dxa"/>
          </w:tcPr>
          <w:p>
            <w:pPr>
              <w:spacing w:line="400" w:lineRule="exact"/>
              <w:rPr>
                <w:rStyle w:val="11"/>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Pr>
          <w:p>
            <w:pPr>
              <w:spacing w:line="400" w:lineRule="exact"/>
              <w:rPr>
                <w:rStyle w:val="11"/>
                <w:rFonts w:ascii="微软雅黑" w:hAnsi="微软雅黑" w:eastAsia="微软雅黑"/>
                <w:b w:val="0"/>
                <w:bCs w:val="0"/>
                <w:sz w:val="18"/>
                <w:szCs w:val="18"/>
              </w:rPr>
            </w:pPr>
          </w:p>
        </w:tc>
        <w:tc>
          <w:tcPr>
            <w:tcW w:w="1800" w:type="dxa"/>
          </w:tcPr>
          <w:p>
            <w:pPr>
              <w:spacing w:line="400" w:lineRule="exact"/>
              <w:jc w:val="center"/>
              <w:rPr>
                <w:rStyle w:val="11"/>
                <w:rFonts w:ascii="微软雅黑" w:hAnsi="微软雅黑" w:eastAsia="微软雅黑"/>
                <w:b w:val="0"/>
                <w:bCs w:val="0"/>
                <w:sz w:val="18"/>
                <w:szCs w:val="18"/>
              </w:rPr>
            </w:pPr>
            <w:r>
              <w:rPr>
                <w:rStyle w:val="11"/>
                <w:rFonts w:ascii="微软雅黑" w:hAnsi="微软雅黑" w:eastAsia="微软雅黑"/>
                <w:b w:val="0"/>
                <w:bCs w:val="0"/>
                <w:sz w:val="18"/>
                <w:szCs w:val="18"/>
              </w:rPr>
              <w:t>E-mail</w:t>
            </w:r>
          </w:p>
        </w:tc>
        <w:tc>
          <w:tcPr>
            <w:tcW w:w="2553" w:type="dxa"/>
          </w:tcPr>
          <w:p>
            <w:pPr>
              <w:spacing w:line="400" w:lineRule="exact"/>
              <w:rPr>
                <w:rStyle w:val="11"/>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Pr>
          <w:p>
            <w:pPr>
              <w:spacing w:line="400" w:lineRule="exact"/>
              <w:ind w:firstLine="450" w:firstLineChars="250"/>
              <w:rPr>
                <w:rFonts w:ascii="微软雅黑" w:hAnsi="微软雅黑" w:eastAsia="微软雅黑"/>
                <w:sz w:val="18"/>
                <w:szCs w:val="18"/>
              </w:rPr>
            </w:pPr>
            <w:r>
              <w:rPr>
                <w:rFonts w:hint="eastAsia" w:ascii="微软雅黑" w:hAnsi="微软雅黑" w:eastAsia="微软雅黑"/>
                <w:sz w:val="18"/>
                <w:szCs w:val="18"/>
                <w:u w:val="single"/>
              </w:rPr>
              <w:t xml:space="preserve">          </w:t>
            </w:r>
            <w:r>
              <w:rPr>
                <w:rFonts w:hint="eastAsia" w:ascii="微软雅黑" w:hAnsi="微软雅黑" w:eastAsia="微软雅黑"/>
                <w:sz w:val="18"/>
                <w:szCs w:val="18"/>
              </w:rPr>
              <w:t>人</w:t>
            </w:r>
          </w:p>
        </w:tc>
        <w:tc>
          <w:tcPr>
            <w:tcW w:w="1800"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参会费用</w:t>
            </w:r>
          </w:p>
        </w:tc>
        <w:tc>
          <w:tcPr>
            <w:tcW w:w="2553" w:type="dxa"/>
          </w:tcPr>
          <w:p>
            <w:pPr>
              <w:spacing w:line="40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418" w:type="dxa"/>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请将款项</w:t>
            </w:r>
          </w:p>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Pr>
          <w:p>
            <w:pPr>
              <w:spacing w:line="400" w:lineRule="exact"/>
              <w:rPr>
                <w:rFonts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spacing w:line="400" w:lineRule="exact"/>
              <w:rPr>
                <w:rFonts w:ascii="微软雅黑" w:hAnsi="微软雅黑" w:eastAsia="微软雅黑"/>
                <w:sz w:val="18"/>
                <w:szCs w:val="18"/>
              </w:rPr>
            </w:pPr>
            <w:r>
              <w:rPr>
                <w:rFonts w:hint="eastAsia" w:ascii="微软雅黑" w:hAnsi="微软雅黑" w:eastAsia="微软雅黑"/>
                <w:sz w:val="18"/>
                <w:szCs w:val="18"/>
              </w:rPr>
              <w:t>开户行：中国建设银行广州琶洲支行</w:t>
            </w:r>
          </w:p>
          <w:p>
            <w:pPr>
              <w:spacing w:line="400" w:lineRule="exact"/>
              <w:rPr>
                <w:rFonts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18" w:type="dxa"/>
            <w:vMerge w:val="restart"/>
          </w:tcPr>
          <w:p>
            <w:pPr>
              <w:widowControl/>
              <w:jc w:val="left"/>
              <w:rPr>
                <w:sz w:val="18"/>
                <w:szCs w:val="18"/>
              </w:rPr>
            </w:pPr>
          </w:p>
          <w:p>
            <w:pPr>
              <w:widowControl/>
              <w:jc w:val="center"/>
              <w:rPr>
                <w:rFonts w:ascii="微软雅黑" w:hAnsi="微软雅黑" w:eastAsia="微软雅黑"/>
                <w:sz w:val="18"/>
                <w:szCs w:val="18"/>
              </w:rPr>
            </w:pPr>
            <w:r>
              <w:rPr>
                <w:rFonts w:hint="eastAsia" w:ascii="微软雅黑" w:hAnsi="微软雅黑" w:eastAsia="微软雅黑"/>
                <w:sz w:val="18"/>
                <w:szCs w:val="18"/>
              </w:rPr>
              <w:t>参会学员</w:t>
            </w:r>
          </w:p>
        </w:tc>
        <w:tc>
          <w:tcPr>
            <w:tcW w:w="1004" w:type="dxa"/>
          </w:tcPr>
          <w:p>
            <w:pPr>
              <w:jc w:val="center"/>
              <w:rPr>
                <w:rStyle w:val="11"/>
                <w:b w:val="0"/>
                <w:bCs w:val="0"/>
                <w:sz w:val="18"/>
                <w:szCs w:val="18"/>
              </w:rPr>
            </w:pPr>
          </w:p>
        </w:tc>
        <w:tc>
          <w:tcPr>
            <w:tcW w:w="1454" w:type="dxa"/>
          </w:tcPr>
          <w:p>
            <w:pPr>
              <w:jc w:val="center"/>
              <w:rPr>
                <w:rStyle w:val="11"/>
                <w:b w:val="0"/>
                <w:bCs w:val="0"/>
                <w:sz w:val="18"/>
                <w:szCs w:val="18"/>
              </w:rPr>
            </w:pPr>
          </w:p>
        </w:tc>
        <w:tc>
          <w:tcPr>
            <w:tcW w:w="1800" w:type="dxa"/>
          </w:tcPr>
          <w:p>
            <w:pPr>
              <w:jc w:val="center"/>
              <w:rPr>
                <w:rStyle w:val="11"/>
                <w:b w:val="0"/>
                <w:bCs w:val="0"/>
                <w:sz w:val="18"/>
                <w:szCs w:val="18"/>
              </w:rPr>
            </w:pPr>
          </w:p>
        </w:tc>
        <w:tc>
          <w:tcPr>
            <w:tcW w:w="2553" w:type="dxa"/>
          </w:tcPr>
          <w:p>
            <w:pPr>
              <w:jc w:val="center"/>
              <w:rPr>
                <w:rStyle w:val="11"/>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18" w:type="dxa"/>
            <w:vMerge w:val="continue"/>
          </w:tcPr>
          <w:p>
            <w:pPr>
              <w:widowControl/>
              <w:jc w:val="left"/>
            </w:pPr>
          </w:p>
        </w:tc>
        <w:tc>
          <w:tcPr>
            <w:tcW w:w="1004" w:type="dxa"/>
          </w:tcPr>
          <w:p>
            <w:pPr>
              <w:rPr>
                <w:rStyle w:val="11"/>
                <w:b w:val="0"/>
                <w:bCs w:val="0"/>
              </w:rPr>
            </w:pPr>
          </w:p>
        </w:tc>
        <w:tc>
          <w:tcPr>
            <w:tcW w:w="1454" w:type="dxa"/>
          </w:tcPr>
          <w:p>
            <w:pPr>
              <w:rPr>
                <w:rStyle w:val="11"/>
                <w:b w:val="0"/>
                <w:bCs w:val="0"/>
              </w:rPr>
            </w:pPr>
          </w:p>
        </w:tc>
        <w:tc>
          <w:tcPr>
            <w:tcW w:w="1800" w:type="dxa"/>
          </w:tcPr>
          <w:p>
            <w:pPr>
              <w:jc w:val="center"/>
              <w:rPr>
                <w:rStyle w:val="11"/>
                <w:b w:val="0"/>
                <w:bCs w:val="0"/>
              </w:rPr>
            </w:pPr>
          </w:p>
        </w:tc>
        <w:tc>
          <w:tcPr>
            <w:tcW w:w="2553" w:type="dxa"/>
          </w:tcPr>
          <w:p>
            <w:pPr>
              <w:rPr>
                <w:rStyle w:val="11"/>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418" w:type="dxa"/>
            <w:vMerge w:val="continue"/>
          </w:tcPr>
          <w:p>
            <w:pPr>
              <w:widowControl/>
              <w:jc w:val="left"/>
            </w:pPr>
          </w:p>
        </w:tc>
        <w:tc>
          <w:tcPr>
            <w:tcW w:w="1004" w:type="dxa"/>
          </w:tcPr>
          <w:p>
            <w:pPr>
              <w:rPr>
                <w:rStyle w:val="11"/>
                <w:b w:val="0"/>
                <w:bCs w:val="0"/>
              </w:rPr>
            </w:pPr>
          </w:p>
        </w:tc>
        <w:tc>
          <w:tcPr>
            <w:tcW w:w="1454" w:type="dxa"/>
          </w:tcPr>
          <w:p>
            <w:pPr>
              <w:rPr>
                <w:rStyle w:val="11"/>
                <w:b w:val="0"/>
                <w:bCs w:val="0"/>
              </w:rPr>
            </w:pPr>
          </w:p>
        </w:tc>
        <w:tc>
          <w:tcPr>
            <w:tcW w:w="1800" w:type="dxa"/>
          </w:tcPr>
          <w:p>
            <w:pPr>
              <w:jc w:val="center"/>
              <w:rPr>
                <w:rStyle w:val="11"/>
                <w:b w:val="0"/>
                <w:bCs w:val="0"/>
              </w:rPr>
            </w:pPr>
          </w:p>
        </w:tc>
        <w:tc>
          <w:tcPr>
            <w:tcW w:w="2553" w:type="dxa"/>
          </w:tcPr>
          <w:p>
            <w:pPr>
              <w:rPr>
                <w:rStyle w:val="11"/>
                <w:b w:val="0"/>
                <w:bCs w:val="0"/>
              </w:rPr>
            </w:pPr>
          </w:p>
        </w:tc>
      </w:tr>
    </w:tbl>
    <w:p/>
    <w:p/>
    <w:p/>
    <w:tbl>
      <w:tblPr>
        <w:tblStyle w:val="7"/>
        <w:tblW w:w="8195" w:type="dxa"/>
        <w:tblInd w:w="135" w:type="dxa"/>
        <w:tblLayout w:type="fixed"/>
        <w:tblCellMar>
          <w:top w:w="0" w:type="dxa"/>
          <w:left w:w="108" w:type="dxa"/>
          <w:bottom w:w="0" w:type="dxa"/>
          <w:right w:w="108" w:type="dxa"/>
        </w:tblCellMar>
      </w:tblPr>
      <w:tblGrid>
        <w:gridCol w:w="1391"/>
        <w:gridCol w:w="1276"/>
        <w:gridCol w:w="1984"/>
        <w:gridCol w:w="1701"/>
        <w:gridCol w:w="1843"/>
      </w:tblGrid>
      <w:tr>
        <w:tblPrEx>
          <w:tblLayout w:type="fixed"/>
          <w:tblCellMar>
            <w:top w:w="0" w:type="dxa"/>
            <w:left w:w="108" w:type="dxa"/>
            <w:bottom w:w="0" w:type="dxa"/>
            <w:right w:w="108" w:type="dxa"/>
          </w:tblCellMar>
        </w:tblPrEx>
        <w:trPr>
          <w:trHeight w:val="364" w:hRule="atLeast"/>
        </w:trPr>
        <w:tc>
          <w:tcPr>
            <w:tcW w:w="8195" w:type="dxa"/>
            <w:gridSpan w:val="5"/>
            <w:tcBorders>
              <w:top w:val="double" w:color="auto" w:sz="2" w:space="0"/>
              <w:left w:val="double" w:color="auto" w:sz="2" w:space="0"/>
              <w:bottom w:val="single" w:color="auto" w:sz="4" w:space="0"/>
              <w:right w:val="double" w:color="auto" w:sz="2" w:space="0"/>
            </w:tcBorders>
            <w:vAlign w:val="center"/>
          </w:tcPr>
          <w:p>
            <w:pPr>
              <w:widowControl/>
              <w:spacing w:line="0" w:lineRule="atLeast"/>
              <w:jc w:val="center"/>
              <w:rPr>
                <w:rFonts w:ascii="微软雅黑" w:hAnsi="微软雅黑" w:eastAsia="微软雅黑"/>
                <w:b/>
                <w:bCs/>
                <w:color w:val="C00000"/>
                <w:spacing w:val="28"/>
                <w:sz w:val="28"/>
                <w:szCs w:val="28"/>
              </w:rPr>
            </w:pPr>
            <w:r>
              <w:rPr>
                <w:rFonts w:hint="eastAsia" w:ascii="微软雅黑" w:hAnsi="微软雅黑" w:eastAsia="微软雅黑"/>
                <w:b/>
                <w:bCs/>
                <w:color w:val="C00000"/>
                <w:spacing w:val="28"/>
                <w:sz w:val="28"/>
                <w:szCs w:val="28"/>
              </w:rPr>
              <w:t>2018时代光华学习卡价格表</w:t>
            </w:r>
          </w:p>
        </w:tc>
      </w:tr>
      <w:tr>
        <w:tblPrEx>
          <w:tblLayout w:type="fixed"/>
          <w:tblCellMar>
            <w:top w:w="0" w:type="dxa"/>
            <w:left w:w="108" w:type="dxa"/>
            <w:bottom w:w="0" w:type="dxa"/>
            <w:right w:w="108" w:type="dxa"/>
          </w:tblCellMar>
        </w:tblPrEx>
        <w:trPr>
          <w:trHeight w:val="287" w:hRule="atLeast"/>
        </w:trPr>
        <w:tc>
          <w:tcPr>
            <w:tcW w:w="1391" w:type="dxa"/>
            <w:tcBorders>
              <w:top w:val="single" w:color="auto" w:sz="4" w:space="0"/>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ind w:firstLine="347" w:firstLineChars="147"/>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op w:val="single" w:color="auto" w:sz="4" w:space="0"/>
              <w:left w:val="nil"/>
              <w:bottom w:val="single" w:color="auto" w:sz="4" w:space="0"/>
              <w:right w:val="double" w:color="auto" w:sz="2" w:space="0"/>
            </w:tcBorders>
            <w:vAlign w:val="center"/>
          </w:tcPr>
          <w:p>
            <w:pPr>
              <w:spacing w:line="400" w:lineRule="exact"/>
              <w:rPr>
                <w:rFonts w:ascii="微软雅黑" w:hAnsi="微软雅黑" w:eastAsia="微软雅黑"/>
                <w:b/>
                <w:sz w:val="18"/>
                <w:szCs w:val="18"/>
              </w:rPr>
            </w:pPr>
            <w:r>
              <w:rPr>
                <w:rFonts w:hint="eastAsia" w:ascii="微软雅黑" w:hAnsi="微软雅黑" w:eastAsia="微软雅黑"/>
                <w:b/>
                <w:sz w:val="18"/>
                <w:szCs w:val="18"/>
              </w:rPr>
              <w:t>平均价格（元/张）</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1324</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120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￥118，800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757</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157</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￥94，800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499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190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￥70，800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331</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214</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￥59，800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240</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￥46，800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170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275</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银卡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w:t>
            </w:r>
          </w:p>
        </w:tc>
      </w:tr>
      <w:tr>
        <w:tblPrEx>
          <w:tblLayout w:type="fixed"/>
          <w:tblCellMar>
            <w:top w:w="0" w:type="dxa"/>
            <w:left w:w="108" w:type="dxa"/>
            <w:bottom w:w="0" w:type="dxa"/>
            <w:right w:w="108" w:type="dxa"/>
          </w:tblCellMar>
        </w:tblPrEx>
        <w:trPr>
          <w:cantSplit/>
          <w:trHeight w:val="2594" w:hRule="atLeast"/>
        </w:trPr>
        <w:tc>
          <w:tcPr>
            <w:tcW w:w="8195" w:type="dxa"/>
            <w:gridSpan w:val="5"/>
            <w:tcBorders>
              <w:top w:val="single" w:color="auto" w:sz="4" w:space="0"/>
              <w:left w:val="double" w:color="auto" w:sz="2" w:space="0"/>
              <w:bottom w:val="double" w:color="auto" w:sz="2" w:space="0"/>
              <w:right w:val="double" w:color="auto" w:sz="2" w:space="0"/>
            </w:tcBorders>
            <w:vAlign w:val="center"/>
          </w:tcPr>
          <w:p>
            <w:pPr>
              <w:widowControl/>
              <w:spacing w:line="400" w:lineRule="exact"/>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成功购买时代光华学习卡的企业，即成为时代光华的VIP会员单位；</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时代光华学习卡会员均可参加广州、深圳、东莞、佛山、杭州五地课程；</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时代光华学习卡会员可免费参加时代光华沙龙活动；</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会员单位购买时代光华E-learning网络学习产品可享受优惠；</w:t>
            </w:r>
          </w:p>
          <w:p>
            <w:pPr>
              <w:widowControl/>
              <w:numPr>
                <w:ilvl w:val="0"/>
                <w:numId w:val="1"/>
              </w:numPr>
              <w:overflowPunct/>
              <w:spacing w:line="360" w:lineRule="exact"/>
              <w:ind w:left="845"/>
              <w:jc w:val="left"/>
              <w:rPr>
                <w:rFonts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eastAsiaTheme="minorEastAsia"/>
        </w:rPr>
      </w:pPr>
    </w:p>
    <w:sectPr>
      <w:type w:val="continuous"/>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hint="eastAsia" w:eastAsiaTheme="minorEastAsia"/>
      </w:rPr>
      <w:drawing>
        <wp:anchor distT="0" distB="0" distL="114300" distR="114300" simplePos="0" relativeHeight="251926528" behindDoc="0" locked="0" layoutInCell="1" allowOverlap="1">
          <wp:simplePos x="0" y="0"/>
          <wp:positionH relativeFrom="column">
            <wp:posOffset>5335270</wp:posOffset>
          </wp:positionH>
          <wp:positionV relativeFrom="paragraph">
            <wp:posOffset>-274955</wp:posOffset>
          </wp:positionV>
          <wp:extent cx="972185" cy="972185"/>
          <wp:effectExtent l="0" t="0" r="18415" b="18415"/>
          <wp:wrapSquare wrapText="bothSides"/>
          <wp:docPr id="3" name="图片 3" descr="b8fe2071f7d38208f31af11c8039a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8fe2071f7d38208f31af11c8039aa38"/>
                  <pic:cNvPicPr>
                    <a:picLocks noChangeAspect="1"/>
                  </pic:cNvPicPr>
                </pic:nvPicPr>
                <pic:blipFill>
                  <a:blip r:embed="rId1"/>
                  <a:stretch>
                    <a:fillRect/>
                  </a:stretch>
                </pic:blipFill>
                <pic:spPr>
                  <a:xfrm>
                    <a:off x="0" y="0"/>
                    <a:ext cx="972185" cy="972185"/>
                  </a:xfrm>
                  <a:prstGeom prst="rect">
                    <a:avLst/>
                  </a:prstGeom>
                </pic:spPr>
              </pic:pic>
            </a:graphicData>
          </a:graphic>
        </wp:anchor>
      </w:drawing>
    </w:r>
  </w:p>
  <w:p>
    <w:pPr>
      <w:pStyle w:val="3"/>
    </w:pPr>
    <w:r>
      <w:rPr>
        <w:rFonts w:ascii="宋体" w:hAnsi="宋体" w:cs="宋体"/>
        <w:kern w:val="0"/>
        <w:sz w:val="24"/>
        <w:szCs w:val="24"/>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448310</wp:posOffset>
          </wp:positionV>
          <wp:extent cx="7587615" cy="307975"/>
          <wp:effectExtent l="19050" t="0" r="0" b="0"/>
          <wp:wrapNone/>
          <wp:docPr id="2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56"/>
                  <pic:cNvPicPr>
                    <a:picLocks noChangeAspect="1"/>
                  </pic:cNvPicPr>
                </pic:nvPicPr>
                <pic:blipFill>
                  <a:blip r:embed="rId2"/>
                  <a:stretch>
                    <a:fillRect/>
                  </a:stretch>
                </pic:blipFill>
                <pic:spPr>
                  <a:xfrm>
                    <a:off x="0" y="0"/>
                    <a:ext cx="7657537" cy="31051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ascii="宋体" w:hAnsi="宋体" w:cs="宋体"/>
        <w:kern w:val="0"/>
        <w:sz w:val="24"/>
        <w:szCs w:val="24"/>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-536575</wp:posOffset>
          </wp:positionV>
          <wp:extent cx="5609590" cy="514985"/>
          <wp:effectExtent l="0" t="0" r="10160" b="18415"/>
          <wp:wrapNone/>
          <wp:docPr id="2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descr="IMG_256"/>
                  <pic:cNvPicPr>
                    <a:picLocks noChangeAspect="1"/>
                  </pic:cNvPicPr>
                </pic:nvPicPr>
                <pic:blipFill>
                  <a:blip r:embed="rId1"/>
                  <a:stretch>
                    <a:fillRect/>
                  </a:stretch>
                </pic:blipFill>
                <pic:spPr>
                  <a:xfrm>
                    <a:off x="0" y="0"/>
                    <a:ext cx="5609590" cy="514985"/>
                  </a:xfrm>
                  <a:prstGeom prst="rect">
                    <a:avLst/>
                  </a:prstGeom>
                  <a:noFill/>
                  <a:ln w="9525">
                    <a:noFill/>
                  </a:ln>
                </pic:spPr>
              </pic:pic>
            </a:graphicData>
          </a:graphic>
        </wp:anchor>
      </w:drawing>
    </w:r>
  </w:p>
  <w:p>
    <w:pPr>
      <w:pStyle w:val="4"/>
    </w:pPr>
    <w:r>
      <w:rPr>
        <w:rFonts w:hint="eastAsia" w:eastAsiaTheme="minorEastAsia"/>
      </w:rPr>
      <w:drawing>
        <wp:anchor distT="0" distB="0" distL="114300" distR="114300" simplePos="0" relativeHeight="251847680" behindDoc="0" locked="0" layoutInCell="1" allowOverlap="1">
          <wp:simplePos x="0" y="0"/>
          <wp:positionH relativeFrom="column">
            <wp:posOffset>-1143000</wp:posOffset>
          </wp:positionH>
          <wp:positionV relativeFrom="paragraph">
            <wp:posOffset>-668020</wp:posOffset>
          </wp:positionV>
          <wp:extent cx="1954530" cy="441325"/>
          <wp:effectExtent l="0" t="0" r="0" b="16510"/>
          <wp:wrapSquare wrapText="bothSides"/>
          <wp:docPr id="21" name="图片 21"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原稿LOGO"/>
                  <pic:cNvPicPr>
                    <a:picLocks noChangeAspect="1"/>
                  </pic:cNvPicPr>
                </pic:nvPicPr>
                <pic:blipFill>
                  <a:blip r:embed="rId2"/>
                  <a:srcRect t="20455" b="16364"/>
                  <a:stretch>
                    <a:fillRect/>
                  </a:stretch>
                </pic:blipFill>
                <pic:spPr>
                  <a:xfrm>
                    <a:off x="0" y="0"/>
                    <a:ext cx="1954530" cy="441325"/>
                  </a:xfrm>
                  <a:prstGeom prst="rect">
                    <a:avLst/>
                  </a:prstGeom>
                </pic:spPr>
              </pic:pic>
            </a:graphicData>
          </a:graphic>
        </wp:anchor>
      </w:drawing>
    </w:r>
    <w:r>
      <w:rPr>
        <w:sz w:val="21"/>
      </w:rPr>
      <w:pict>
        <v:rect id="_x0000_s2049" o:spid="_x0000_s2049" o:spt="1" style="position:absolute;left:0pt;margin-left:-89.5pt;margin-top:-54.6pt;height:41pt;width:154.6pt;z-index:251683840;v-text-anchor:middle;mso-width-relative:page;mso-height-relative:page;" fillcolor="#E6E6E6" filled="t" stroked="f" coordsize="21600,21600" o:gfxdata="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Oe9mbbAAAADQEAAA8AAAAAAAAAAQAgAAAAIgAAAGRycy9kb3ducmV2LnhtbFBL&#10;AQIUABQAAAAIAIdO4kCR5wNOZQIAAK8EAAAOAAAAAAAAAAEAIAAAACoBAABkcnMvZTJvRG9jLnht&#10;bFBLBQYAAAAABgAGAFkBAAABBgAAAAA=&#10;">
          <v:path/>
          <v:fill on="t" focussize="0,0"/>
          <v:stroke on="f" weight="1pt"/>
          <v:imagedata o:title=""/>
          <o:lock v:ext="edi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D0938C6"/>
    <w:rsid w:val="0001490A"/>
    <w:rsid w:val="0001596D"/>
    <w:rsid w:val="00082427"/>
    <w:rsid w:val="000A1A73"/>
    <w:rsid w:val="000C3949"/>
    <w:rsid w:val="001A1BCA"/>
    <w:rsid w:val="002346CD"/>
    <w:rsid w:val="002C5841"/>
    <w:rsid w:val="002D205F"/>
    <w:rsid w:val="003D12B4"/>
    <w:rsid w:val="00420849"/>
    <w:rsid w:val="004505AD"/>
    <w:rsid w:val="004C1AAF"/>
    <w:rsid w:val="0050598E"/>
    <w:rsid w:val="005556ED"/>
    <w:rsid w:val="005716D8"/>
    <w:rsid w:val="005D6ECE"/>
    <w:rsid w:val="006344AE"/>
    <w:rsid w:val="00663907"/>
    <w:rsid w:val="00767171"/>
    <w:rsid w:val="00802E49"/>
    <w:rsid w:val="00817482"/>
    <w:rsid w:val="008C286A"/>
    <w:rsid w:val="008F30D9"/>
    <w:rsid w:val="009332A9"/>
    <w:rsid w:val="009A21DF"/>
    <w:rsid w:val="00A21E9E"/>
    <w:rsid w:val="00A23ECC"/>
    <w:rsid w:val="00B64ADA"/>
    <w:rsid w:val="00C2140B"/>
    <w:rsid w:val="00C26281"/>
    <w:rsid w:val="00C2712E"/>
    <w:rsid w:val="00CC4D32"/>
    <w:rsid w:val="00CD6BF3"/>
    <w:rsid w:val="00D254B9"/>
    <w:rsid w:val="00D66D2B"/>
    <w:rsid w:val="00D8605F"/>
    <w:rsid w:val="00DB20BF"/>
    <w:rsid w:val="00DC0A24"/>
    <w:rsid w:val="00DD7194"/>
    <w:rsid w:val="00DE2684"/>
    <w:rsid w:val="00EC74C2"/>
    <w:rsid w:val="00F569DC"/>
    <w:rsid w:val="00F71DB3"/>
    <w:rsid w:val="1F2F6C9D"/>
    <w:rsid w:val="210337FA"/>
    <w:rsid w:val="27426885"/>
    <w:rsid w:val="313701CC"/>
    <w:rsid w:val="35397F8C"/>
    <w:rsid w:val="42596E01"/>
    <w:rsid w:val="4A26395D"/>
    <w:rsid w:val="50B846FC"/>
    <w:rsid w:val="51AA13A5"/>
    <w:rsid w:val="612F6F56"/>
    <w:rsid w:val="62AE0867"/>
    <w:rsid w:val="6B5C39B1"/>
    <w:rsid w:val="6D0938C6"/>
    <w:rsid w:val="6E195B2E"/>
    <w:rsid w:val="6F6E4D77"/>
    <w:rsid w:val="78FE2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Autospacing="1" w:afterAutospacing="1"/>
      <w:jc w:val="left"/>
    </w:pPr>
    <w:rPr>
      <w:rFonts w:hint="eastAsia" w:ascii="宋体" w:hAnsi="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msolistparagraph"/>
    <w:basedOn w:val="1"/>
    <w:qFormat/>
    <w:uiPriority w:val="0"/>
    <w:pPr>
      <w:ind w:firstLine="420" w:firstLineChars="200"/>
    </w:pPr>
    <w:rPr>
      <w:rFonts w:ascii="Calibri" w:hAnsi="Calibri"/>
      <w:szCs w:val="24"/>
    </w:rPr>
  </w:style>
  <w:style w:type="character" w:customStyle="1" w:styleId="10">
    <w:name w:val="批注框文本 Char"/>
    <w:basedOn w:val="6"/>
    <w:link w:val="2"/>
    <w:qFormat/>
    <w:uiPriority w:val="0"/>
    <w:rPr>
      <w:kern w:val="2"/>
      <w:sz w:val="18"/>
      <w:szCs w:val="18"/>
    </w:rPr>
  </w:style>
  <w:style w:type="character" w:customStyle="1" w:styleId="11">
    <w:name w:val="15"/>
    <w:basedOn w:val="6"/>
    <w:qFormat/>
    <w:uiPriority w:val="0"/>
    <w:rPr>
      <w:b/>
      <w:bCs/>
    </w:rPr>
  </w:style>
  <w:style w:type="paragraph" w:customStyle="1" w:styleId="1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0.jpe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A9C31-91B2-4BFF-9547-EBED821BC73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412</Words>
  <Characters>2354</Characters>
  <Lines>19</Lines>
  <Paragraphs>5</Paragraphs>
  <TotalTime>32</TotalTime>
  <ScaleCrop>false</ScaleCrop>
  <LinksUpToDate>false</LinksUpToDate>
  <CharactersWithSpaces>2761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2017-07-11T07:33:00Z</dcterms:created>
  <dc:creator>Administrator</dc:creator>
  <cp:lastModifiedBy>Administrator</cp:lastModifiedBy>
  <dcterms:modified xsi:type="dcterms:W3CDTF">2018-09-20T03:57:45Z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