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175895</wp:posOffset>
                </wp:positionV>
                <wp:extent cx="187134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11.23-24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26.6pt;margin-top:13.85pt;height:31.2pt;width:147.35pt;z-index:251660288;mso-width-relative:page;mso-height-relative:page;" filled="f" stroked="f" coordsize="21600,21600" o:gfxdata="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/Gv8ncAAAACQEAAA8AAAAAAAAAAQAg&#10;AAAAIgAAAGRycy9kb3ducmV2LnhtbFBLAQIUABQAAAAIAIdO4kBHuhK1mAEAAAwDAAAOAAAAAAAA&#10;AAEAIAAAACs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11.23-24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企业组织设计与流程设计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企业组织设计与流程设计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王翔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（原甲骨文Oracle中国华南区市场总监 ）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</w:rPr>
        <w:t>企业总裁、总经理、决策者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2018年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2018年11月24日9:00至17:30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</w:t>
      </w:r>
      <w:r>
        <w:rPr>
          <w:rFonts w:hint="eastAsia" w:ascii="黑体" w:hAnsi="黑体" w:eastAsia="黑体" w:cs="黑体"/>
          <w:sz w:val="28"/>
          <w:szCs w:val="28"/>
        </w:rPr>
        <w:t>00元/人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60</w:t>
      </w:r>
      <w:r>
        <w:rPr>
          <w:rFonts w:hint="eastAsia" w:ascii="黑体" w:hAnsi="黑体" w:eastAsia="黑体" w:cs="黑体"/>
          <w:sz w:val="28"/>
          <w:szCs w:val="28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掌握组织结构设计原则与方法，为企业设计组织架构；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掌握职能分解技巧以及任职资格的设定方法；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流程设计原则、流程设计方法；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掌握流程优化方法、流程管理方法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掌握组织流程绩效管理方法。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课程特色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实盘案例教学：以现场学员企业为案例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讲练结合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现场咨询式点评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第一讲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组织系统观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企业组织系统的构成与要素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结构（软硬结构）之于系统的重要性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元素之于系统的重要性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组织绩效提升的三板斧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基于组织系统观的企业模型Enterprise Model详解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企业市场/竞争环境分析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企业资源/供应链分析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企业大环境PEST（政治、经济、社会、技术）分析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第二讲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 组织设计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/>
          <w:sz w:val="24"/>
          <w:szCs w:val="24"/>
          <w:lang w:eastAsia="zh-CN"/>
        </w:rPr>
        <w:t>组织结构设计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组织结构设计基础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常见的组织结构形式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掌握职能分解技巧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掌握任职资格的设定方法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掌握岗位说明书的撰写方法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职能关系设计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职能关系设计基础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掌握职能关系绘制技巧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制作职能关系图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第三讲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 流程设计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流程4层体系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流程关系图设计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流程设计7D方法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流程优化8原则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流程</w:t>
      </w:r>
      <w:r>
        <w:rPr>
          <w:rFonts w:hint="eastAsia" w:ascii="宋体" w:hAnsi="宋体"/>
          <w:sz w:val="24"/>
          <w:szCs w:val="24"/>
        </w:rPr>
        <w:t>角色-责任矩阵设计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第四讲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 组织绩效管理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组织三层绩效体系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组织绩效三层面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组织绩效九变量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组织</w:t>
      </w:r>
      <w:r>
        <w:rPr>
          <w:rFonts w:hint="eastAsia" w:ascii="宋体" w:hAnsi="宋体"/>
          <w:sz w:val="21"/>
          <w:szCs w:val="21"/>
        </w:rPr>
        <w:t>绩效管理八步骤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组织流程绩效管理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组织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绩效分解路径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组织绩效构成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实施纵</w:t>
      </w:r>
      <w:r>
        <w:rPr>
          <w:rFonts w:hint="eastAsia" w:ascii="宋体" w:hAnsi="宋体"/>
          <w:sz w:val="21"/>
          <w:szCs w:val="21"/>
        </w:rPr>
        <w:t xml:space="preserve">横组织绩效管理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案例：某集团组织与流程设计/优化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五</w:t>
      </w:r>
      <w:r>
        <w:rPr>
          <w:rFonts w:hint="eastAsia" w:ascii="宋体" w:hAnsi="宋体" w:eastAsia="宋体" w:cs="宋体"/>
          <w:b/>
          <w:sz w:val="21"/>
          <w:szCs w:val="21"/>
        </w:rPr>
        <w:t>讲 总结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71755</wp:posOffset>
                </wp:positionV>
                <wp:extent cx="3810000" cy="16859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85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王翔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原甲骨文Oracle中国华南区市场总监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4.75pt;margin-top:5.65pt;height:132.75pt;width:300pt;z-index:251658240;mso-width-relative:page;mso-height-relative:page;" fillcolor="#FFFFFF" filled="t" stroked="f" coordsize="21600,21600" o:gfxdata="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eqi9kAAAAKAQAADwAAAAAAAAABACAAAAAiAAAAZHJzL2Rvd25yZXYueG1sUEsB&#10;AhQAFAAAAAgAh07iQM/Scwf0AQAA5QMAAA4AAAAAAAAAAQAgAAAAKA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6"/>
                          <w:szCs w:val="36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6"/>
                          <w:szCs w:val="36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王翔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sz w:val="36"/>
                          <w:szCs w:val="30"/>
                          <w:lang w:val="zh-CN"/>
                        </w:rPr>
                        <w:t>原甲骨文Oracle中国华南区市场总监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-97790</wp:posOffset>
            </wp:positionV>
            <wp:extent cx="2008505" cy="2282190"/>
            <wp:effectExtent l="0" t="0" r="10795" b="3810"/>
            <wp:wrapTight wrapText="bothSides">
              <wp:wrapPolygon>
                <wp:start x="8400" y="0"/>
                <wp:lineTo x="6761" y="361"/>
                <wp:lineTo x="2868" y="2344"/>
                <wp:lineTo x="1844" y="4147"/>
                <wp:lineTo x="615" y="5770"/>
                <wp:lineTo x="0" y="7753"/>
                <wp:lineTo x="0" y="12982"/>
                <wp:lineTo x="205" y="14424"/>
                <wp:lineTo x="1639" y="17309"/>
                <wp:lineTo x="4712" y="20194"/>
                <wp:lineTo x="4917" y="20374"/>
                <wp:lineTo x="7990" y="21456"/>
                <wp:lineTo x="8400" y="21456"/>
                <wp:lineTo x="12907" y="21456"/>
                <wp:lineTo x="13316" y="21456"/>
                <wp:lineTo x="16390" y="20374"/>
                <wp:lineTo x="16594" y="20194"/>
                <wp:lineTo x="19667" y="17309"/>
                <wp:lineTo x="21101" y="14424"/>
                <wp:lineTo x="21306" y="12982"/>
                <wp:lineTo x="21306" y="7753"/>
                <wp:lineTo x="20692" y="5770"/>
                <wp:lineTo x="19053" y="3606"/>
                <wp:lineTo x="18643" y="2524"/>
                <wp:lineTo x="14546" y="361"/>
                <wp:lineTo x="12907" y="0"/>
                <wp:lineTo x="8400" y="0"/>
              </wp:wrapPolygon>
            </wp:wrapTight>
            <wp:docPr id="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美国PRITCHETT咨询机构中国区认证并购后整合高级顾问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美国PRITCHETT咨询机构中国区认证组织变革管理高级顾问/讲师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美国RBG咨询集团中国区认证流程改进与管理高级顾问/讲师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国际战略制定与实施顶尖级大师Alan P • Brache（艾伦P • 布拉奇）先生中国合伙人。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流程绩效专家、国际流程教父中国区唯一亲授导师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szCs w:val="22"/>
        </w:rPr>
      </w:pPr>
      <w:r>
        <w:rPr>
          <w:rFonts w:hint="eastAsia"/>
          <w:szCs w:val="22"/>
        </w:rPr>
        <w:t>中国政法大学商学院特聘MBA课程讲师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授课风格</w:t>
      </w:r>
    </w:p>
    <w:p>
      <w:pPr>
        <w:ind w:firstLine="420" w:firstLineChars="20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王老师的授课结合中外企业实际案例，以及王老师丰富的管理经验和独特的文化理解，给学员切实的管理体会和领悟，启发学员多角度思考，并有效应用于实际的工作环境及实践中，提升学员的工作成效。逻辑严谨、抽丝剥笋，语言生动、深入浅出，注重体验、寓教于乐，结果导向、支持实操。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20" w:firstLineChars="20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王翔老师先后为甲骨文、霍尼韦尔、联合技术、艾默生、百特、纳铁福、德国阀安格、德国大陆电子、法国德高建材、卡夫食品、费列罗、艾兰德药业、欧姆龙、松下物流等500强企业及中国移动广东公司、中国移动四川公司、中国移动广西公司、中国移动安徽公司、中国移动新疆公司、中国移动云南公司、中国联通山东公司、长城信息产业集团、华安保险、大连华信、大连简柏特、天安科技、宁波轨道交通集团、上汽集团、上海电气集团、上海烟草、中国电信、一汽富维、一汽物流、波鸿集团、沈飞、吉林炼化、敏实集团、国药控股、全友家私、明珠家具集团、广发证券、湖南国家开发银行、钜派投资集团、神华神东集团、九牧王、报喜鸟、太平鸟服饰、安踏、潮宏基等国企、民企提供基于398方法论，围绕组织绩效提升的流程管理及变革管理咨询与培训服务。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360" w:lineRule="auto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2018年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-12月1日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《职场高效办公Office速成--Excel（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Cs/>
          <w:sz w:val="28"/>
          <w:szCs w:val="28"/>
        </w:rPr>
        <w:t>版）》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赵明哲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（Microsoft资深授权培训师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127115" cy="5730240"/>
            <wp:effectExtent l="0" t="0" r="14605" b="0"/>
            <wp:docPr id="1244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equalWidth="0" w:num="2">
        <w:col w:w="5020" w:space="425"/>
        <w:col w:w="50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74B46"/>
    <w:multiLevelType w:val="singleLevel"/>
    <w:tmpl w:val="AFB74B46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abstractNum w:abstractNumId="1">
    <w:nsid w:val="E0ABE0A4"/>
    <w:multiLevelType w:val="singleLevel"/>
    <w:tmpl w:val="E0ABE0A4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230C4075"/>
    <w:multiLevelType w:val="singleLevel"/>
    <w:tmpl w:val="230C4075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4">
    <w:nsid w:val="58EAB90F"/>
    <w:multiLevelType w:val="singleLevel"/>
    <w:tmpl w:val="58EAB90F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212B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3D123F5"/>
    <w:rsid w:val="04412C6F"/>
    <w:rsid w:val="07736E83"/>
    <w:rsid w:val="07F23F62"/>
    <w:rsid w:val="07F84AB7"/>
    <w:rsid w:val="087C606A"/>
    <w:rsid w:val="08CC176A"/>
    <w:rsid w:val="09B502C2"/>
    <w:rsid w:val="09C279C2"/>
    <w:rsid w:val="0ECE2EE4"/>
    <w:rsid w:val="0EE11F07"/>
    <w:rsid w:val="0EE459DF"/>
    <w:rsid w:val="12C6169E"/>
    <w:rsid w:val="1445327A"/>
    <w:rsid w:val="14547BAE"/>
    <w:rsid w:val="14EC2BB1"/>
    <w:rsid w:val="157C3E5D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4DF7F4C"/>
    <w:rsid w:val="24F864E1"/>
    <w:rsid w:val="27944D9A"/>
    <w:rsid w:val="28DA3E5B"/>
    <w:rsid w:val="296E6C93"/>
    <w:rsid w:val="296E7474"/>
    <w:rsid w:val="29A67B31"/>
    <w:rsid w:val="29F140A6"/>
    <w:rsid w:val="2A965048"/>
    <w:rsid w:val="2D471F42"/>
    <w:rsid w:val="2EE73107"/>
    <w:rsid w:val="314A552F"/>
    <w:rsid w:val="319B0FA4"/>
    <w:rsid w:val="31F2543F"/>
    <w:rsid w:val="32155F4C"/>
    <w:rsid w:val="327148E0"/>
    <w:rsid w:val="34BE1F89"/>
    <w:rsid w:val="360556FB"/>
    <w:rsid w:val="38CF2F29"/>
    <w:rsid w:val="38E21EC5"/>
    <w:rsid w:val="398E0DAE"/>
    <w:rsid w:val="3A056318"/>
    <w:rsid w:val="3B781713"/>
    <w:rsid w:val="3BD52FAE"/>
    <w:rsid w:val="3CA552B8"/>
    <w:rsid w:val="3CD67196"/>
    <w:rsid w:val="3D117005"/>
    <w:rsid w:val="3D1E55B7"/>
    <w:rsid w:val="3DE17E7F"/>
    <w:rsid w:val="3DF54A89"/>
    <w:rsid w:val="3E9C360A"/>
    <w:rsid w:val="3F126BE0"/>
    <w:rsid w:val="406C6CD0"/>
    <w:rsid w:val="44EA0891"/>
    <w:rsid w:val="44EB4048"/>
    <w:rsid w:val="45040B7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4F7870"/>
    <w:rsid w:val="4B950932"/>
    <w:rsid w:val="4C9546CC"/>
    <w:rsid w:val="4D6E413F"/>
    <w:rsid w:val="4DB71A4B"/>
    <w:rsid w:val="4F480D37"/>
    <w:rsid w:val="51056B52"/>
    <w:rsid w:val="51DF34BB"/>
    <w:rsid w:val="538E3A2B"/>
    <w:rsid w:val="54984945"/>
    <w:rsid w:val="54EE6DFE"/>
    <w:rsid w:val="55B412F1"/>
    <w:rsid w:val="55E8015C"/>
    <w:rsid w:val="56622DA2"/>
    <w:rsid w:val="57E24D15"/>
    <w:rsid w:val="58C96D67"/>
    <w:rsid w:val="591431D0"/>
    <w:rsid w:val="5A7A09B5"/>
    <w:rsid w:val="5C8276CC"/>
    <w:rsid w:val="5C9B0D0F"/>
    <w:rsid w:val="5CC97B96"/>
    <w:rsid w:val="5DBB052B"/>
    <w:rsid w:val="5F5B3296"/>
    <w:rsid w:val="5FD5341C"/>
    <w:rsid w:val="5FE23114"/>
    <w:rsid w:val="602039F3"/>
    <w:rsid w:val="6232481E"/>
    <w:rsid w:val="63414527"/>
    <w:rsid w:val="654B1D62"/>
    <w:rsid w:val="66ED200D"/>
    <w:rsid w:val="67891D66"/>
    <w:rsid w:val="686B5634"/>
    <w:rsid w:val="6964373A"/>
    <w:rsid w:val="6AF32913"/>
    <w:rsid w:val="6B124B98"/>
    <w:rsid w:val="6C92060F"/>
    <w:rsid w:val="6CCE3329"/>
    <w:rsid w:val="6E150956"/>
    <w:rsid w:val="70490B2B"/>
    <w:rsid w:val="70C70EEE"/>
    <w:rsid w:val="718476F9"/>
    <w:rsid w:val="729C5D67"/>
    <w:rsid w:val="73D00B4C"/>
    <w:rsid w:val="74CB33EF"/>
    <w:rsid w:val="74DE1AB1"/>
    <w:rsid w:val="756F7A8C"/>
    <w:rsid w:val="77E26D16"/>
    <w:rsid w:val="782470CD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2018-10-08T09:29:40Z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