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知人知心的人际沟通技巧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知人知心的人际沟通技巧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11.2   周五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11.2   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：董华荣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（光华企业实战商学院特聘资深讲师）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</w:rPr>
        <w:t>基层主管、储备干部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企业类型：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企业大小：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2018年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spacing w:line="360" w:lineRule="auto"/>
        <w:ind w:left="1197" w:leftChars="57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18</w:t>
      </w:r>
      <w:r>
        <w:rPr>
          <w:rFonts w:hint="eastAsia" w:ascii="黑体" w:hAnsi="黑体" w:eastAsia="黑体" w:cs="黑体"/>
          <w:sz w:val="28"/>
          <w:szCs w:val="28"/>
        </w:rPr>
        <w:t xml:space="preserve">00元/人 </w:t>
      </w:r>
      <w:r>
        <w:rPr>
          <w:rFonts w:hint="eastAsia" w:ascii="黑体" w:hAnsi="黑体" w:eastAsia="黑体" w:cs="黑体"/>
          <w:sz w:val="22"/>
          <w:szCs w:val="21"/>
        </w:rPr>
        <w:fldChar w:fldCharType="begin"/>
      </w:r>
      <w:r>
        <w:rPr>
          <w:rFonts w:hint="eastAsia" w:ascii="黑体" w:hAnsi="黑体" w:eastAsia="黑体" w:cs="黑体"/>
          <w:sz w:val="22"/>
          <w:szCs w:val="21"/>
        </w:rPr>
        <w:instrText xml:space="preserve"> HYPERLINK "http://www.hztbc.com/public/study_card.php" </w:instrText>
      </w:r>
      <w:r>
        <w:rPr>
          <w:rFonts w:hint="eastAsia" w:ascii="黑体" w:hAnsi="黑体" w:eastAsia="黑体" w:cs="黑体"/>
          <w:sz w:val="22"/>
          <w:szCs w:val="21"/>
        </w:rPr>
        <w:fldChar w:fldCharType="separate"/>
      </w:r>
      <w:r>
        <w:rPr>
          <w:rFonts w:hint="eastAsia" w:ascii="黑体" w:hAnsi="黑体" w:eastAsia="黑体" w:cs="黑体"/>
          <w:sz w:val="28"/>
          <w:szCs w:val="28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fldChar w:fldCharType="end"/>
      </w: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150</w:t>
      </w:r>
      <w:r>
        <w:rPr>
          <w:rFonts w:hint="eastAsia" w:ascii="黑体" w:hAnsi="黑体" w:eastAsia="黑体" w:cs="黑体"/>
          <w:sz w:val="28"/>
          <w:szCs w:val="28"/>
        </w:rPr>
        <w:t>人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掌握沟通中存在的障碍，以便在日常生活、工作中摆脱此障碍；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掌握沟通的基本原理，以便关注沟通的7个要素，使沟通更顺畅。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明确自己的沟通风格，同时了解不同风格人最希望别人与之沟通的方式，并通过案例的方式强化应用。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掌握建立信任的方法，从而提升沟通的效率。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第一单元</w:t>
      </w:r>
      <w:r>
        <w:rPr>
          <w:rFonts w:hint="eastAsia" w:ascii="宋体" w:hAnsi="宋体" w:cs="宋体"/>
          <w:b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b/>
          <w:bCs/>
          <w:szCs w:val="21"/>
        </w:rPr>
        <w:t>沟通过程七要素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沟通过程的七要素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沟通的基础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掌握沟通的基本原理，以便关注沟通的七个要素，使沟通更顺畅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第二单元</w:t>
      </w:r>
      <w:r>
        <w:rPr>
          <w:rFonts w:hint="eastAsia" w:ascii="宋体" w:hAnsi="宋体" w:cs="宋体"/>
          <w:b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人际沟通风格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沟通不良的后果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有效沟通的模型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人际沟通风格测试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四种人际风格特点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四种人际风格对应沟通方式</w:t>
      </w:r>
    </w:p>
    <w:p>
      <w:pPr>
        <w:numPr>
          <w:ilvl w:val="0"/>
          <w:numId w:val="0"/>
        </w:numPr>
        <w:ind w:leftChars="0" w:firstLine="42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 w:firstLine="420" w:firstLineChars="200"/>
        <w:jc w:val="left"/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zh-TW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明确自己的人际沟通风格，同时了解不同风格的人最希望别人与之沟通的方式，并通过案例的方式强化应用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zh-TW"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ind w:leftChars="0" w:firstLine="420" w:firstLineChars="200"/>
        <w:jc w:val="left"/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zh-TW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zh-TW" w:eastAsia="zh-CN"/>
          <w14:textFill>
            <w14:solidFill>
              <w14:schemeClr w14:val="tx1"/>
            </w14:solidFill>
          </w14:textFill>
        </w:rPr>
        <w:t>提升沟通的效率和效果，从而提升工作效率和质量。</w:t>
      </w:r>
    </w:p>
    <w:p>
      <w:pPr>
        <w:numPr>
          <w:ilvl w:val="0"/>
          <w:numId w:val="0"/>
        </w:numPr>
        <w:ind w:leftChars="0" w:firstLine="420" w:firstLineChars="200"/>
        <w:jc w:val="left"/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zh-TW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第三单元</w:t>
      </w:r>
      <w:r>
        <w:rPr>
          <w:rFonts w:hint="eastAsia" w:ascii="宋体" w:hAnsi="宋体" w:cs="宋体"/>
          <w:b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b/>
          <w:bCs/>
          <w:szCs w:val="21"/>
        </w:rPr>
        <w:t>调整行为建立信任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为什么要建立信任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信任的四要素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建立信任的能力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不同人际风格如何调整行为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numPr>
          <w:ilvl w:val="0"/>
          <w:numId w:val="0"/>
        </w:numPr>
        <w:ind w:leftChars="0"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掌握针对不同风格的人如何与其建立信任，以便提升沟通效率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第四单元</w:t>
      </w:r>
      <w:r>
        <w:rPr>
          <w:rFonts w:hint="eastAsia" w:ascii="宋体" w:hAnsi="宋体" w:cs="宋体"/>
          <w:b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bCs/>
          <w:szCs w:val="21"/>
        </w:rPr>
        <w:t>增强同理心和弹性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同理心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自传式倾听与同理心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运用同理心的方法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运用同时心的时机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弹性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弹性高的人的特点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展现弹性的方式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沟通过程弹性测试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弹性高低的优缺点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弹性与人际风格</w:t>
      </w:r>
    </w:p>
    <w:p>
      <w:pPr>
        <w:ind w:firstLine="421"/>
        <w:jc w:val="left"/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421"/>
        <w:jc w:val="left"/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掌握运用同理心的方法，以便提升倾听和沟通能力，从而提升沟通效果；</w:t>
      </w:r>
    </w:p>
    <w:p>
      <w:pPr>
        <w:ind w:firstLine="421"/>
        <w:jc w:val="left"/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掌握沟通中的弹性对沟通效果的影响；</w:t>
      </w:r>
    </w:p>
    <w:p>
      <w:pPr>
        <w:ind w:firstLine="421"/>
        <w:jc w:val="left"/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明确自己目前沟通中的弹性水平；</w:t>
      </w:r>
    </w:p>
    <w:p>
      <w:pPr>
        <w:ind w:firstLine="421"/>
        <w:jc w:val="left"/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针对不同风格的人如何展示你的弹性，以便提升沟通效果，从而提升工作效率和效果。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73094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CUTNGPtAQAAnQMAAA4AAABkcnMvZTJvRG9jLnhtbK1T&#10;S44TMRDdI3EHy3vSnYSQSSudETNh2PCJxGdfcdvdlvyTbdLJJbgAErthxZI9t2E4BmV3z/DbITYl&#10;+1XVc73X1evzo1bkwH2Q1tR0Oikp4YbZRpq2pm9eXz04oyREMA0oa3hNTzzQ8839e+veVXxmO6sa&#10;7gmSmFD1rqZdjK4qisA6riFMrOMGk8J6DRGvvi0aDz2ya1XMyvJR0VvfOG8ZDwHR7ZCkm8wvBGfx&#10;pRCBR6JqirPFHH2O+xSLzRqq1oPrJBvHgH+YQoM0+Ogd1RYikHde/kWlJfM2WBEnzOrCCiEZzxpQ&#10;zbT8Q82rDhzPWtCc4O5sCv+Plr047DyRTU3nlBjQ+IluPnz59v76+9ePGG8+fyLzZFLvQoW1l2bn&#10;x1twO58UH4XXRCjp3uL3zx6gKnJEwmU5KxeUnGo6W50tpvPF4DY/RsIwvyynq9UMCxhWrBZ4QuZi&#10;IEzEzof4lFtN0qGmSprkBVRweBbiUHpbkmBjr6RSiEOlDOlHSsIAt0ooiPiOdqgzmJYSUC2uK4s+&#10;MwarZJO6U3Pw7f5SeXIAXJmHj5dPLi6Gog4aPqCrRVmOqxMgPrfNAE/LWxxVjDRZ0W/8aeYthG7o&#10;yalRuDJYnYwerE2nvW1O2fGM4w5kvnFf05L9es/dP/+qz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PHp72QAAAAoBAAAPAAAAAAAAAAEAIAAAACIAAABkcnMvZG93bnJldi54bWxQSwECFAAUAAAA&#10;CACHTuJAJRM0Y+0BAACdAwAADgAAAAAAAAABACAAAAAoAQAAZHJzL2Uyb0RvYy54bWxQSwUGAAAA&#10;AAYABgBZAQAAh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实践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实践的项目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：沟通计划</w:t>
      </w:r>
    </w:p>
    <w:p>
      <w:pPr>
        <w:jc w:val="left"/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实践的方法：培训完成后的三天内，针对平时工作中难以沟通的对象，完成“沟通计划”并实践</w:t>
      </w:r>
    </w:p>
    <w:p>
      <w:pPr>
        <w:jc w:val="left"/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实践的收益：将上课学到的倾听、提问、表达的技巧在实际工作中，以改善沟通的效果。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</w:pPr>
      <w:r>
        <w:rPr>
          <w:rFonts w:ascii="宋体" w:hAnsi="宋体" w:eastAsia="宋体" w:cs="宋体"/>
          <w:sz w:val="36"/>
          <w:szCs w:val="36"/>
        </w:rPr>
        <w:drawing>
          <wp:anchor distT="0" distB="0" distL="152400" distR="152400" simplePos="0" relativeHeight="251731968" behindDoc="0" locked="0" layoutInCell="1" allowOverlap="1">
            <wp:simplePos x="0" y="0"/>
            <wp:positionH relativeFrom="margin">
              <wp:posOffset>210185</wp:posOffset>
            </wp:positionH>
            <wp:positionV relativeFrom="line">
              <wp:posOffset>-8890</wp:posOffset>
            </wp:positionV>
            <wp:extent cx="2008505" cy="2282190"/>
            <wp:effectExtent l="0" t="0" r="48895" b="3810"/>
            <wp:wrapThrough wrapText="bothSides">
              <wp:wrapPolygon>
                <wp:start x="8400" y="0"/>
                <wp:lineTo x="6761" y="361"/>
                <wp:lineTo x="2868" y="2344"/>
                <wp:lineTo x="1844" y="4147"/>
                <wp:lineTo x="615" y="5770"/>
                <wp:lineTo x="0" y="7753"/>
                <wp:lineTo x="0" y="12982"/>
                <wp:lineTo x="205" y="14424"/>
                <wp:lineTo x="1639" y="17309"/>
                <wp:lineTo x="4712" y="20194"/>
                <wp:lineTo x="4917" y="20374"/>
                <wp:lineTo x="7990" y="21456"/>
                <wp:lineTo x="8400" y="21456"/>
                <wp:lineTo x="12907" y="21456"/>
                <wp:lineTo x="13316" y="21456"/>
                <wp:lineTo x="16390" y="20374"/>
                <wp:lineTo x="16594" y="20194"/>
                <wp:lineTo x="19667" y="17309"/>
                <wp:lineTo x="21101" y="14424"/>
                <wp:lineTo x="21306" y="12982"/>
                <wp:lineTo x="21306" y="7753"/>
                <wp:lineTo x="20692" y="5770"/>
                <wp:lineTo x="19053" y="3606"/>
                <wp:lineTo x="18643" y="2524"/>
                <wp:lineTo x="14546" y="361"/>
                <wp:lineTo x="12907" y="0"/>
                <wp:lineTo x="8400" y="0"/>
              </wp:wrapPolygon>
            </wp:wrapThrough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eArt objec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11430</wp:posOffset>
                </wp:positionV>
                <wp:extent cx="3752850" cy="1715135"/>
                <wp:effectExtent l="0" t="0" r="0" b="1841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715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0"/>
                                <w:szCs w:val="36"/>
                                <w:lang w:val="zh-CN"/>
                              </w:rPr>
                              <w:t>董华荣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光华企业实战商学院特聘资深讲师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7.2pt;margin-top:0.9pt;height:135.05pt;width:295.5pt;z-index:251658240;mso-width-relative:page;mso-height-relative:page;" fillcolor="#FFFFFF" filled="t" stroked="f" coordsize="21600,21600" o:gfxdata="UEsDBAoAAAAAAIdO4kAAAAAAAAAAAAAAAAAEAAAAZHJzL1BLAwQUAAAACACHTuJApLxSMNkAAAAJ&#10;AQAADwAAAGRycy9kb3ducmV2LnhtbE2Py07DMBBF90j8gzVIbKrWSekjCXG6QEJsEFULiK0bD0lI&#10;PA6xm5a/77CC5dW5uo98c7adGHHwjSMF8SwCgVQ601Cl4O31cZqA8EGT0Z0jVPCDHjbF9VWuM+NO&#10;tMNxHyrBIeQzraAOoc+k9GWNVvuZ65GYfbrB6sByqKQZ9InDbSfnUbSSVjfEDbXu8aHGst0frYKX&#10;pW8n+P28K7+SuJ2sn8b3j+1WqdubOLoHEfAc/szwO5+nQ8GbDu5IxotOwV26WLCVAT9gniZL1gcF&#10;83Wcgixy+f9BcQFQSwMEFAAAAAgAh07iQNH8Zl/2AQAA5QMAAA4AAABkcnMvZTJvRG9jLnhtbK1T&#10;zY7TMBC+I/EOlu80SavQEjVdAatyQYBYVnt2HTux5D9st0lfAN6AExfuPFefg7GTtiuQOCB8cMbz&#10;883MN5P1zaAkOjDnhdE1LmY5RkxT0wjd1vj+0/bZCiMfiG6INJrV+Mg8vtk8fbLubcXmpjOyYQ4B&#10;iPZVb2vchWCrLPO0Y4r4mbFMg5Ebp0iAp2uzxpEe0JXM5nn+POuNa6wzlHkP2tvRiDcJn3NGw3vO&#10;PQtI1hhqC+l26d7FO9usSdU6YjtBpzLIP1ShiNCQ9AJ1SwJBeyf+gFKCOuMNDzNqVGY4F5SlHqCb&#10;Iv+tm7uOWJZ6AXK8vdDk/x8sfXf44JBoYHZzjDRRMKPTt6+n7z9PP76gxYtIUG99BX53FjzD8MoM&#10;4HzWe1DGvgfuVPxCRwjsQPXxQi8bAqKgXCzL+aoEEwVbsSzKYlFGnOwabp0Pb5hRKAo1djC/RCs5&#10;vPVhdD27TGw3WyElciY8iNAlwmLeZPQQMwrIGuBsVHvX7l5Lhw4EVmKbzlRE6x97F3k8CenvIVB+&#10;e04lhUYkrv60WUFI9hGaGEuHPUvlxjRSox5YKFfLMuXQJjYy+kkNpETWR3ajFIbdAMYo7kxzhEn0&#10;sLQ19p/3xDGM9taJtgPKignt5T4YLlLia9AEC7uUWJ/2Pi7r43fyuv6dm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kvFIw2QAAAAkBAAAPAAAAAAAAAAEAIAAAACIAAABkcnMvZG93bnJldi54bWxQ&#10;SwECFAAUAAAACACHTuJA0fxmX/YBAADlAwAADgAAAAAAAAABACAAAAAoAQAAZHJzL2Uyb0RvYy54&#10;bWxQSwUGAAAAAAYABgBZAQAAk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0"/>
                          <w:szCs w:val="36"/>
                          <w:lang w:val="zh-CN"/>
                        </w:rPr>
                        <w:t>董华荣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光华企业实战商学院特聘资深讲师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厦门大学、华南农业大学特聘讲师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“中国企业培训百佳精品课程”的开发者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美国Training House授权“MAP”&amp;“EXECL “(管理能力发展)讲师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美国Persona授权“Leadership”&amp;“Professional Manager”讲师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国家注册的质量、环境、职业健康安全管理体系高级审核员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多家世界五百强企业首荐讲师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中国多家大型培训网站力荐名师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中国质量协会特聘讲师、国家心理咨询师 </w:t>
      </w: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授课风格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课前的调查使课程更贴近企业的需求；将课程与企业的情况结合起来授课，让学员更容易接受和运用；通过课后的任务布置，让学员真正将学到的知识应该在工作中，最终使企业受益。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知识面广、层次清晰、实战性强，通过讲解课程的重点、难点、模型和方法以及示范，并在课堂强化训练提升学员讲授能力。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严谨认真、细致而又活泼；案例丰富、生动；很好的临场控制及应变能力；课程互动性强，能充分调动学员学习的积极性，很好地引导学员对课程的兴趣，并在工作中进一步运用。</w:t>
      </w: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授课经验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Coca Cola &amp; Panasonic &amp; DELL &amp; PHILIPS &amp; HUAWEI华为慧通商务公司 &amp; 中国平安人寿保险 &amp; MIZUNO美津浓体育用品 &amp; YKK吉田拉链 &amp; KOHLER科勒 &amp; 佳通轮胎 &amp; FDK富士电气 &amp; BYD比亚迪 &amp; 海尔集团 &amp; Midea美的电器 &amp; 顶新集团(康师傅食品) &amp; TPV冠捷科技 &amp; TPK辰鸿科技 &amp; GN-Resound瑞声达(中国)听力有限公司 &amp; Sodic沙迪克精密机械 &amp; Huisman豪氏威马、广东溢达纺织、ANTA体育用品、正新轮胎、翔鹭（厦门）化纤有限公司、威迪亚国际集团、许继(厦门)智能电力设备股份有限公司、福州高意集团、福耀玻璃工业集团有限公司、厦门国际会议展览有限公司、厦门通士达照明有限公司(GE所属公司)……                                                                                                                                                                 </w:t>
      </w: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课程预告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</w:rPr>
        <w:t>2018年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9-10</w:t>
      </w:r>
      <w:r>
        <w:rPr>
          <w:rFonts w:hint="eastAsia" w:ascii="仿宋" w:hAnsi="仿宋" w:eastAsia="仿宋" w:cs="仿宋"/>
          <w:bCs/>
          <w:sz w:val="28"/>
          <w:szCs w:val="28"/>
        </w:rPr>
        <w:t>日（周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五、六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Cs/>
          <w:sz w:val="28"/>
          <w:szCs w:val="28"/>
        </w:rPr>
        <w:t>《基于量化的培训体系构建》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许盛华</w:t>
      </w:r>
      <w:r>
        <w:rPr>
          <w:rFonts w:hint="eastAsia" w:ascii="仿宋" w:hAnsi="仿宋" w:eastAsia="仿宋" w:cs="仿宋"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</w:rPr>
        <w:t>原乐百氏(达能集团)全国培训经理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学习卡套餐</w:t>
      </w:r>
    </w:p>
    <w:p>
      <w:pPr>
        <w:jc w:val="left"/>
        <w:rPr>
          <w:rFonts w:ascii="微软雅黑" w:hAnsi="微软雅黑" w:eastAsia="微软雅黑"/>
          <w:b/>
          <w:sz w:val="32"/>
        </w:rPr>
      </w:pPr>
      <w:r>
        <w:drawing>
          <wp:inline distT="0" distB="0" distL="114300" distR="114300">
            <wp:extent cx="6127115" cy="5730240"/>
            <wp:effectExtent l="0" t="0" r="14605" b="0"/>
            <wp:docPr id="12448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7115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9D0E"/>
    <w:multiLevelType w:val="singleLevel"/>
    <w:tmpl w:val="39109D0E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1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2">
    <w:nsid w:val="5AAF76BE"/>
    <w:multiLevelType w:val="singleLevel"/>
    <w:tmpl w:val="5AAF76BE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3">
    <w:nsid w:val="5ADFE903"/>
    <w:multiLevelType w:val="singleLevel"/>
    <w:tmpl w:val="5ADFE903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4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014B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BF3C98"/>
    <w:rsid w:val="030A11A1"/>
    <w:rsid w:val="03973530"/>
    <w:rsid w:val="04412C6F"/>
    <w:rsid w:val="07F23F62"/>
    <w:rsid w:val="087C606A"/>
    <w:rsid w:val="08CC176A"/>
    <w:rsid w:val="08E970C0"/>
    <w:rsid w:val="09140B23"/>
    <w:rsid w:val="09B502C2"/>
    <w:rsid w:val="0AC05D0B"/>
    <w:rsid w:val="0DAC13D2"/>
    <w:rsid w:val="0ECA17E3"/>
    <w:rsid w:val="0FFD2BFC"/>
    <w:rsid w:val="10C05AE1"/>
    <w:rsid w:val="11E277C5"/>
    <w:rsid w:val="11EB7E3E"/>
    <w:rsid w:val="125F09D7"/>
    <w:rsid w:val="12BC084A"/>
    <w:rsid w:val="12C6169E"/>
    <w:rsid w:val="1445327A"/>
    <w:rsid w:val="14547BAE"/>
    <w:rsid w:val="14D46F3F"/>
    <w:rsid w:val="14EC2BB1"/>
    <w:rsid w:val="157C3E5D"/>
    <w:rsid w:val="15D53C53"/>
    <w:rsid w:val="160F1903"/>
    <w:rsid w:val="19775620"/>
    <w:rsid w:val="1AF101B5"/>
    <w:rsid w:val="1CB974E3"/>
    <w:rsid w:val="1DC56A4D"/>
    <w:rsid w:val="1E482016"/>
    <w:rsid w:val="1E59101B"/>
    <w:rsid w:val="1EA4381C"/>
    <w:rsid w:val="1ECD7371"/>
    <w:rsid w:val="1FC854A4"/>
    <w:rsid w:val="20447A3F"/>
    <w:rsid w:val="215D0D9C"/>
    <w:rsid w:val="218466D5"/>
    <w:rsid w:val="22003B30"/>
    <w:rsid w:val="247A3A18"/>
    <w:rsid w:val="27944D9A"/>
    <w:rsid w:val="280A610D"/>
    <w:rsid w:val="28DA3E5B"/>
    <w:rsid w:val="29550264"/>
    <w:rsid w:val="296E6C93"/>
    <w:rsid w:val="29A67B31"/>
    <w:rsid w:val="29F140A6"/>
    <w:rsid w:val="2A965048"/>
    <w:rsid w:val="2BD918A8"/>
    <w:rsid w:val="2D8E706E"/>
    <w:rsid w:val="2DD22C2D"/>
    <w:rsid w:val="2EE73107"/>
    <w:rsid w:val="2F6D079D"/>
    <w:rsid w:val="30597E99"/>
    <w:rsid w:val="314A552F"/>
    <w:rsid w:val="319B0FA4"/>
    <w:rsid w:val="31F2543F"/>
    <w:rsid w:val="32155F4C"/>
    <w:rsid w:val="327148E0"/>
    <w:rsid w:val="33E56B8D"/>
    <w:rsid w:val="34BE1F89"/>
    <w:rsid w:val="360556FB"/>
    <w:rsid w:val="362539BB"/>
    <w:rsid w:val="3893107F"/>
    <w:rsid w:val="38CF2F29"/>
    <w:rsid w:val="398E0DAE"/>
    <w:rsid w:val="3A056318"/>
    <w:rsid w:val="3A192BFD"/>
    <w:rsid w:val="3A1C20F5"/>
    <w:rsid w:val="3B781713"/>
    <w:rsid w:val="3BD52FAE"/>
    <w:rsid w:val="3BD55738"/>
    <w:rsid w:val="3CD67196"/>
    <w:rsid w:val="3D021051"/>
    <w:rsid w:val="3D117005"/>
    <w:rsid w:val="3D1E55B7"/>
    <w:rsid w:val="3DE17E7F"/>
    <w:rsid w:val="3E2C1D7B"/>
    <w:rsid w:val="3E9C360A"/>
    <w:rsid w:val="3F126BE0"/>
    <w:rsid w:val="3F78370A"/>
    <w:rsid w:val="3F8C2DA7"/>
    <w:rsid w:val="3FC53093"/>
    <w:rsid w:val="406C6CD0"/>
    <w:rsid w:val="41A52704"/>
    <w:rsid w:val="41B41117"/>
    <w:rsid w:val="43022668"/>
    <w:rsid w:val="435629B6"/>
    <w:rsid w:val="44EB4048"/>
    <w:rsid w:val="46A56284"/>
    <w:rsid w:val="476668EB"/>
    <w:rsid w:val="48141E0C"/>
    <w:rsid w:val="48300B3D"/>
    <w:rsid w:val="484A701B"/>
    <w:rsid w:val="49395D27"/>
    <w:rsid w:val="495D2240"/>
    <w:rsid w:val="4A142266"/>
    <w:rsid w:val="4A184561"/>
    <w:rsid w:val="4A820A3B"/>
    <w:rsid w:val="4B792A0A"/>
    <w:rsid w:val="4B950932"/>
    <w:rsid w:val="4C9546CC"/>
    <w:rsid w:val="4D032DE6"/>
    <w:rsid w:val="4E0D7F90"/>
    <w:rsid w:val="51A758CA"/>
    <w:rsid w:val="51DF34BB"/>
    <w:rsid w:val="53055C1C"/>
    <w:rsid w:val="535B5907"/>
    <w:rsid w:val="538E3A2B"/>
    <w:rsid w:val="53B43D3A"/>
    <w:rsid w:val="54984945"/>
    <w:rsid w:val="55E8015C"/>
    <w:rsid w:val="566B4634"/>
    <w:rsid w:val="57E24D15"/>
    <w:rsid w:val="58C96D67"/>
    <w:rsid w:val="591431D0"/>
    <w:rsid w:val="5BA95FEE"/>
    <w:rsid w:val="5C8276CC"/>
    <w:rsid w:val="5CC97B96"/>
    <w:rsid w:val="5DBB052B"/>
    <w:rsid w:val="5F5B3296"/>
    <w:rsid w:val="5FD5341C"/>
    <w:rsid w:val="5FE23114"/>
    <w:rsid w:val="6232481E"/>
    <w:rsid w:val="63CE41AA"/>
    <w:rsid w:val="654B1D62"/>
    <w:rsid w:val="66340069"/>
    <w:rsid w:val="66426F4E"/>
    <w:rsid w:val="67891D66"/>
    <w:rsid w:val="686B5634"/>
    <w:rsid w:val="68DD625F"/>
    <w:rsid w:val="6964373A"/>
    <w:rsid w:val="6A823A77"/>
    <w:rsid w:val="6AF32913"/>
    <w:rsid w:val="6C92060F"/>
    <w:rsid w:val="6CCE3329"/>
    <w:rsid w:val="6E150956"/>
    <w:rsid w:val="70490B2B"/>
    <w:rsid w:val="70C70EEE"/>
    <w:rsid w:val="718476F9"/>
    <w:rsid w:val="72511E08"/>
    <w:rsid w:val="729C5D67"/>
    <w:rsid w:val="74AD4A41"/>
    <w:rsid w:val="74CB33EF"/>
    <w:rsid w:val="74DE1AB1"/>
    <w:rsid w:val="756F7A8C"/>
    <w:rsid w:val="77E26D16"/>
    <w:rsid w:val="781B31AD"/>
    <w:rsid w:val="78CF032E"/>
    <w:rsid w:val="790911C0"/>
    <w:rsid w:val="7A655B99"/>
    <w:rsid w:val="7A991C3D"/>
    <w:rsid w:val="7AB46CD4"/>
    <w:rsid w:val="7B3E2787"/>
    <w:rsid w:val="7C4E3BCF"/>
    <w:rsid w:val="7C701A04"/>
    <w:rsid w:val="7D4D466B"/>
    <w:rsid w:val="7E776B08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42">
    <w:name w:val="小标题（红色）"/>
    <w:next w:val="41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" w:cs="Arial Unicode MS"/>
      <w:b/>
      <w:bCs/>
      <w:color w:val="C82505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43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1</TotalTime>
  <ScaleCrop>false</ScaleCrop>
  <LinksUpToDate>false</LinksUpToDate>
  <CharactersWithSpaces>1121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2018-10-08T08:24:39Z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