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adjustRightInd w:val="0"/>
        <w:snapToGrid w:val="0"/>
        <w:spacing w:line="276" w:lineRule="auto"/>
        <w:jc w:val="center"/>
        <w:rPr>
          <w:rFonts w:hint="eastAsia" w:ascii="微软雅黑" w:hAnsi="微软雅黑" w:eastAsia="微软雅黑"/>
          <w:b/>
          <w:bCs/>
          <w:color w:val="FF0000"/>
          <w:sz w:val="32"/>
          <w:szCs w:val="32"/>
          <w:lang w:eastAsia="zh-CN"/>
        </w:rPr>
      </w:pPr>
      <w:r>
        <w:rPr>
          <w:rFonts w:hint="eastAsia" w:ascii="微软雅黑" w:hAnsi="微软雅黑" w:eastAsia="微软雅黑"/>
          <w:b/>
          <w:bCs/>
          <w:color w:val="FF0000"/>
          <w:sz w:val="32"/>
          <w:szCs w:val="32"/>
          <w:lang w:eastAsia="zh-CN"/>
        </w:rPr>
        <w:t>国际贸易实务操作技巧与风险防范</w:t>
      </w:r>
    </w:p>
    <w:p>
      <w:pPr>
        <w:adjustRightInd w:val="0"/>
        <w:snapToGrid w:val="0"/>
        <w:spacing w:line="276" w:lineRule="auto"/>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【主办单位】</w:t>
      </w:r>
      <w:r>
        <w:rPr>
          <w:rFonts w:hint="eastAsia" w:ascii="微软雅黑" w:hAnsi="微软雅黑" w:eastAsia="微软雅黑"/>
          <w:color w:val="000000" w:themeColor="text1"/>
          <w:szCs w:val="21"/>
          <w14:textFill>
            <w14:solidFill>
              <w14:schemeClr w14:val="tx1"/>
            </w14:solidFill>
          </w14:textFill>
        </w:rPr>
        <w:t xml:space="preserve">上海帕迪企业管理咨询有限公司 </w:t>
      </w:r>
      <w:r>
        <w:rPr>
          <w:rFonts w:hint="eastAsia" w:ascii="Arial Unicode MS" w:hAnsi="Arial Unicode MS" w:eastAsia="Arial Unicode MS" w:cs="Arial Unicode MS"/>
          <w:color w:val="000000" w:themeColor="text1"/>
          <w:szCs w:val="21"/>
          <w14:textFill>
            <w14:solidFill>
              <w14:schemeClr w14:val="tx1"/>
            </w14:solidFill>
          </w14:textFill>
        </w:rPr>
        <w:t>www.sino-pardi.com，www.021px.com</w:t>
      </w:r>
    </w:p>
    <w:p>
      <w:pPr>
        <w:adjustRightInd w:val="0"/>
        <w:snapToGrid w:val="0"/>
        <w:spacing w:line="276" w:lineRule="auto"/>
        <w:rPr>
          <w:rFonts w:ascii="微软雅黑" w:hAnsi="微软雅黑" w:eastAsia="微软雅黑"/>
          <w:szCs w:val="21"/>
        </w:rPr>
      </w:pPr>
      <w:r>
        <w:rPr>
          <w:rFonts w:hint="eastAsia" w:ascii="微软雅黑" w:hAnsi="微软雅黑" w:eastAsia="微软雅黑"/>
          <w:b/>
          <w:color w:val="000000" w:themeColor="text1"/>
          <w14:textFill>
            <w14:solidFill>
              <w14:schemeClr w14:val="tx1"/>
            </w14:solidFill>
          </w14:textFill>
        </w:rPr>
        <w:t>【报名热线】</w:t>
      </w:r>
      <w:r>
        <w:rPr>
          <w:rFonts w:ascii="微软雅黑" w:hAnsi="微软雅黑" w:eastAsia="微软雅黑"/>
        </w:rPr>
        <w:t>021</w:t>
      </w:r>
      <w:r>
        <w:rPr>
          <w:rFonts w:hint="eastAsia" w:ascii="微软雅黑" w:hAnsi="微软雅黑" w:eastAsia="微软雅黑"/>
        </w:rPr>
        <w:t>-</w:t>
      </w:r>
      <w:r>
        <w:rPr>
          <w:rFonts w:ascii="微软雅黑" w:hAnsi="微软雅黑" w:eastAsia="微软雅黑"/>
        </w:rPr>
        <w:t>51036580</w:t>
      </w:r>
      <w:r>
        <w:rPr>
          <w:rFonts w:hint="eastAsia" w:ascii="微软雅黑" w:hAnsi="微软雅黑" w:eastAsia="微软雅黑"/>
        </w:rPr>
        <w:t xml:space="preserve">，18917655637（微信同号） </w:t>
      </w:r>
      <w:r>
        <w:rPr>
          <w:rFonts w:ascii="微软雅黑" w:hAnsi="微软雅黑" w:eastAsia="微软雅黑"/>
        </w:rPr>
        <w:t xml:space="preserve"> </w:t>
      </w:r>
      <w:r>
        <w:rPr>
          <w:rFonts w:hint="eastAsia" w:ascii="微软雅黑" w:hAnsi="微软雅黑" w:eastAsia="微软雅黑"/>
        </w:rPr>
        <w:t>QQ：729060683</w:t>
      </w:r>
    </w:p>
    <w:p>
      <w:pPr>
        <w:adjustRightInd w:val="0"/>
        <w:snapToGrid w:val="0"/>
        <w:spacing w:line="276" w:lineRule="auto"/>
        <w:rPr>
          <w:rFonts w:ascii="微软雅黑" w:hAnsi="微软雅黑" w:eastAsia="微软雅黑"/>
          <w:color w:val="000000"/>
          <w:szCs w:val="21"/>
        </w:rPr>
      </w:pPr>
      <w:r>
        <w:rPr>
          <w:rFonts w:hint="eastAsia" w:ascii="微软雅黑" w:hAnsi="微软雅黑" w:eastAsia="微软雅黑"/>
          <w:b/>
          <w:szCs w:val="21"/>
        </w:rPr>
        <w:t>【开课时间】</w:t>
      </w:r>
      <w:r>
        <w:rPr>
          <w:rFonts w:hint="eastAsia" w:ascii="微软雅黑" w:hAnsi="微软雅黑" w:eastAsia="微软雅黑"/>
          <w:szCs w:val="21"/>
        </w:rPr>
        <w:t xml:space="preserve">5月30-31日 上海 </w:t>
      </w:r>
      <w:r>
        <w:rPr>
          <w:rFonts w:ascii="微软雅黑" w:hAnsi="微软雅黑" w:eastAsia="微软雅黑"/>
          <w:szCs w:val="21"/>
        </w:rPr>
        <w:t xml:space="preserve"> </w:t>
      </w:r>
      <w:r>
        <w:rPr>
          <w:rFonts w:hint="eastAsia" w:ascii="微软雅黑" w:hAnsi="微软雅黑" w:eastAsia="微软雅黑"/>
          <w:szCs w:val="21"/>
        </w:rPr>
        <w:t xml:space="preserve">  9月19-20日上海 </w:t>
      </w:r>
      <w:r>
        <w:rPr>
          <w:rFonts w:ascii="微软雅黑" w:hAnsi="微软雅黑" w:eastAsia="微软雅黑"/>
          <w:szCs w:val="21"/>
        </w:rPr>
        <w:t xml:space="preserve">  </w:t>
      </w:r>
      <w:r>
        <w:rPr>
          <w:rFonts w:hint="eastAsia" w:ascii="微软雅黑" w:hAnsi="微软雅黑" w:eastAsia="微软雅黑"/>
          <w:szCs w:val="21"/>
        </w:rPr>
        <w:t xml:space="preserve"> 12月12-13日 上海</w:t>
      </w:r>
    </w:p>
    <w:p>
      <w:pPr>
        <w:adjustRightInd w:val="0"/>
        <w:snapToGrid w:val="0"/>
        <w:spacing w:line="276" w:lineRule="auto"/>
        <w:ind w:left="1260" w:hanging="1260" w:hangingChars="600"/>
        <w:rPr>
          <w:rFonts w:ascii="微软雅黑" w:hAnsi="微软雅黑" w:eastAsia="微软雅黑"/>
          <w:szCs w:val="21"/>
        </w:rPr>
      </w:pPr>
      <w:r>
        <w:rPr>
          <w:rFonts w:hint="eastAsia" w:ascii="微软雅黑" w:hAnsi="微软雅黑" w:eastAsia="微软雅黑"/>
          <w:b/>
        </w:rPr>
        <w:t>【培训对象】</w:t>
      </w:r>
      <w:r>
        <w:rPr>
          <w:rFonts w:hint="eastAsia" w:ascii="微软雅黑" w:hAnsi="微软雅黑" w:eastAsia="微软雅黑"/>
        </w:rPr>
        <w:t>进出口企业总经理、物流、贸易、进出口、报关、国际采购人员,及相关业务人员。</w:t>
      </w:r>
      <w:bookmarkStart w:id="0" w:name="_GoBack"/>
      <w:bookmarkEnd w:id="0"/>
      <w:r>
        <w:rPr>
          <w:rFonts w:hint="eastAsia" w:ascii="微软雅黑" w:hAnsi="微软雅黑" w:eastAsia="微软雅黑"/>
          <w:sz w:val="20"/>
          <w:szCs w:val="20"/>
        </w:rPr>
        <w:t>。</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t xml:space="preserve"> </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课程背景：</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中国企业从国外采购的金额每年都在递增，众多跨国企业落户中国设立工厂或建立国际采购中心/IPO寻购，采购人员的日常工作中越来越多地涉及到国际贸易，物流及进出口实务等相关业务。国际贸易知识，进出口操作，物流通关及外汇结算等知识已经成为当今采购/贸易人员必备的基本技能。另外，国际贸易是高收益与高难度、高风险并存的，如何操作国际贸易、拓展国际业务、防范风险？如何选择交易币种？如何进行套期保值？仅凭以往似懂非懂的经验进行操作，已经不能满足时代的需要。仅凭以往的经验进行操作，还可以继续吗？？参加此次培训能让你的企业少交些学费！</w:t>
      </w:r>
    </w:p>
    <w:p>
      <w:pPr>
        <w:widowControl/>
        <w:adjustRightInd w:val="0"/>
        <w:snapToGrid w:val="0"/>
        <w:ind w:firstLine="420" w:firstLineChars="200"/>
        <w:rPr>
          <w:rFonts w:hint="eastAsia" w:ascii="微软雅黑" w:hAnsi="微软雅黑" w:eastAsia="微软雅黑"/>
          <w:b/>
          <w:color w:val="FF0000"/>
          <w:sz w:val="24"/>
        </w:rPr>
      </w:pPr>
      <w:r>
        <w:rPr>
          <w:rFonts w:hint="eastAsia" w:ascii="微软雅黑" w:hAnsi="微软雅黑" w:eastAsia="微软雅黑"/>
          <w:color w:val="000000" w:themeColor="text1"/>
          <w:szCs w:val="21"/>
          <w14:textFill>
            <w14:solidFill>
              <w14:schemeClr w14:val="tx1"/>
            </w14:solidFill>
          </w14:textFill>
        </w:rPr>
        <w:t>本课程精选了国际贸易的核心知识，并结合最新的国际贸易条款详实讲解分析国际贸易中的各环节风险及规避方法，通过讲师多年实际工作中总结的实际案例，同时辅以模拟演练旨在帮助学员培养务实的操作和管理能力，敏锐的风险分析和预防能力，及驾驭全局的战略性思维模式，使学员全面掌握解决贸易实务问题的办法，提高国贸人员在复杂的国内外经济、社会环境下进行进口/出口战略、参与国际竞争的知识和能力。</w:t>
      </w:r>
    </w:p>
    <w:p>
      <w:pPr>
        <w:adjustRightInd w:val="0"/>
        <w:snapToGrid w:val="0"/>
        <w:rPr>
          <w:rFonts w:ascii="微软雅黑" w:hAnsi="微软雅黑" w:eastAsia="微软雅黑"/>
          <w:szCs w:val="21"/>
        </w:rPr>
      </w:pPr>
      <w:r>
        <w:rPr>
          <w:rFonts w:hint="eastAsia" w:ascii="微软雅黑" w:hAnsi="微软雅黑" w:eastAsia="微软雅黑"/>
          <w:b/>
          <w:color w:val="FF0000"/>
          <w:sz w:val="24"/>
        </w:rPr>
        <w:t>课程收益：</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学习并掌握国际贸易4组13个术语</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买卖双方应当如何选择应用国际贸易术语</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如何根据产品不同选择国际贸易术语</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进出口报关的流程</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如何提升企业的报关时效</w:t>
      </w:r>
      <w:r>
        <w:rPr>
          <w:rFonts w:ascii="微软雅黑" w:hAnsi="微软雅黑" w:eastAsia="微软雅黑"/>
          <w:szCs w:val="21"/>
        </w:rPr>
        <w:t xml:space="preserve"> </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国际外汇结算的操作</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color w:val="000000" w:themeColor="text1"/>
          <w:szCs w:val="21"/>
          <w14:textFill>
            <w14:solidFill>
              <w14:schemeClr w14:val="tx1"/>
            </w14:solidFill>
          </w14:textFill>
        </w:rPr>
        <w:t>国际运输保险实务</w:t>
      </w:r>
    </w:p>
    <w:p>
      <w:pPr>
        <w:numPr>
          <w:ilvl w:val="0"/>
          <w:numId w:val="1"/>
        </w:numPr>
        <w:adjustRightInd w:val="0"/>
        <w:snapToGrid w:val="0"/>
        <w:ind w:left="425" w:leftChars="0" w:hanging="425" w:firstLineChars="0"/>
        <w:rPr>
          <w:rFonts w:ascii="微软雅黑" w:hAnsi="微软雅黑" w:eastAsia="微软雅黑"/>
          <w:szCs w:val="21"/>
        </w:rPr>
      </w:pPr>
      <w:r>
        <w:rPr>
          <w:rFonts w:hint="eastAsia" w:ascii="微软雅黑" w:hAnsi="微软雅黑" w:eastAsia="微软雅黑"/>
          <w:szCs w:val="21"/>
        </w:rPr>
        <w:t>国际合同中的法律适用</w:t>
      </w:r>
    </w:p>
    <w:p>
      <w:pPr>
        <w:numPr>
          <w:ilvl w:val="0"/>
          <w:numId w:val="1"/>
        </w:numPr>
        <w:adjustRightInd w:val="0"/>
        <w:snapToGrid w:val="0"/>
        <w:ind w:left="425" w:leftChars="0" w:hanging="425" w:firstLineChars="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olor w:val="000000" w:themeColor="text1"/>
          <w:szCs w:val="21"/>
          <w14:textFill>
            <w14:solidFill>
              <w14:schemeClr w14:val="tx1"/>
            </w14:solidFill>
          </w14:textFill>
        </w:rPr>
        <w:t>海关信用等级降级风险</w:t>
      </w:r>
    </w:p>
    <w:p>
      <w:pPr>
        <w:spacing w:line="360" w:lineRule="auto"/>
        <w:rPr>
          <w:rFonts w:hint="eastAsia" w:ascii="微软雅黑" w:hAnsi="微软雅黑" w:eastAsia="微软雅黑"/>
          <w:b/>
          <w:color w:val="FF0000"/>
          <w:sz w:val="24"/>
        </w:rPr>
      </w:pPr>
      <w:r>
        <w:rPr>
          <w:rFonts w:hint="eastAsia" w:ascii="微软雅黑" w:hAnsi="微软雅黑" w:eastAsia="微软雅黑"/>
          <w:b/>
          <w:color w:val="FF0000"/>
          <w:sz w:val="24"/>
        </w:rPr>
        <w:t>课程大纲：</w:t>
      </w:r>
    </w:p>
    <w:p>
      <w:pPr>
        <w:adjustRightInd w:val="0"/>
        <w:snapToGrid w:val="0"/>
        <w:jc w:val="left"/>
        <w:rPr>
          <w:rFonts w:hint="eastAsia" w:ascii="微软雅黑" w:hAnsi="微软雅黑" w:eastAsia="微软雅黑"/>
          <w:b/>
          <w:bCs/>
          <w:color w:val="000000" w:themeColor="text1"/>
          <w:szCs w:val="21"/>
          <w:lang w:eastAsia="zh-CN"/>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专题一：今天贸易、物流如何变革？</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从源头说起。。。</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跨境方式多样化</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大宗货物碎片化</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跨境贸易无形化</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制造全球化</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加工贸易转型升级</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全球化向双边转变</w:t>
      </w:r>
    </w:p>
    <w:p>
      <w:pPr>
        <w:numPr>
          <w:ilvl w:val="0"/>
          <w:numId w:val="2"/>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当前的贸易形势分析？</w:t>
      </w:r>
    </w:p>
    <w:p>
      <w:pPr>
        <w:adjustRightInd w:val="0"/>
        <w:snapToGrid w:val="0"/>
        <w:jc w:val="left"/>
        <w:rPr>
          <w:rFonts w:hint="eastAsia" w:ascii="微软雅黑" w:hAnsi="微软雅黑" w:eastAsia="微软雅黑"/>
          <w:b/>
          <w:bCs/>
          <w:color w:val="000000" w:themeColor="text1"/>
          <w:szCs w:val="21"/>
          <w:lang w:eastAsia="zh-CN"/>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专题二：口岸进出口流程及单据风险管控</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班轮订舱、进口提货流程、国际多式联运流程</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提单风险规避  进口换单  电放、无单放货、保函提货等案例详解 </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海牙规则、汉堡规则、维斯比规则</w:t>
      </w:r>
    </w:p>
    <w:p>
      <w:pPr>
        <w:pStyle w:val="23"/>
        <w:numPr>
          <w:ilvl w:val="0"/>
          <w:numId w:val="3"/>
        </w:numPr>
        <w:adjustRightInd w:val="0"/>
        <w:snapToGrid w:val="0"/>
        <w:ind w:left="425" w:leftChars="0" w:hanging="425" w:firstLineChars="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提单</w:t>
      </w:r>
      <w:r>
        <w:rPr>
          <w:rFonts w:hint="eastAsia" w:ascii="微软雅黑" w:hAnsi="微软雅黑" w:eastAsia="微软雅黑"/>
          <w:color w:val="000000" w:themeColor="text1"/>
          <w:szCs w:val="21"/>
          <w:lang w:val="en-US" w:eastAsia="zh-CN"/>
          <w14:textFill>
            <w14:solidFill>
              <w14:schemeClr w14:val="tx1"/>
            </w14:solidFill>
          </w14:textFill>
        </w:rPr>
        <w:t>B/L</w:t>
      </w:r>
      <w:r>
        <w:rPr>
          <w:rFonts w:hint="eastAsia" w:ascii="微软雅黑" w:hAnsi="微软雅黑" w:eastAsia="微软雅黑"/>
          <w:color w:val="000000" w:themeColor="text1"/>
          <w:szCs w:val="21"/>
          <w14:textFill>
            <w14:solidFill>
              <w14:schemeClr w14:val="tx1"/>
            </w14:solidFill>
          </w14:textFill>
        </w:rPr>
        <w:t>分类、提单流程。美国流程和中国流程对比</w:t>
      </w:r>
    </w:p>
    <w:p>
      <w:pPr>
        <w:pStyle w:val="23"/>
        <w:numPr>
          <w:ilvl w:val="0"/>
          <w:numId w:val="3"/>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货主的抗辩技巧在哪里？</w:t>
      </w:r>
    </w:p>
    <w:p>
      <w:pPr>
        <w:pStyle w:val="23"/>
        <w:numPr>
          <w:ilvl w:val="0"/>
          <w:numId w:val="3"/>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抗辩案例分析</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舱单更正  </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与承运人关系风险管控、责任划分、承托关系平衡、舱位确保机制</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运费管控、运输成本管控机制</w:t>
      </w:r>
    </w:p>
    <w:p>
      <w:pPr>
        <w:pStyle w:val="23"/>
        <w:numPr>
          <w:ilvl w:val="0"/>
          <w:numId w:val="3"/>
        </w:numPr>
        <w:adjustRightInd w:val="0"/>
        <w:snapToGrid w:val="0"/>
        <w:ind w:left="425" w:leftChars="0" w:hanging="425"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通关风险、码头操作规则、港口码头流程管控</w:t>
      </w:r>
    </w:p>
    <w:p>
      <w:pPr>
        <w:pStyle w:val="23"/>
        <w:numPr>
          <w:ilvl w:val="0"/>
          <w:numId w:val="3"/>
        </w:numPr>
        <w:adjustRightInd w:val="0"/>
        <w:snapToGrid w:val="0"/>
        <w:ind w:left="425" w:leftChars="0" w:hanging="425" w:firstLineChars="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海运保险、多式联运保险</w:t>
      </w:r>
    </w:p>
    <w:p>
      <w:pPr>
        <w:pStyle w:val="23"/>
        <w:numPr>
          <w:ilvl w:val="0"/>
          <w:numId w:val="3"/>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承保范围、共同海损、赔偿责任制、保险单、保险费计算</w:t>
      </w:r>
    </w:p>
    <w:p>
      <w:pPr>
        <w:adjustRightInd w:val="0"/>
        <w:snapToGrid w:val="0"/>
        <w:jc w:val="left"/>
        <w:rPr>
          <w:rFonts w:hint="eastAsia" w:ascii="微软雅黑" w:hAnsi="微软雅黑" w:eastAsia="微软雅黑"/>
          <w:b/>
          <w:bCs/>
          <w:color w:val="000000" w:themeColor="text1"/>
          <w:szCs w:val="21"/>
          <w:lang w:eastAsia="zh-CN"/>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专题三：贸易术语中的风险防范</w:t>
      </w:r>
    </w:p>
    <w:p>
      <w:pPr>
        <w:numPr>
          <w:ilvl w:val="0"/>
          <w:numId w:val="4"/>
        </w:numPr>
        <w:adjustRightInd w:val="0"/>
        <w:snapToGrid w:val="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最新价格术语</w:t>
      </w:r>
    </w:p>
    <w:p>
      <w:pPr>
        <w:numPr>
          <w:ilvl w:val="0"/>
          <w:numId w:val="5"/>
        </w:numPr>
        <w:adjustRightInd w:val="0"/>
        <w:snapToGrid w:val="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Incoterms2010的变化</w:t>
      </w:r>
    </w:p>
    <w:p>
      <w:pPr>
        <w:numPr>
          <w:ilvl w:val="0"/>
          <w:numId w:val="5"/>
        </w:numPr>
        <w:adjustRightInd w:val="0"/>
        <w:snapToGrid w:val="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2000、</w:t>
      </w:r>
      <w:r>
        <w:rPr>
          <w:rFonts w:ascii="微软雅黑" w:hAnsi="微软雅黑" w:eastAsia="微软雅黑"/>
          <w:color w:val="000000" w:themeColor="text1"/>
          <w:szCs w:val="21"/>
          <w14:textFill>
            <w14:solidFill>
              <w14:schemeClr w14:val="tx1"/>
            </w14:solidFill>
          </w14:textFill>
        </w:rPr>
        <w:t>2010通则的</w:t>
      </w:r>
      <w:r>
        <w:rPr>
          <w:rFonts w:hint="eastAsia" w:ascii="微软雅黑" w:hAnsi="微软雅黑" w:eastAsia="微软雅黑"/>
          <w:color w:val="000000" w:themeColor="text1"/>
          <w:szCs w:val="21"/>
          <w14:textFill>
            <w14:solidFill>
              <w14:schemeClr w14:val="tx1"/>
            </w14:solidFill>
          </w14:textFill>
        </w:rPr>
        <w:t>对比分析、</w:t>
      </w:r>
      <w:r>
        <w:rPr>
          <w:rFonts w:ascii="微软雅黑" w:hAnsi="微软雅黑" w:eastAsia="微软雅黑"/>
          <w:color w:val="000000" w:themeColor="text1"/>
          <w:szCs w:val="21"/>
          <w14:textFill>
            <w14:solidFill>
              <w14:schemeClr w14:val="tx1"/>
            </w14:solidFill>
          </w14:textFill>
        </w:rPr>
        <w:t>运用与风险防范</w:t>
      </w:r>
    </w:p>
    <w:p>
      <w:pPr>
        <w:adjustRightInd w:val="0"/>
        <w:snapToGrid w:val="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二、贸易术语的划分应用</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装运港船上交货（</w:t>
      </w:r>
      <w:r>
        <w:rPr>
          <w:rFonts w:hint="eastAsia" w:ascii="微软雅黑" w:hAnsi="微软雅黑" w:eastAsia="微软雅黑"/>
          <w:color w:val="000000" w:themeColor="text1"/>
          <w:szCs w:val="21"/>
          <w:lang w:val="en-US" w:eastAsia="zh-CN"/>
          <w14:textFill>
            <w14:solidFill>
              <w14:schemeClr w14:val="tx1"/>
            </w14:solidFill>
          </w14:textFill>
        </w:rPr>
        <w:t>FOB,CIF,CFR</w:t>
      </w:r>
      <w:r>
        <w:rPr>
          <w:rFonts w:hint="eastAsia" w:ascii="微软雅黑" w:hAnsi="微软雅黑" w:eastAsia="微软雅黑"/>
          <w:color w:val="000000" w:themeColor="text1"/>
          <w:szCs w:val="21"/>
          <w:lang w:eastAsia="zh-CN"/>
          <w14:textFill>
            <w14:solidFill>
              <w14:schemeClr w14:val="tx1"/>
            </w14:solidFill>
          </w14:textFill>
        </w:rPr>
        <w:t>）</w:t>
      </w:r>
    </w:p>
    <w:p>
      <w:pPr>
        <w:numPr>
          <w:ilvl w:val="0"/>
          <w:numId w:val="7"/>
        </w:numPr>
        <w:adjustRightInd w:val="0"/>
        <w:snapToGrid w:val="0"/>
        <w:ind w:left="420" w:leftChars="0" w:hanging="42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案例分析</w:t>
      </w:r>
      <w:r>
        <w:rPr>
          <w:rFonts w:hint="eastAsia" w:ascii="微软雅黑" w:hAnsi="微软雅黑" w:eastAsia="微软雅黑"/>
          <w:color w:val="000000" w:themeColor="text1"/>
          <w:szCs w:val="21"/>
          <w:lang w:val="en-US" w:eastAsia="zh-CN"/>
          <w14:textFill>
            <w14:solidFill>
              <w14:schemeClr w14:val="tx1"/>
            </w14:solidFill>
          </w14:textFill>
        </w:rPr>
        <w:t>FOB,CIF,CFR具体应用</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向承运人交货</w:t>
      </w:r>
      <w:r>
        <w:rPr>
          <w:rFonts w:hint="eastAsia" w:ascii="微软雅黑" w:hAnsi="微软雅黑" w:eastAsia="微软雅黑"/>
          <w:color w:val="000000" w:themeColor="text1"/>
          <w:szCs w:val="21"/>
          <w:lang w:val="en-US" w:eastAsia="zh-CN"/>
          <w14:textFill>
            <w14:solidFill>
              <w14:schemeClr w14:val="tx1"/>
            </w14:solidFill>
          </w14:textFill>
        </w:rPr>
        <w:t>(FCA,CIP,CPT)</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装运港船边交货</w:t>
      </w:r>
      <w:r>
        <w:rPr>
          <w:rFonts w:hint="eastAsia" w:ascii="微软雅黑" w:hAnsi="微软雅黑" w:eastAsia="微软雅黑"/>
          <w:color w:val="000000" w:themeColor="text1"/>
          <w:szCs w:val="21"/>
          <w:lang w:val="en-US" w:eastAsia="zh-CN"/>
          <w14:textFill>
            <w14:solidFill>
              <w14:schemeClr w14:val="tx1"/>
            </w14:solidFill>
          </w14:textFill>
        </w:rPr>
        <w:t>(FAS)</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边境交货</w:t>
      </w:r>
      <w:r>
        <w:rPr>
          <w:rFonts w:hint="eastAsia" w:ascii="微软雅黑" w:hAnsi="微软雅黑" w:eastAsia="微软雅黑"/>
          <w:color w:val="000000" w:themeColor="text1"/>
          <w:szCs w:val="21"/>
          <w:lang w:val="en-US" w:eastAsia="zh-CN"/>
          <w14:textFill>
            <w14:solidFill>
              <w14:schemeClr w14:val="tx1"/>
            </w14:solidFill>
          </w14:textFill>
        </w:rPr>
        <w:t>(DAF)</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目的港交货（DES,DEQ）</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进口国内地交货</w:t>
      </w:r>
      <w:r>
        <w:rPr>
          <w:rFonts w:hint="eastAsia" w:ascii="微软雅黑" w:hAnsi="微软雅黑" w:eastAsia="微软雅黑"/>
          <w:color w:val="000000" w:themeColor="text1"/>
          <w:szCs w:val="21"/>
          <w:lang w:val="en-US" w:eastAsia="zh-CN"/>
          <w14:textFill>
            <w14:solidFill>
              <w14:schemeClr w14:val="tx1"/>
            </w14:solidFill>
          </w14:textFill>
        </w:rPr>
        <w:t>(DDU,DDP)</w:t>
      </w:r>
    </w:p>
    <w:p>
      <w:pPr>
        <w:numPr>
          <w:ilvl w:val="0"/>
          <w:numId w:val="6"/>
        </w:numPr>
        <w:adjustRightInd w:val="0"/>
        <w:snapToGrid w:val="0"/>
        <w:ind w:left="425" w:leftChars="0" w:hanging="425"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工厂交货</w:t>
      </w:r>
      <w:r>
        <w:rPr>
          <w:rFonts w:hint="eastAsia" w:ascii="微软雅黑" w:hAnsi="微软雅黑" w:eastAsia="微软雅黑"/>
          <w:color w:val="000000" w:themeColor="text1"/>
          <w:szCs w:val="21"/>
          <w:lang w:val="en-US" w:eastAsia="zh-CN"/>
          <w14:textFill>
            <w14:solidFill>
              <w14:schemeClr w14:val="tx1"/>
            </w14:solidFill>
          </w14:textFill>
        </w:rPr>
        <w:t>(EXW)</w:t>
      </w:r>
    </w:p>
    <w:p>
      <w:pPr>
        <w:pStyle w:val="23"/>
        <w:numPr>
          <w:ilvl w:val="0"/>
          <w:numId w:val="4"/>
        </w:numPr>
        <w:adjustRightInd w:val="0"/>
        <w:snapToGrid w:val="0"/>
        <w:ind w:left="0" w:leftChars="0" w:firstLine="0" w:firstLineChars="0"/>
        <w:jc w:val="left"/>
        <w:rPr>
          <w:rFonts w:hint="eastAsia"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企业常用贸易术语</w:t>
      </w:r>
      <w:r>
        <w:rPr>
          <w:rFonts w:hint="eastAsia" w:ascii="微软雅黑" w:hAnsi="微软雅黑" w:eastAsia="微软雅黑"/>
          <w:color w:val="000000" w:themeColor="text1"/>
          <w:szCs w:val="21"/>
          <w14:textFill>
            <w14:solidFill>
              <w14:schemeClr w14:val="tx1"/>
            </w14:solidFill>
          </w14:textFill>
        </w:rPr>
        <w:t>案例</w:t>
      </w:r>
    </w:p>
    <w:p>
      <w:pPr>
        <w:pStyle w:val="23"/>
        <w:numPr>
          <w:ilvl w:val="0"/>
          <w:numId w:val="8"/>
        </w:numPr>
        <w:adjustRightInd w:val="0"/>
        <w:snapToGrid w:val="0"/>
        <w:ind w:left="420" w:leftChars="0" w:hanging="42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FOB案例分析与应用</w:t>
      </w:r>
    </w:p>
    <w:p>
      <w:pPr>
        <w:pStyle w:val="23"/>
        <w:numPr>
          <w:ilvl w:val="0"/>
          <w:numId w:val="8"/>
        </w:numPr>
        <w:adjustRightInd w:val="0"/>
        <w:snapToGrid w:val="0"/>
        <w:ind w:left="420" w:leftChars="0" w:hanging="42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CIF案例分析与应用</w:t>
      </w:r>
    </w:p>
    <w:p>
      <w:pPr>
        <w:pStyle w:val="23"/>
        <w:numPr>
          <w:ilvl w:val="0"/>
          <w:numId w:val="8"/>
        </w:numPr>
        <w:adjustRightInd w:val="0"/>
        <w:snapToGrid w:val="0"/>
        <w:ind w:left="420" w:leftChars="0" w:hanging="42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CFR案例分析与应用</w:t>
      </w:r>
    </w:p>
    <w:p>
      <w:pPr>
        <w:pStyle w:val="23"/>
        <w:numPr>
          <w:ilvl w:val="0"/>
          <w:numId w:val="8"/>
        </w:numPr>
        <w:adjustRightInd w:val="0"/>
        <w:snapToGrid w:val="0"/>
        <w:ind w:left="420" w:leftChars="0" w:hanging="42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FCA案例分析与应用</w:t>
      </w:r>
    </w:p>
    <w:p>
      <w:pPr>
        <w:pStyle w:val="23"/>
        <w:adjustRightInd w:val="0"/>
        <w:snapToGrid w:val="0"/>
        <w:ind w:firstLine="0" w:firstLineChars="0"/>
        <w:jc w:val="left"/>
        <w:rPr>
          <w:rFonts w:hint="eastAsia" w:ascii="微软雅黑" w:hAnsi="微软雅黑" w:eastAsia="微软雅黑"/>
          <w:color w:val="000000" w:themeColor="text1"/>
          <w:szCs w:val="21"/>
          <w:lang w:val="en-US" w:eastAsia="zh-CN"/>
          <w14:textFill>
            <w14:solidFill>
              <w14:schemeClr w14:val="tx1"/>
            </w14:solidFill>
          </w14:textFill>
        </w:rPr>
      </w:pPr>
      <w:r>
        <w:rPr>
          <w:rFonts w:hint="eastAsia" w:ascii="微软雅黑" w:hAnsi="微软雅黑" w:eastAsia="微软雅黑"/>
          <w:color w:val="000000" w:themeColor="text1"/>
          <w:szCs w:val="21"/>
          <w:lang w:eastAsia="zh-CN"/>
          <w14:textFill>
            <w14:solidFill>
              <w14:schemeClr w14:val="tx1"/>
            </w14:solidFill>
          </w14:textFill>
        </w:rPr>
        <w:t>四、</w:t>
      </w:r>
      <w:r>
        <w:rPr>
          <w:rFonts w:ascii="微软雅黑" w:hAnsi="微软雅黑" w:eastAsia="微软雅黑"/>
          <w:color w:val="000000" w:themeColor="text1"/>
          <w:szCs w:val="21"/>
          <w14:textFill>
            <w14:solidFill>
              <w14:schemeClr w14:val="tx1"/>
            </w14:solidFill>
          </w14:textFill>
        </w:rPr>
        <w:t>十三种国际贸易术语使用及常见问题</w:t>
      </w:r>
    </w:p>
    <w:p>
      <w:pPr>
        <w:adjustRightInd w:val="0"/>
        <w:snapToGrid w:val="0"/>
        <w:jc w:val="left"/>
        <w:rPr>
          <w:rFonts w:hint="eastAsia" w:ascii="微软雅黑" w:hAnsi="微软雅黑" w:eastAsia="微软雅黑"/>
          <w:b/>
          <w:bCs/>
          <w:color w:val="000000" w:themeColor="text1"/>
          <w:szCs w:val="21"/>
          <w:lang w:eastAsia="zh-CN"/>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专题四：国际贸易支付、结算流程中的风险防范</w:t>
      </w:r>
    </w:p>
    <w:p>
      <w:pPr>
        <w:widowControl/>
        <w:adjustRightInd w:val="0"/>
        <w:snapToGrid w:val="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1．金融票据汇票、本票、支票的使用</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国际金融票据的特性</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汇票的定义、内容、种类及其使用</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本票、支票与汇票的区别</w:t>
      </w:r>
    </w:p>
    <w:p>
      <w:pPr>
        <w:widowControl/>
        <w:adjustRightInd w:val="0"/>
        <w:snapToGrid w:val="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2．国际贸易结算方式（汇款、托收、信用证）的内容及风险防控</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汇款的种类（前T/T，后T/T，D/D，M/T）</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分析讨论：出口企业如何用好T/T结汇以降低风险（基于CWD为基础）？</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托收业务的特点</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D/P、D/A使用中应注意的问题</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申请书逐条解析</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托收统一规则URC522重要条款解析</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案例讨论：托收的特点及风险防范。</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当前金融危机背景下，贸易融资及新型国际结算方式的使用（保理、福费庭）。</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信用证实例解析：逐条解析信用证条款的拟定及风险防范</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信用证实务操作与常见误区分析及信用证业务处理原则，如对“沉默保兑”的剖析等。</w:t>
      </w:r>
    </w:p>
    <w:p>
      <w:pPr>
        <w:pStyle w:val="23"/>
        <w:widowControl/>
        <w:numPr>
          <w:ilvl w:val="0"/>
          <w:numId w:val="8"/>
        </w:numPr>
        <w:adjustRightInd w:val="0"/>
        <w:snapToGrid w:val="0"/>
        <w:ind w:left="420" w:leftChars="0" w:hanging="420" w:firstLineChars="0"/>
        <w:jc w:val="left"/>
        <w:rPr>
          <w:rFonts w:ascii="微软雅黑" w:hAnsi="微软雅黑" w:eastAsia="微软雅黑" w:cs="宋体"/>
          <w:b w:val="0"/>
          <w:bCs/>
          <w:kern w:val="0"/>
          <w:szCs w:val="21"/>
        </w:rPr>
      </w:pPr>
      <w:r>
        <w:rPr>
          <w:rFonts w:hint="eastAsia" w:ascii="微软雅黑" w:hAnsi="微软雅黑" w:eastAsia="微软雅黑" w:cs="宋体"/>
          <w:b w:val="0"/>
          <w:bCs/>
          <w:kern w:val="0"/>
          <w:szCs w:val="21"/>
        </w:rPr>
        <w:t>信用证在开立、通知、修改、撤销、转让、保兑、议付、偿付等环节产生的风险和纠纷应该如何防范和处理？</w:t>
      </w:r>
    </w:p>
    <w:p>
      <w:pPr>
        <w:adjustRightInd w:val="0"/>
        <w:snapToGrid w:val="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专题五：国际运输保险</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1、海运保险险种</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2、共同海损、单独海损界定</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3、海上货运保险的责任制</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4、保险单据、保险案例</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5、海运保险业务流程</w:t>
      </w:r>
    </w:p>
    <w:p>
      <w:pPr>
        <w:pStyle w:val="23"/>
        <w:adjustRightInd w:val="0"/>
        <w:snapToGrid w:val="0"/>
        <w:ind w:firstLine="0" w:firstLineChars="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6、航空货运保险实务、航空货损案例</w:t>
      </w:r>
    </w:p>
    <w:p>
      <w:pPr>
        <w:pStyle w:val="23"/>
        <w:adjustRightInd w:val="0"/>
        <w:snapToGrid w:val="0"/>
        <w:ind w:firstLine="0" w:firstLineChars="0"/>
        <w:jc w:val="left"/>
        <w:rPr>
          <w:rFonts w:hint="eastAsia" w:ascii="微软雅黑" w:hAnsi="微软雅黑" w:eastAsia="微软雅黑"/>
          <w:color w:val="000000" w:themeColor="text1"/>
          <w:szCs w:val="21"/>
          <w:lang w:eastAsia="zh-CN"/>
          <w14:textFill>
            <w14:solidFill>
              <w14:schemeClr w14:val="tx1"/>
            </w14:solidFill>
          </w14:textFill>
        </w:rPr>
      </w:pPr>
      <w:r>
        <w:rPr>
          <w:rFonts w:hint="eastAsia" w:ascii="微软雅黑" w:hAnsi="微软雅黑" w:eastAsia="微软雅黑"/>
          <w:color w:val="000000" w:themeColor="text1"/>
          <w:szCs w:val="21"/>
          <w:lang w:val="en-US" w:eastAsia="zh-CN"/>
          <w14:textFill>
            <w14:solidFill>
              <w14:schemeClr w14:val="tx1"/>
            </w14:solidFill>
          </w14:textFill>
        </w:rPr>
        <w:t>7、</w:t>
      </w:r>
      <w:r>
        <w:rPr>
          <w:rFonts w:hint="eastAsia" w:ascii="微软雅黑" w:hAnsi="微软雅黑" w:eastAsia="微软雅黑"/>
          <w:color w:val="000000" w:themeColor="text1"/>
          <w:szCs w:val="21"/>
          <w14:textFill>
            <w14:solidFill>
              <w14:schemeClr w14:val="tx1"/>
            </w14:solidFill>
          </w14:textFill>
        </w:rPr>
        <w:t>国际运输保险实务案例</w:t>
      </w:r>
    </w:p>
    <w:p>
      <w:pPr>
        <w:adjustRightInd w:val="0"/>
        <w:snapToGrid w:val="0"/>
        <w:jc w:val="lef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lang w:eastAsia="zh-CN"/>
          <w14:textFill>
            <w14:solidFill>
              <w14:schemeClr w14:val="tx1"/>
            </w14:solidFill>
          </w14:textFill>
        </w:rPr>
        <w:t>专题六：供应链的变革：</w:t>
      </w:r>
      <w:r>
        <w:rPr>
          <w:rFonts w:hint="eastAsia" w:ascii="微软雅黑" w:hAnsi="微软雅黑" w:eastAsia="微软雅黑"/>
          <w:b/>
          <w:bCs/>
          <w:color w:val="000000" w:themeColor="text1"/>
          <w:szCs w:val="21"/>
          <w14:textFill>
            <w14:solidFill>
              <w14:schemeClr w14:val="tx1"/>
            </w14:solidFill>
          </w14:textFill>
        </w:rPr>
        <w:t>企业如何打造贸易合规“终极防护墙”</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1、六步构建“贸易和海关合规体系”</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2、企业未完善“贸易和海关合规体系”的五大风险：</w:t>
      </w:r>
    </w:p>
    <w:p>
      <w:pPr>
        <w:pStyle w:val="23"/>
        <w:numPr>
          <w:ilvl w:val="0"/>
          <w:numId w:val="8"/>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违法违规风险</w:t>
      </w:r>
    </w:p>
    <w:p>
      <w:pPr>
        <w:pStyle w:val="23"/>
        <w:numPr>
          <w:ilvl w:val="0"/>
          <w:numId w:val="8"/>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企业财税损失风险</w:t>
      </w:r>
    </w:p>
    <w:p>
      <w:pPr>
        <w:pStyle w:val="23"/>
        <w:numPr>
          <w:ilvl w:val="0"/>
          <w:numId w:val="8"/>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企业生产经营供应链上的风险</w:t>
      </w:r>
    </w:p>
    <w:p>
      <w:pPr>
        <w:pStyle w:val="23"/>
        <w:numPr>
          <w:ilvl w:val="0"/>
          <w:numId w:val="8"/>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贸易安全方面的风险</w:t>
      </w:r>
    </w:p>
    <w:p>
      <w:pPr>
        <w:pStyle w:val="23"/>
        <w:numPr>
          <w:ilvl w:val="0"/>
          <w:numId w:val="8"/>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海关信用等级降级风险</w:t>
      </w:r>
    </w:p>
    <w:p>
      <w:pPr>
        <w:pStyle w:val="23"/>
        <w:numPr>
          <w:ilvl w:val="0"/>
          <w:numId w:val="5"/>
        </w:numPr>
        <w:adjustRightInd w:val="0"/>
        <w:snapToGrid w:val="0"/>
        <w:ind w:left="0" w:leftChars="0" w:firstLine="0" w:firstLineChars="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合规体系重点内容分析：</w:t>
      </w:r>
    </w:p>
    <w:p>
      <w:pPr>
        <w:pStyle w:val="23"/>
        <w:numPr>
          <w:ilvl w:val="0"/>
          <w:numId w:val="9"/>
        </w:numPr>
        <w:adjustRightInd w:val="0"/>
        <w:snapToGrid w:val="0"/>
        <w:ind w:left="420" w:leftChars="0" w:hanging="420" w:firstLineChars="0"/>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正确划分贸易方式</w:t>
      </w:r>
    </w:p>
    <w:p>
      <w:pPr>
        <w:pStyle w:val="23"/>
        <w:numPr>
          <w:ilvl w:val="0"/>
          <w:numId w:val="9"/>
        </w:numPr>
        <w:adjustRightInd w:val="0"/>
        <w:snapToGrid w:val="0"/>
        <w:ind w:left="420" w:leftChars="0" w:hanging="42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加强“物流供应商”管理</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4、如何正确申请AEO认证？AEO不是ISO。</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5、如何选择AEO第三方辅导机构？</w:t>
      </w:r>
    </w:p>
    <w:p>
      <w:pPr>
        <w:pStyle w:val="23"/>
        <w:adjustRightInd w:val="0"/>
        <w:snapToGrid w:val="0"/>
        <w:ind w:firstLine="0"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6、AEO九大热点问题</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olor w:val="000000" w:themeColor="text1"/>
          <w:szCs w:val="21"/>
          <w14:textFill>
            <w14:solidFill>
              <w14:schemeClr w14:val="tx1"/>
            </w14:solidFill>
          </w14:textFill>
        </w:rPr>
        <w:t>7、贸易合规的“终极防护墙”</w:t>
      </w:r>
    </w:p>
    <w:p>
      <w:pPr>
        <w:adjustRightInd w:val="0"/>
        <w:snapToGrid w:val="0"/>
        <w:spacing w:line="360" w:lineRule="auto"/>
        <w:rPr>
          <w:rFonts w:ascii="微软雅黑" w:hAnsi="微软雅黑" w:eastAsia="微软雅黑"/>
          <w:b/>
          <w:color w:val="FF0000"/>
          <w:sz w:val="24"/>
        </w:rPr>
      </w:pPr>
    </w:p>
    <w:p>
      <w:pPr>
        <w:adjustRightInd w:val="0"/>
        <w:snapToGrid w:val="0"/>
        <w:spacing w:line="360" w:lineRule="auto"/>
        <w:rPr>
          <w:rFonts w:ascii="微软雅黑" w:hAnsi="微软雅黑" w:eastAsia="微软雅黑"/>
          <w:b/>
          <w:color w:val="FF0000"/>
          <w:sz w:val="24"/>
        </w:rPr>
      </w:pPr>
    </w:p>
    <w:p>
      <w:pPr>
        <w:adjustRightInd w:val="0"/>
        <w:snapToGrid w:val="0"/>
        <w:spacing w:line="360" w:lineRule="auto"/>
        <w:rPr>
          <w:rFonts w:ascii="微软雅黑" w:hAnsi="微软雅黑" w:eastAsia="微软雅黑"/>
          <w:b/>
          <w:color w:val="FF0000"/>
          <w:sz w:val="24"/>
        </w:rPr>
      </w:pPr>
    </w:p>
    <w:p>
      <w:pPr>
        <w:adjustRightInd w:val="0"/>
        <w:snapToGrid w:val="0"/>
        <w:spacing w:line="360" w:lineRule="auto"/>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讲师介绍：</w:t>
      </w:r>
    </w:p>
    <w:p>
      <w:pPr>
        <w:adjustRightInd w:val="0"/>
        <w:snapToGrid w:val="0"/>
        <w:rPr>
          <w:rFonts w:ascii="微软雅黑" w:hAnsi="微软雅黑" w:eastAsia="微软雅黑"/>
          <w:b/>
          <w:color w:val="FF0000"/>
          <w:sz w:val="24"/>
        </w:rPr>
      </w:pPr>
      <w:r>
        <w:rPr>
          <w:rFonts w:ascii="微软雅黑" w:hAnsi="微软雅黑" w:eastAsia="微软雅黑"/>
          <w:b/>
          <w:sz w:val="24"/>
          <w:szCs w:val="21"/>
        </w:rPr>
        <w:t>罗老师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行业资质：</w:t>
      </w:r>
    </w:p>
    <w:p>
      <w:pPr>
        <w:adjustRightInd w:val="0"/>
        <w:snapToGrid w:val="0"/>
        <w:jc w:val="left"/>
        <w:rPr>
          <w:rFonts w:ascii="微软雅黑" w:hAnsi="微软雅黑" w:eastAsia="微软雅黑"/>
          <w:szCs w:val="21"/>
        </w:rPr>
      </w:pPr>
      <w:r>
        <w:rPr>
          <w:rFonts w:hint="eastAsia" w:ascii="微软雅黑" w:hAnsi="微软雅黑" w:eastAsia="微软雅黑"/>
          <w:szCs w:val="21"/>
        </w:rPr>
        <w:t>上海交通大学硕士</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帕迪公司国际物流与国际货运以及进出口专业高级讲师</w:t>
      </w:r>
    </w:p>
    <w:p>
      <w:pPr>
        <w:adjustRightInd w:val="0"/>
        <w:snapToGrid w:val="0"/>
        <w:jc w:val="left"/>
        <w:rPr>
          <w:rFonts w:ascii="微软雅黑" w:hAnsi="微软雅黑" w:eastAsia="微软雅黑"/>
          <w:szCs w:val="21"/>
        </w:rPr>
      </w:pPr>
      <w:r>
        <w:rPr>
          <w:rFonts w:hint="eastAsia" w:ascii="微软雅黑" w:hAnsi="微软雅黑" w:eastAsia="微软雅黑"/>
          <w:szCs w:val="21"/>
        </w:rPr>
        <w:t>工作经历：</w:t>
      </w:r>
    </w:p>
    <w:p>
      <w:pPr>
        <w:pStyle w:val="23"/>
        <w:adjustRightInd w:val="0"/>
        <w:snapToGrid w:val="0"/>
        <w:jc w:val="left"/>
        <w:rPr>
          <w:rFonts w:ascii="微软雅黑" w:hAnsi="微软雅黑" w:eastAsia="微软雅黑"/>
          <w:szCs w:val="21"/>
        </w:rPr>
      </w:pPr>
      <w:r>
        <w:rPr>
          <w:rFonts w:hint="eastAsia" w:ascii="微软雅黑" w:hAnsi="微软雅黑" w:eastAsia="微软雅黑"/>
          <w:szCs w:val="21"/>
        </w:rPr>
        <w:t>具有较长时间企业工作经历，曾在中远物流有限公司工作，专门从事国际租船、班轮运输进出口相关业务，对供应链运作、国际物流风险防控、提单项下相关索赔流程、散货运输风险规避、货运通关等领域有较为深入的研究，为TNT物流、中国烟草集团、中国海运、上海医疗器械进出口公司等大型企业培训国际物流、供应链管理、进出口通关管理相关课程。</w:t>
      </w:r>
    </w:p>
    <w:p>
      <w:pPr>
        <w:adjustRightInd w:val="0"/>
        <w:snapToGrid w:val="0"/>
        <w:rPr>
          <w:rFonts w:ascii="微软雅黑" w:hAnsi="微软雅黑" w:eastAsia="微软雅黑"/>
          <w:szCs w:val="21"/>
        </w:rPr>
      </w:pPr>
      <w:r>
        <w:rPr>
          <w:rFonts w:hint="eastAsia" w:ascii="微软雅黑" w:hAnsi="微软雅黑" w:eastAsia="微软雅黑"/>
          <w:szCs w:val="21"/>
        </w:rPr>
        <w:t>风格与特点：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具有10多年讲师经历的罗老师的授课：风格生动、幽默，讲解深入浅出。擅长于活泼、互动、研讨、演练、启发、体验、感悟等培训方式，并利用大量的案例，结合企业实际运作经验，培训内容实务性、可操作性极强，且提供多种实用的解决问题之工具及技巧。对参训者具有极大的吸引力、感染力，深受学员欢迎。</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罗老师实战经验丰富，知识面广，能回答学员国际货运，运输，以及国际物流，关务，库存等的各种问题。学以致用、注重实际操作、突出实战性、理顺思维并系统化、传授最新、最先进并且有效的方法与经验。</w:t>
      </w:r>
    </w:p>
    <w:p>
      <w:pPr>
        <w:adjustRightInd w:val="0"/>
        <w:snapToGrid w:val="0"/>
        <w:rPr>
          <w:rFonts w:ascii="微软雅黑" w:hAnsi="微软雅黑" w:eastAsia="微软雅黑"/>
          <w:szCs w:val="21"/>
        </w:rPr>
      </w:pPr>
      <w:r>
        <w:rPr>
          <w:rFonts w:ascii="微软雅黑" w:hAnsi="微软雅黑" w:eastAsia="微软雅黑"/>
          <w:szCs w:val="21"/>
        </w:rPr>
        <w:t>主讲课程</w:t>
      </w:r>
      <w:r>
        <w:rPr>
          <w:rFonts w:hint="eastAsia" w:ascii="微软雅黑" w:hAnsi="微软雅黑" w:eastAsia="微软雅黑"/>
          <w:szCs w:val="21"/>
        </w:rPr>
        <w:t>：《</w:t>
      </w:r>
      <w:r>
        <w:rPr>
          <w:rFonts w:hint="eastAsia" w:ascii="微软雅黑" w:hAnsi="微软雅黑" w:eastAsia="微软雅黑"/>
          <w:szCs w:val="21"/>
          <w:lang w:eastAsia="zh-CN"/>
        </w:rPr>
        <w:t>物流与供应链管理</w:t>
      </w:r>
      <w:r>
        <w:rPr>
          <w:rFonts w:hint="eastAsia" w:ascii="微软雅黑" w:hAnsi="微软雅黑" w:eastAsia="微软雅黑"/>
          <w:szCs w:val="21"/>
        </w:rPr>
        <w:t>》，《供应链中的库存管理》，《</w:t>
      </w:r>
      <w:r>
        <w:rPr>
          <w:rFonts w:hint="eastAsia" w:ascii="微软雅黑" w:hAnsi="微软雅黑" w:eastAsia="微软雅黑"/>
          <w:szCs w:val="21"/>
          <w:lang w:eastAsia="zh-CN"/>
        </w:rPr>
        <w:t>国际贸易实务操作技巧与风险防范</w:t>
      </w:r>
      <w:r>
        <w:rPr>
          <w:rFonts w:hint="eastAsia" w:ascii="微软雅黑" w:hAnsi="微软雅黑" w:eastAsia="微软雅黑"/>
          <w:szCs w:val="21"/>
        </w:rPr>
        <w:t>》</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服务的客户：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三星电子、西门子、爱默生、杜邦、梅兰日兰、德特威勒、卡西欧、华凌集团，德尔福、梅特勒－特利多、沈阳宝马、劳士领、延锋百利得、奥特斯ATS、萨帕铝热、葛兰素史克、伊美德，萨康，延锋百利得.、上海大众、上海通用、青岛海尔、飞利浦、东风汽车、宝钢集团、丰田汽车、奥特控股、乔治费歇尔、东风汽车悬架弹簧、东风汽车车桥、苏州耐普罗、武汉万兴、上海开利、普茨迈斯特机械(上海) 等国内外著名企业。</w:t>
      </w:r>
    </w:p>
    <w:p>
      <w:pPr>
        <w:adjustRightInd w:val="0"/>
        <w:snapToGrid w:val="0"/>
        <w:rPr>
          <w:rFonts w:ascii="微软雅黑" w:hAnsi="微软雅黑" w:eastAsia="微软雅黑"/>
          <w:b/>
          <w:szCs w:val="21"/>
        </w:rPr>
      </w:pPr>
      <w:r>
        <w:rPr>
          <w:rFonts w:hint="eastAsia" w:ascii="微软雅黑" w:hAnsi="微软雅黑" w:eastAsia="微软雅黑"/>
          <w:b/>
          <w:szCs w:val="21"/>
        </w:rPr>
        <w:t>客户评价：</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罗老师幽默、深入浅出，让我们明白了许多难以理解的知识。</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 xml:space="preserve">分析问题切中要害、入木三分，令我们茅塞顿开！ </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 xml:space="preserve">咨询概念超前，但又注重实际应用；案例丰富并且主要来自本人的多年实践经验。 </w:t>
      </w:r>
    </w:p>
    <w:p>
      <w:pPr>
        <w:pStyle w:val="23"/>
        <w:numPr>
          <w:ilvl w:val="0"/>
          <w:numId w:val="10"/>
        </w:numPr>
        <w:adjustRightInd w:val="0"/>
        <w:snapToGrid w:val="0"/>
        <w:ind w:firstLineChars="0"/>
        <w:rPr>
          <w:rFonts w:ascii="微软雅黑" w:hAnsi="微软雅黑" w:eastAsia="微软雅黑"/>
          <w:szCs w:val="21"/>
        </w:rPr>
      </w:pPr>
      <w:r>
        <w:rPr>
          <w:rFonts w:hint="eastAsia" w:ascii="微软雅黑" w:hAnsi="微软雅黑" w:eastAsia="微软雅黑"/>
          <w:szCs w:val="21"/>
        </w:rPr>
        <w:t>睿智幽默的语言，充分调动学员参与度，气氛轻松活跃。</w:t>
      </w:r>
    </w:p>
    <w:p>
      <w:pPr>
        <w:pStyle w:val="23"/>
        <w:numPr>
          <w:ilvl w:val="0"/>
          <w:numId w:val="10"/>
        </w:numPr>
        <w:adjustRightInd w:val="0"/>
        <w:snapToGrid w:val="0"/>
        <w:ind w:firstLineChars="0"/>
        <w:rPr>
          <w:rFonts w:hint="eastAsia"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szCs w:val="21"/>
        </w:rPr>
        <w:t>机敏而善于思考，能准确抓住学员疑问的关键点，并结合实践操作的体会予以解答，倍受青睐。</w:t>
      </w: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sz w:val="44"/>
        </w:rPr>
      </w:pPr>
      <w:r>
        <w:rPr>
          <w:rFonts w:hint="eastAsia" w:eastAsia="微软雅黑"/>
        </w:rPr>
        <w:t>报名回执请发送给我们，帕迪咨询：</w:t>
      </w:r>
      <w:r>
        <w:rPr>
          <w:rFonts w:eastAsia="微软雅黑"/>
        </w:rPr>
        <w:t xml:space="preserve"> 18917655637  </w:t>
      </w:r>
      <w:r>
        <w:rPr>
          <w:rFonts w:hint="eastAsia" w:ascii="微软雅黑" w:hAnsi="微软雅黑" w:eastAsia="微软雅黑"/>
          <w:sz w:val="18"/>
          <w:lang w:val="fr-FR"/>
        </w:rPr>
        <w:t>Training@021px.com</w:t>
      </w: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rPr>
    </w:pPr>
    <w:r>
      <w:rPr>
        <w:rFonts w:hint="eastAsia" w:ascii="微软雅黑" w:hAnsi="微软雅黑" w:eastAsia="微软雅黑"/>
      </w:rPr>
      <w:t>上海帕迪企业管理咨询有限公司</w:t>
    </w:r>
    <w:r>
      <w:rPr>
        <w:rFonts w:ascii="微软雅黑" w:hAnsi="微软雅黑" w:eastAsia="微软雅黑"/>
      </w:rPr>
      <w:t xml:space="preserve"> </w:t>
    </w:r>
    <w:r>
      <w:rPr>
        <w:rFonts w:hint="eastAsia" w:ascii="微软雅黑" w:hAnsi="微软雅黑" w:eastAsia="微软雅黑"/>
      </w:rPr>
      <w:t xml:space="preserve">021-51036580  </w:t>
    </w:r>
    <w:r>
      <w:rPr>
        <w:rFonts w:ascii="微软雅黑" w:hAnsi="微软雅黑" w:eastAsia="微软雅黑"/>
      </w:rPr>
      <w:t xml:space="preserve">13817659211  </w:t>
    </w:r>
  </w:p>
  <w:p>
    <w:pPr>
      <w:pStyle w:val="4"/>
      <w:jc w:val="center"/>
      <w:rPr>
        <w:rFonts w:ascii="微软雅黑" w:hAnsi="微软雅黑" w:eastAsia="微软雅黑"/>
        <w:lang w:val="fr-FR"/>
      </w:rPr>
    </w:pPr>
    <w:r>
      <w:rPr>
        <w:rFonts w:hint="eastAsia" w:ascii="微软雅黑" w:hAnsi="微软雅黑" w:eastAsia="微软雅黑"/>
        <w:lang w:val="fr-FR"/>
      </w:rPr>
      <w:t>Email: Training@021px.com   www.021px.com  www.sino-pardi.com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ascii="微软雅黑" w:hAnsi="微软雅黑" w:eastAsia="微软雅黑"/>
        <w:b/>
        <w:color w:val="000000" w:themeColor="text1"/>
        <w:sz w:val="21"/>
        <w:szCs w:val="21"/>
        <w14:textFill>
          <w14:solidFill>
            <w14:schemeClr w14:val="tx1"/>
          </w14:solidFill>
        </w14:textFill>
      </w:rPr>
      <w:drawing>
        <wp:anchor distT="0" distB="0" distL="114300" distR="114300" simplePos="0" relativeHeight="251667456" behindDoc="1" locked="0" layoutInCell="1" allowOverlap="1">
          <wp:simplePos x="0" y="0"/>
          <wp:positionH relativeFrom="column">
            <wp:posOffset>5034915</wp:posOffset>
          </wp:positionH>
          <wp:positionV relativeFrom="paragraph">
            <wp:posOffset>-149860</wp:posOffset>
          </wp:positionV>
          <wp:extent cx="1083310" cy="316865"/>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anchor>
      </w:drawing>
    </w:r>
    <w:r>
      <w:rPr>
        <w:b/>
        <w:color w:val="000000" w:themeColor="text1"/>
        <w:sz w:val="21"/>
        <w:szCs w:val="21"/>
        <w14:textFill>
          <w14:solidFill>
            <w14:schemeClr w14:val="tx1"/>
          </w14:solidFill>
        </w14:textFill>
      </w:rPr>
      <w:drawing>
        <wp:anchor distT="0" distB="0" distL="114300" distR="114300" simplePos="0" relativeHeight="251665408" behindDoc="1" locked="0" layoutInCell="1" allowOverlap="1">
          <wp:simplePos x="0" y="0"/>
          <wp:positionH relativeFrom="column">
            <wp:posOffset>41275</wp:posOffset>
          </wp:positionH>
          <wp:positionV relativeFrom="paragraph">
            <wp:posOffset>-149225</wp:posOffset>
          </wp:positionV>
          <wp:extent cx="1304925" cy="317500"/>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04925" cy="317584"/>
                  </a:xfrm>
                  <a:prstGeom prst="rect">
                    <a:avLst/>
                  </a:prstGeom>
                  <a:noFill/>
                  <a:ln>
                    <a:noFill/>
                  </a:ln>
                </pic:spPr>
              </pic:pic>
            </a:graphicData>
          </a:graphic>
        </wp:anchor>
      </w:drawing>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C5697"/>
    <w:multiLevelType w:val="singleLevel"/>
    <w:tmpl w:val="A01C5697"/>
    <w:lvl w:ilvl="0" w:tentative="0">
      <w:start w:val="1"/>
      <w:numFmt w:val="bullet"/>
      <w:lvlText w:val=""/>
      <w:lvlJc w:val="left"/>
      <w:pPr>
        <w:ind w:left="420" w:hanging="420"/>
      </w:pPr>
      <w:rPr>
        <w:rFonts w:hint="default" w:ascii="Wingdings" w:hAnsi="Wingdings"/>
      </w:rPr>
    </w:lvl>
  </w:abstractNum>
  <w:abstractNum w:abstractNumId="1">
    <w:nsid w:val="A60E3580"/>
    <w:multiLevelType w:val="singleLevel"/>
    <w:tmpl w:val="A60E3580"/>
    <w:lvl w:ilvl="0" w:tentative="0">
      <w:start w:val="1"/>
      <w:numFmt w:val="decimal"/>
      <w:lvlText w:val="%1."/>
      <w:lvlJc w:val="left"/>
      <w:pPr>
        <w:ind w:left="425" w:hanging="425"/>
      </w:pPr>
      <w:rPr>
        <w:rFonts w:hint="default"/>
      </w:rPr>
    </w:lvl>
  </w:abstractNum>
  <w:abstractNum w:abstractNumId="2">
    <w:nsid w:val="B7B8F80D"/>
    <w:multiLevelType w:val="singleLevel"/>
    <w:tmpl w:val="B7B8F80D"/>
    <w:lvl w:ilvl="0" w:tentative="0">
      <w:start w:val="1"/>
      <w:numFmt w:val="bullet"/>
      <w:lvlText w:val=""/>
      <w:lvlJc w:val="left"/>
      <w:pPr>
        <w:ind w:left="420" w:hanging="420"/>
      </w:pPr>
      <w:rPr>
        <w:rFonts w:hint="default" w:ascii="Wingdings" w:hAnsi="Wingdings"/>
      </w:rPr>
    </w:lvl>
  </w:abstractNum>
  <w:abstractNum w:abstractNumId="3">
    <w:nsid w:val="E3E8C712"/>
    <w:multiLevelType w:val="singleLevel"/>
    <w:tmpl w:val="E3E8C712"/>
    <w:lvl w:ilvl="0" w:tentative="0">
      <w:start w:val="1"/>
      <w:numFmt w:val="decimal"/>
      <w:suff w:val="nothing"/>
      <w:lvlText w:val="%1、"/>
      <w:lvlJc w:val="left"/>
    </w:lvl>
  </w:abstractNum>
  <w:abstractNum w:abstractNumId="4">
    <w:nsid w:val="ECE5736F"/>
    <w:multiLevelType w:val="singleLevel"/>
    <w:tmpl w:val="ECE5736F"/>
    <w:lvl w:ilvl="0" w:tentative="0">
      <w:start w:val="1"/>
      <w:numFmt w:val="decimal"/>
      <w:lvlText w:val="%1."/>
      <w:lvlJc w:val="left"/>
      <w:pPr>
        <w:ind w:left="425" w:hanging="425"/>
      </w:pPr>
      <w:rPr>
        <w:rFonts w:hint="default"/>
      </w:rPr>
    </w:lvl>
  </w:abstractNum>
  <w:abstractNum w:abstractNumId="5">
    <w:nsid w:val="23BF5C70"/>
    <w:multiLevelType w:val="singleLevel"/>
    <w:tmpl w:val="23BF5C70"/>
    <w:lvl w:ilvl="0" w:tentative="0">
      <w:start w:val="1"/>
      <w:numFmt w:val="decimal"/>
      <w:lvlText w:val="%1."/>
      <w:lvlJc w:val="left"/>
      <w:pPr>
        <w:ind w:left="425" w:hanging="425"/>
      </w:pPr>
      <w:rPr>
        <w:rFonts w:hint="default"/>
      </w:rPr>
    </w:lvl>
  </w:abstractNum>
  <w:abstractNum w:abstractNumId="6">
    <w:nsid w:val="287AFAB3"/>
    <w:multiLevelType w:val="singleLevel"/>
    <w:tmpl w:val="287AFAB3"/>
    <w:lvl w:ilvl="0" w:tentative="0">
      <w:start w:val="1"/>
      <w:numFmt w:val="bullet"/>
      <w:lvlText w:val=""/>
      <w:lvlJc w:val="left"/>
      <w:pPr>
        <w:ind w:left="420" w:hanging="420"/>
      </w:pPr>
      <w:rPr>
        <w:rFonts w:hint="default" w:ascii="Wingdings" w:hAnsi="Wingdings"/>
      </w:rPr>
    </w:lvl>
  </w:abstractNum>
  <w:abstractNum w:abstractNumId="7">
    <w:nsid w:val="4EBB3C2D"/>
    <w:multiLevelType w:val="singleLevel"/>
    <w:tmpl w:val="4EBB3C2D"/>
    <w:lvl w:ilvl="0" w:tentative="0">
      <w:start w:val="1"/>
      <w:numFmt w:val="chineseCounting"/>
      <w:suff w:val="nothing"/>
      <w:lvlText w:val="%1、"/>
      <w:lvlJc w:val="left"/>
      <w:rPr>
        <w:rFonts w:hint="eastAsia"/>
      </w:rPr>
    </w:lvl>
  </w:abstractNum>
  <w:abstractNum w:abstractNumId="8">
    <w:nsid w:val="659439B4"/>
    <w:multiLevelType w:val="multilevel"/>
    <w:tmpl w:val="659439B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3CA4656"/>
    <w:multiLevelType w:val="singleLevel"/>
    <w:tmpl w:val="73CA4656"/>
    <w:lvl w:ilvl="0" w:tentative="0">
      <w:start w:val="1"/>
      <w:numFmt w:val="decimal"/>
      <w:lvlText w:val="%1."/>
      <w:lvlJc w:val="left"/>
      <w:pPr>
        <w:tabs>
          <w:tab w:val="left" w:pos="420"/>
        </w:tabs>
        <w:ind w:left="425" w:leftChars="0" w:hanging="425" w:firstLineChars="0"/>
      </w:pPr>
      <w:rPr>
        <w:rFonts w:hint="default"/>
      </w:rPr>
    </w:lvl>
  </w:abstractNum>
  <w:num w:numId="1">
    <w:abstractNumId w:val="5"/>
  </w:num>
  <w:num w:numId="2">
    <w:abstractNumId w:val="4"/>
  </w:num>
  <w:num w:numId="3">
    <w:abstractNumId w:val="9"/>
  </w:num>
  <w:num w:numId="4">
    <w:abstractNumId w:val="7"/>
  </w:num>
  <w:num w:numId="5">
    <w:abstractNumId w:val="3"/>
  </w:num>
  <w:num w:numId="6">
    <w:abstractNumId w:val="1"/>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670B2"/>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4F2"/>
    <w:rsid w:val="001B0171"/>
    <w:rsid w:val="001B0C54"/>
    <w:rsid w:val="001B1A66"/>
    <w:rsid w:val="001C0A06"/>
    <w:rsid w:val="001C0AEC"/>
    <w:rsid w:val="001C237B"/>
    <w:rsid w:val="001C3424"/>
    <w:rsid w:val="001C6765"/>
    <w:rsid w:val="001C6C15"/>
    <w:rsid w:val="001C6F84"/>
    <w:rsid w:val="001E3B26"/>
    <w:rsid w:val="001E59D9"/>
    <w:rsid w:val="001F33A7"/>
    <w:rsid w:val="001F4311"/>
    <w:rsid w:val="001F477E"/>
    <w:rsid w:val="001F6FDE"/>
    <w:rsid w:val="002051A7"/>
    <w:rsid w:val="002068A3"/>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4514"/>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45855"/>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B500D"/>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4F6911"/>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069A"/>
    <w:rsid w:val="0062504E"/>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37FD"/>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289C"/>
    <w:rsid w:val="0081453E"/>
    <w:rsid w:val="00814B03"/>
    <w:rsid w:val="00817D49"/>
    <w:rsid w:val="00823628"/>
    <w:rsid w:val="00826602"/>
    <w:rsid w:val="008305B9"/>
    <w:rsid w:val="00841202"/>
    <w:rsid w:val="00841756"/>
    <w:rsid w:val="00842172"/>
    <w:rsid w:val="0084247B"/>
    <w:rsid w:val="00844817"/>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07333"/>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090B"/>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3343"/>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BF6BCF"/>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58E4"/>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3E9E"/>
    <w:rsid w:val="00D76174"/>
    <w:rsid w:val="00D771E9"/>
    <w:rsid w:val="00D811B4"/>
    <w:rsid w:val="00D82C18"/>
    <w:rsid w:val="00D838DB"/>
    <w:rsid w:val="00D8778D"/>
    <w:rsid w:val="00D975F4"/>
    <w:rsid w:val="00DA33F6"/>
    <w:rsid w:val="00DA3F0C"/>
    <w:rsid w:val="00DA667E"/>
    <w:rsid w:val="00DB0C1A"/>
    <w:rsid w:val="00DB44DC"/>
    <w:rsid w:val="00DB4F35"/>
    <w:rsid w:val="00DC00EA"/>
    <w:rsid w:val="00DC0ABF"/>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33E0"/>
    <w:rsid w:val="00F043C2"/>
    <w:rsid w:val="00F0552C"/>
    <w:rsid w:val="00F100A2"/>
    <w:rsid w:val="00F16A83"/>
    <w:rsid w:val="00F202E1"/>
    <w:rsid w:val="00F221D9"/>
    <w:rsid w:val="00F264ED"/>
    <w:rsid w:val="00F37754"/>
    <w:rsid w:val="00F45439"/>
    <w:rsid w:val="00F462D5"/>
    <w:rsid w:val="00F5189F"/>
    <w:rsid w:val="00F56C72"/>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11C"/>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72431A1"/>
    <w:rsid w:val="0B065D42"/>
    <w:rsid w:val="1AC92BC2"/>
    <w:rsid w:val="1DF25D68"/>
    <w:rsid w:val="1E0E1E44"/>
    <w:rsid w:val="278863FA"/>
    <w:rsid w:val="286C2882"/>
    <w:rsid w:val="28BC7051"/>
    <w:rsid w:val="2EC90880"/>
    <w:rsid w:val="3338588A"/>
    <w:rsid w:val="458819CF"/>
    <w:rsid w:val="51C775D0"/>
    <w:rsid w:val="55DF0689"/>
    <w:rsid w:val="5A0411B2"/>
    <w:rsid w:val="604C137B"/>
    <w:rsid w:val="76026F1F"/>
    <w:rsid w:val="76476BF7"/>
    <w:rsid w:val="77C567A2"/>
    <w:rsid w:val="7F11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uiPriority w:val="0"/>
  </w:style>
  <w:style w:type="character" w:styleId="10">
    <w:name w:val="Hyperlink"/>
    <w:uiPriority w:val="0"/>
    <w:rPr>
      <w:color w:val="0000FF"/>
      <w:u w:val="single"/>
    </w:rPr>
  </w:style>
  <w:style w:type="table" w:styleId="12">
    <w:name w:val="Table Grid"/>
    <w:basedOn w:val="1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uiPriority w:val="0"/>
  </w:style>
  <w:style w:type="paragraph" w:customStyle="1" w:styleId="17">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uiPriority w:val="0"/>
    <w:rPr>
      <w:b/>
      <w:bCs/>
      <w:color w:val="FFFFFF"/>
      <w:spacing w:val="28"/>
      <w:sz w:val="28"/>
      <w:szCs w:val="28"/>
      <w:u w:val="single"/>
    </w:rPr>
  </w:style>
  <w:style w:type="paragraph" w:customStyle="1" w:styleId="20">
    <w:name w:val="Char Char Char Char1"/>
    <w:basedOn w:val="1"/>
    <w:uiPriority w:val="0"/>
    <w:pPr>
      <w:widowControl/>
      <w:spacing w:after="160" w:line="240" w:lineRule="exact"/>
      <w:jc w:val="left"/>
    </w:pPr>
    <w:rPr>
      <w:szCs w:val="20"/>
    </w:rPr>
  </w:style>
  <w:style w:type="paragraph" w:customStyle="1" w:styleId="21">
    <w:name w:val="p1"/>
    <w:basedOn w:val="1"/>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E94D3-6D7D-4354-9267-25EDF40F53CE}">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340</Words>
  <Characters>1944</Characters>
  <Lines>16</Lines>
  <Paragraphs>4</Paragraphs>
  <TotalTime>0</TotalTime>
  <ScaleCrop>false</ScaleCrop>
  <LinksUpToDate>false</LinksUpToDate>
  <CharactersWithSpaces>2280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2018-10-30T01:03:31Z</dcterms:modified>
  <dc:title>帕迪课程</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