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采购价格分析与估算技术</w:t>
      </w:r>
    </w:p>
    <w:p>
      <w:pPr>
        <w:spacing w:line="500" w:lineRule="exact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>www.sino-pardi.com，www.021px.com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，18917655637（微信同号）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QQ：729060683</w:t>
      </w:r>
    </w:p>
    <w:p>
      <w:pPr>
        <w:spacing w:line="500" w:lineRule="exact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 xml:space="preserve">4月18-19日 上海  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 xml:space="preserve">8月29-30日 上海   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12月5-6日 上海</w:t>
      </w:r>
    </w:p>
    <w:p>
      <w:pPr>
        <w:spacing w:line="500" w:lineRule="exact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采购新任经理、储备经理、采购助理、供应商管理员、行政采购人员等采购供应链相关人员。</w:t>
      </w:r>
    </w:p>
    <w:p>
      <w:pPr>
        <w:spacing w:line="5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4800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</w:rPr>
        <w:t>在当今时代，供应商提供的产品或服务已经成为公司成本的主要方面。如何在第一次就能准确估算供应商的报价是否合理，如何在合作中不断创造和挖掘供应商价值，已经成了专业的采购人员最核心的价值所在。通过本课程的学习，使参加者可以充分地了解并掌握如下知识，快速获得并提高供应商管理和降低总成本的能力：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1、了解价格和采购成本的奥秘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2、掌握价格和成本分析的主要方法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3、如何利用产品生命周期成本的概念，指导日常的采购工作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4、估算产品的成本的方法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5、估算服务的成本的方法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6、评估供应商涨价以及涨价幅度的合理性</w:t>
      </w:r>
    </w:p>
    <w:p>
      <w:pPr>
        <w:adjustRightInd w:val="0"/>
        <w:snapToGrid w:val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7、如何建立价格调整机制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</w:rPr>
        <w:t>8、如何提高供应商可持续发展的能力</w:t>
      </w: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一、价格和成本的组成因素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定价的类型及解析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bookmarkStart w:id="0" w:name="RANGE!A22"/>
      <w:bookmarkStart w:id="1" w:name="RANGE!A23"/>
      <w:r>
        <w:rPr>
          <w:rFonts w:hint="eastAsia" w:ascii="微软雅黑" w:hAnsi="微软雅黑" w:eastAsia="微软雅黑"/>
          <w:szCs w:val="21"/>
        </w:rPr>
        <w:t>常见的供应商</w:t>
      </w:r>
      <w:bookmarkEnd w:id="0"/>
      <w:r>
        <w:rPr>
          <w:rFonts w:hint="eastAsia" w:ascii="微软雅黑" w:hAnsi="微软雅黑" w:eastAsia="微软雅黑"/>
          <w:szCs w:val="21"/>
        </w:rPr>
        <w:t>定价方式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bCs/>
          <w:kern w:val="0"/>
          <w:szCs w:val="21"/>
        </w:rPr>
        <w:t>组成价格的要素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盈亏平衡点和利润的合理空间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采购量与成本和采购价格的关系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讨论：供应商会在哪些部分要求涨价</w:t>
      </w:r>
    </w:p>
    <w:bookmarkEnd w:id="1"/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bookmarkStart w:id="2" w:name="RANGE!A24"/>
      <w:r>
        <w:rPr>
          <w:rFonts w:hint="eastAsia" w:ascii="微软雅黑" w:hAnsi="微软雅黑" w:eastAsia="微软雅黑"/>
          <w:szCs w:val="21"/>
        </w:rPr>
        <w:t>发现“看不见的成本</w:t>
      </w:r>
      <w:bookmarkEnd w:id="2"/>
      <w:bookmarkStart w:id="3" w:name="RANGE!A25"/>
      <w:r>
        <w:rPr>
          <w:rFonts w:hint="eastAsia" w:ascii="微软雅黑" w:hAnsi="微软雅黑" w:eastAsia="微软雅黑"/>
          <w:szCs w:val="21"/>
        </w:rPr>
        <w:t>”</w:t>
      </w:r>
      <w:r>
        <w:rPr>
          <w:rFonts w:ascii="微软雅黑" w:hAnsi="微软雅黑" w:eastAsia="微软雅黑"/>
          <w:szCs w:val="21"/>
        </w:rPr>
        <w:t xml:space="preserve">         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熟悉</w:t>
      </w:r>
      <w:r>
        <w:rPr>
          <w:rFonts w:ascii="微软雅黑" w:hAnsi="微软雅黑" w:eastAsia="微软雅黑"/>
          <w:szCs w:val="21"/>
        </w:rPr>
        <w:t xml:space="preserve">Incoterms </w:t>
      </w:r>
      <w:bookmarkEnd w:id="3"/>
      <w:r>
        <w:rPr>
          <w:rFonts w:hint="eastAsia" w:ascii="微软雅黑" w:hAnsi="微软雅黑" w:eastAsia="微软雅黑"/>
          <w:szCs w:val="21"/>
        </w:rPr>
        <w:t>2000（案例分析）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bookmarkStart w:id="4" w:name="RANGE!A27"/>
      <w:r>
        <w:rPr>
          <w:rFonts w:hint="eastAsia" w:ascii="微软雅黑" w:hAnsi="微软雅黑" w:eastAsia="微软雅黑" w:cs="Arial"/>
          <w:bCs/>
          <w:kern w:val="0"/>
          <w:szCs w:val="21"/>
        </w:rPr>
        <w:t>理解供应市场——</w:t>
      </w:r>
      <w:r>
        <w:rPr>
          <w:rFonts w:hint="eastAsia" w:ascii="微软雅黑" w:hAnsi="微软雅黑" w:eastAsia="微软雅黑"/>
          <w:szCs w:val="21"/>
        </w:rPr>
        <w:t>大宗商品的价格及指数</w:t>
      </w:r>
      <w:bookmarkEnd w:id="4"/>
      <w:r>
        <w:rPr>
          <w:rFonts w:hint="eastAsia" w:ascii="微软雅黑" w:hAnsi="微软雅黑" w:eastAsia="微软雅黑"/>
          <w:szCs w:val="21"/>
        </w:rPr>
        <w:t xml:space="preserve"> 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讨论：</w:t>
      </w:r>
      <w:r>
        <w:rPr>
          <w:rFonts w:hint="eastAsia" w:ascii="微软雅黑" w:hAnsi="微软雅黑" w:eastAsia="微软雅黑" w:cs="Arial"/>
          <w:bCs/>
          <w:kern w:val="0"/>
          <w:szCs w:val="21"/>
        </w:rPr>
        <w:t>面包的价格为什么差距这么大？</w:t>
      </w:r>
    </w:p>
    <w:p>
      <w:pPr>
        <w:numPr>
          <w:ilvl w:val="0"/>
          <w:numId w:val="1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bCs/>
          <w:kern w:val="0"/>
          <w:szCs w:val="21"/>
        </w:rPr>
        <w:t>生命周期成本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二、价格和成本的分析技术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价格分析技术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价格数量折扣法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Arial"/>
          <w:bCs/>
          <w:kern w:val="0"/>
          <w:szCs w:val="21"/>
        </w:rPr>
        <w:t>盈亏平衡分析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案例：饮水费用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生命周期成本及分析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供应商的成本细分</w:t>
      </w:r>
    </w:p>
    <w:p>
      <w:pPr>
        <w:numPr>
          <w:ilvl w:val="0"/>
          <w:numId w:val="2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如何得到供应商的成本细分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三、如何进行产品成本估算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产品的物理组成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产品采购的特点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产品成本的构成因素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产品成本的估算方法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案例：铸件成本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案例：机加工费用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案例：LED灯项目</w:t>
      </w:r>
    </w:p>
    <w:p>
      <w:pPr>
        <w:numPr>
          <w:ilvl w:val="0"/>
          <w:numId w:val="3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为什么供应商总强调Total</w:t>
      </w:r>
      <w:r>
        <w:rPr>
          <w:rFonts w:ascii="微软雅黑" w:hAnsi="微软雅黑" w:eastAsia="微软雅黑"/>
          <w:szCs w:val="21"/>
        </w:rPr>
        <w:t xml:space="preserve"> Solution?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四、如何进行服务成本估算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服务的性质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服务采购的特点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产品成本的构成因素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服务成本的估算方法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案例：IT</w:t>
      </w:r>
      <w:r>
        <w:rPr>
          <w:rFonts w:ascii="微软雅黑" w:hAnsi="微软雅黑" w:eastAsia="微软雅黑"/>
          <w:szCs w:val="21"/>
        </w:rPr>
        <w:t xml:space="preserve"> 系统项目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案例：采购咨询项目</w:t>
      </w:r>
    </w:p>
    <w:p>
      <w:pPr>
        <w:numPr>
          <w:ilvl w:val="0"/>
          <w:numId w:val="4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讨论：如何进行Event采购？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五、供应商涨价的要求是否合理</w:t>
      </w:r>
    </w:p>
    <w:p>
      <w:pPr>
        <w:numPr>
          <w:ilvl w:val="0"/>
          <w:numId w:val="5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供应商为什么会提出要涨价</w:t>
      </w:r>
    </w:p>
    <w:p>
      <w:pPr>
        <w:numPr>
          <w:ilvl w:val="0"/>
          <w:numId w:val="5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供应商的涨价要求是否有时间特点</w:t>
      </w:r>
    </w:p>
    <w:p>
      <w:pPr>
        <w:numPr>
          <w:ilvl w:val="0"/>
          <w:numId w:val="5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供应商的涨价幅度是否合理</w:t>
      </w:r>
    </w:p>
    <w:p>
      <w:pPr>
        <w:numPr>
          <w:ilvl w:val="0"/>
          <w:numId w:val="5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如何转移供应商的涨价压力</w:t>
      </w:r>
    </w:p>
    <w:p>
      <w:pPr>
        <w:numPr>
          <w:ilvl w:val="0"/>
          <w:numId w:val="5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价格调整机制的建立</w:t>
      </w:r>
    </w:p>
    <w:p>
      <w:pPr>
        <w:adjustRightInd w:val="0"/>
        <w:snapToGrid w:val="0"/>
        <w:spacing w:line="340" w:lineRule="exact"/>
        <w:rPr>
          <w:rFonts w:ascii="微软雅黑" w:hAnsi="微软雅黑" w:eastAsia="微软雅黑" w:cs="Arial"/>
          <w:b/>
          <w:bCs/>
          <w:kern w:val="0"/>
          <w:szCs w:val="21"/>
        </w:rPr>
      </w:pPr>
      <w:r>
        <w:rPr>
          <w:rFonts w:hint="eastAsia" w:ascii="微软雅黑" w:hAnsi="微软雅黑" w:eastAsia="微软雅黑" w:cs="Arial"/>
          <w:b/>
          <w:bCs/>
          <w:kern w:val="0"/>
          <w:szCs w:val="21"/>
        </w:rPr>
        <w:t>六、培养并提高供应商自身创新和可持续发展的能力</w:t>
      </w:r>
    </w:p>
    <w:p>
      <w:pPr>
        <w:numPr>
          <w:ilvl w:val="0"/>
          <w:numId w:val="6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供应商的可持续发展能力的重要性</w:t>
      </w:r>
    </w:p>
    <w:p>
      <w:pPr>
        <w:numPr>
          <w:ilvl w:val="0"/>
          <w:numId w:val="6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供应商的可持续发展能力包含哪些内容</w:t>
      </w:r>
    </w:p>
    <w:p>
      <w:pPr>
        <w:numPr>
          <w:ilvl w:val="0"/>
          <w:numId w:val="6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VAVE的价值</w:t>
      </w:r>
    </w:p>
    <w:p>
      <w:pPr>
        <w:numPr>
          <w:ilvl w:val="0"/>
          <w:numId w:val="6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培养供应商的创新能力</w:t>
      </w:r>
    </w:p>
    <w:p>
      <w:pPr>
        <w:numPr>
          <w:ilvl w:val="0"/>
          <w:numId w:val="6"/>
        </w:numPr>
        <w:adjustRightInd w:val="0"/>
        <w:snapToGrid w:val="0"/>
        <w:ind w:left="45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选择供应商的创新成果，优化产品和供应链</w:t>
      </w:r>
    </w:p>
    <w:p>
      <w:pPr>
        <w:adjustRightInd w:val="0"/>
        <w:snapToGrid w:val="0"/>
        <w:spacing w:line="340" w:lineRule="exact"/>
        <w:rPr>
          <w:rFonts w:hint="eastAsia" w:ascii="微软雅黑" w:hAnsi="微软雅黑" w:eastAsia="微软雅黑" w:cs="Arial"/>
          <w:b/>
          <w:bCs/>
          <w:kern w:val="0"/>
          <w:szCs w:val="21"/>
          <w:lang w:eastAsia="zh-CN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 w:cs="Arial"/>
          <w:b/>
          <w:bCs/>
          <w:kern w:val="0"/>
          <w:szCs w:val="21"/>
          <w:lang w:eastAsia="zh-CN"/>
        </w:rPr>
        <w:t>七、课程总结与答疑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bookmarkStart w:id="5" w:name="_GoBack"/>
      <w:bookmarkEnd w:id="5"/>
    </w:p>
    <w:p>
      <w:pPr>
        <w:adjustRightInd w:val="0"/>
        <w:snapToGrid w:val="0"/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 w:val="20"/>
          <w:szCs w:val="2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-22860</wp:posOffset>
            </wp:positionV>
            <wp:extent cx="1285875" cy="1525905"/>
            <wp:effectExtent l="19050" t="0" r="28575" b="455295"/>
            <wp:wrapNone/>
            <wp:docPr id="6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25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宋体"/>
          <w:b/>
          <w:kern w:val="0"/>
          <w:sz w:val="24"/>
          <w:szCs w:val="20"/>
        </w:rPr>
        <w:t xml:space="preserve">David Yao </w:t>
      </w:r>
    </w:p>
    <w:p>
      <w:pPr>
        <w:widowControl/>
        <w:tabs>
          <w:tab w:val="left" w:pos="8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ab/>
      </w:r>
      <w:r>
        <w:rPr>
          <w:rFonts w:hint="eastAsia" w:ascii="微软雅黑" w:hAnsi="微软雅黑" w:eastAsia="微软雅黑" w:cs="宋体"/>
          <w:kern w:val="0"/>
          <w:szCs w:val="21"/>
        </w:rPr>
        <w:t>行业资质：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同济大学机械工程博士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采购与供应链资深培训师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 xml:space="preserve">ITC特聘专家级培训讲师                            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采购与供应管理高级采购论坛首席讲师</w:t>
      </w:r>
    </w:p>
    <w:p>
      <w:pPr>
        <w:pStyle w:val="23"/>
        <w:widowControl/>
        <w:numPr>
          <w:ilvl w:val="0"/>
          <w:numId w:val="7"/>
        </w:numPr>
        <w:adjustRightInd w:val="0"/>
        <w:snapToGrid w:val="0"/>
        <w:ind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现任某著名世界500强企业亚太区采购经理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工作经历：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先后在国际知名咨询公司供应链项目经理，负责为跨国工业公司在亚太提供战略采购和国产化咨询服务。曾多次协助公司及客户建立和完善采购政策和程序，实施或监督采购流程的执行，对战略采购及供应商管理有着丰富的理论知识和实践经验。熟悉欧美工业客户如Demag Crane &amp; Components, Demag Plastic Group, RWE 等及医疗业客户Tecan Systems Inc.等在中国地区提供相应采购咨询和技术服务。 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风格与特点：</w:t>
      </w:r>
      <w:r>
        <w:rPr>
          <w:rFonts w:hint="eastAsia" w:ascii="微软雅黑" w:hAnsi="微软雅黑" w:eastAsia="微软雅黑" w:cs="宋体"/>
          <w:kern w:val="0"/>
          <w:szCs w:val="21"/>
        </w:rPr>
        <w:t xml:space="preserve">独特睿智的授课风格深受学员欢迎，其辅导的研讨班气氛活跃，直面问题，深邃透彻，效果甚佳； 讲课概念超前，但又注重实际应用；案例丰富并且主要来自本人的多年实践经验。具有技术，质量和采购的跨部门交叉管理经验，善于帮助听众换位思考。 </w:t>
      </w:r>
    </w:p>
    <w:p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主讲课程：</w:t>
      </w:r>
      <w:r>
        <w:rPr>
          <w:rFonts w:hint="eastAsia" w:ascii="微软雅黑" w:hAnsi="微软雅黑" w:eastAsia="微软雅黑" w:cs="宋体"/>
          <w:kern w:val="0"/>
          <w:szCs w:val="21"/>
        </w:rPr>
        <w:t>《采购人员核心技能提升训练》《采购问题分析与解决》《采购人员沟通与演讲技巧》《采购人员PPT的应用》《专业演讲成就采购人生》</w:t>
      </w:r>
    </w:p>
    <w:p>
      <w:pPr>
        <w:widowControl/>
        <w:tabs>
          <w:tab w:val="left" w:pos="668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部分受训企业：</w:t>
      </w:r>
      <w:r>
        <w:rPr>
          <w:rFonts w:hint="eastAsia" w:ascii="微软雅黑" w:hAnsi="微软雅黑" w:eastAsia="微软雅黑" w:cs="宋体"/>
          <w:kern w:val="0"/>
          <w:szCs w:val="21"/>
        </w:rPr>
        <w:t>艾欧史密斯、耐普罗（中国）、格兰富（中国）、泰山光电（苏州）、丹佛斯（中国）、一汽大众、丰田汽车、美标、健特生物、联邦快递、爱立信、贝尔阿尔卡特、正大集团、万科、复星集团、携程网、百度、大亚湾核电站、永达集团、中国移动、中国电信、青岛啤酒、杜邦、壳牌石油、舍弗勒（中国）、高丝化妆品等等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color w:val="FF0000"/>
          <w:sz w:val="44"/>
        </w:rPr>
      </w:pPr>
      <w:r>
        <w:rPr>
          <w:rFonts w:hint="eastAsia" w:eastAsia="微软雅黑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 xml:space="preserve">13817659211  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ascii="微软雅黑" w:hAnsi="微软雅黑" w:eastAsia="微软雅黑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-149860</wp:posOffset>
          </wp:positionV>
          <wp:extent cx="1083310" cy="316865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2E6"/>
    <w:multiLevelType w:val="multilevel"/>
    <w:tmpl w:val="081302E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1CDB"/>
    <w:multiLevelType w:val="multilevel"/>
    <w:tmpl w:val="0C6B1CD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6D20"/>
    <w:multiLevelType w:val="multilevel"/>
    <w:tmpl w:val="14D96D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041F"/>
    <w:multiLevelType w:val="multilevel"/>
    <w:tmpl w:val="2730041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D3833"/>
    <w:multiLevelType w:val="multilevel"/>
    <w:tmpl w:val="4CFD383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1DC8"/>
    <w:multiLevelType w:val="multilevel"/>
    <w:tmpl w:val="5F1D1DC8"/>
    <w:lvl w:ilvl="0" w:tentative="0">
      <w:start w:val="1"/>
      <w:numFmt w:val="bullet"/>
      <w:lvlText w:val=""/>
      <w:lvlJc w:val="left"/>
      <w:pPr>
        <w:ind w:left="5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94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6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8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0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2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4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6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88" w:hanging="420"/>
      </w:pPr>
      <w:rPr>
        <w:rFonts w:hint="default" w:ascii="Wingdings" w:hAnsi="Wingdings"/>
      </w:rPr>
    </w:lvl>
  </w:abstractNum>
  <w:abstractNum w:abstractNumId="6">
    <w:nsid w:val="60C40C8C"/>
    <w:multiLevelType w:val="multilevel"/>
    <w:tmpl w:val="60C40C8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11A1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264C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137C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0629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67E29"/>
    <w:rsid w:val="00470097"/>
    <w:rsid w:val="004739E7"/>
    <w:rsid w:val="0047507B"/>
    <w:rsid w:val="00482F98"/>
    <w:rsid w:val="00485775"/>
    <w:rsid w:val="004867B7"/>
    <w:rsid w:val="00487D32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C709E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67556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2BE"/>
    <w:rsid w:val="007E7F88"/>
    <w:rsid w:val="007F75F1"/>
    <w:rsid w:val="007F79E0"/>
    <w:rsid w:val="0080037D"/>
    <w:rsid w:val="00800E33"/>
    <w:rsid w:val="00800EF4"/>
    <w:rsid w:val="00803CB5"/>
    <w:rsid w:val="008040ED"/>
    <w:rsid w:val="00807831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4818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66CA"/>
    <w:rsid w:val="0091712D"/>
    <w:rsid w:val="009209E9"/>
    <w:rsid w:val="009218D5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7A8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1C3B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E6D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6018"/>
    <w:rsid w:val="00C610AB"/>
    <w:rsid w:val="00C67C5E"/>
    <w:rsid w:val="00C724AC"/>
    <w:rsid w:val="00C77964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005E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0B96"/>
    <w:rsid w:val="00DE11CF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37F8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09CF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C7D08"/>
    <w:rsid w:val="00FD1C0D"/>
    <w:rsid w:val="00FD503E"/>
    <w:rsid w:val="00FE0C20"/>
    <w:rsid w:val="00FE2DCF"/>
    <w:rsid w:val="00FE65F2"/>
    <w:rsid w:val="00FF0D14"/>
    <w:rsid w:val="00FF587B"/>
    <w:rsid w:val="500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9900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842837-B10B-4246-95D6-DA88413011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1813</Characters>
  <Lines>15</Lines>
  <Paragraphs>4</Paragraphs>
  <TotalTime>417</TotalTime>
  <ScaleCrop>false</ScaleCrop>
  <LinksUpToDate>false</LinksUpToDate>
  <CharactersWithSpaces>2126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2018-10-29T02:37:33Z</dcterms:modified>
  <dc:title>帕迪课程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