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9A3" w:rsidRPr="00DF69A3" w:rsidRDefault="00DF69A3" w:rsidP="00E202F5">
      <w:pPr>
        <w:rPr>
          <w:rFonts w:ascii="楷体_GB2312" w:eastAsia="楷体_GB2312" w:hAnsi="宋体"/>
          <w:b/>
          <w:bCs/>
          <w:color w:val="000000" w:themeColor="text1"/>
          <w:szCs w:val="36"/>
        </w:rPr>
      </w:pPr>
    </w:p>
    <w:p w:rsidR="00DF69A3" w:rsidRDefault="008F10F6" w:rsidP="00512D1F">
      <w:pPr>
        <w:spacing w:line="360" w:lineRule="auto"/>
        <w:ind w:firstLineChars="50" w:firstLine="160"/>
        <w:jc w:val="center"/>
        <w:rPr>
          <w:rFonts w:ascii="微软雅黑" w:eastAsia="微软雅黑" w:hAnsi="微软雅黑"/>
          <w:b/>
          <w:bCs/>
          <w:color w:val="FF0000"/>
          <w:sz w:val="22"/>
          <w:szCs w:val="22"/>
        </w:rPr>
      </w:pPr>
      <w:r w:rsidRPr="008F10F6">
        <w:rPr>
          <w:rFonts w:ascii="微软雅黑" w:eastAsia="微软雅黑" w:hAnsi="微软雅黑" w:hint="eastAsia"/>
          <w:b/>
          <w:bCs/>
          <w:color w:val="FF0000"/>
          <w:sz w:val="32"/>
          <w:szCs w:val="32"/>
        </w:rPr>
        <w:t>采购谈判技巧与供应商管理</w:t>
      </w:r>
    </w:p>
    <w:p w:rsidR="002F6C1F" w:rsidRPr="00BE1D3D" w:rsidRDefault="002F6C1F" w:rsidP="00512D1F">
      <w:pPr>
        <w:spacing w:line="360" w:lineRule="auto"/>
        <w:ind w:firstLineChars="50" w:firstLine="110"/>
        <w:jc w:val="center"/>
        <w:rPr>
          <w:rFonts w:ascii="微软雅黑" w:eastAsia="微软雅黑" w:hAnsi="微软雅黑"/>
          <w:b/>
          <w:bCs/>
          <w:color w:val="FF0000"/>
          <w:sz w:val="22"/>
          <w:szCs w:val="22"/>
        </w:rPr>
      </w:pPr>
      <w:r>
        <w:rPr>
          <w:rFonts w:ascii="微软雅黑" w:eastAsia="微软雅黑" w:hAnsi="微软雅黑" w:hint="eastAsia"/>
          <w:bCs/>
          <w:color w:val="FF0000"/>
          <w:sz w:val="22"/>
          <w:szCs w:val="22"/>
        </w:rPr>
        <w:t>（本课程属于《高级采购管理—采购经理必修课》后2天的培训内容）</w:t>
      </w:r>
    </w:p>
    <w:p w:rsidR="008040ED" w:rsidRPr="00ED46EC" w:rsidRDefault="008040ED" w:rsidP="00AE13B5">
      <w:pPr>
        <w:adjustRightInd w:val="0"/>
        <w:snapToGrid w:val="0"/>
        <w:spacing w:line="276" w:lineRule="auto"/>
        <w:rPr>
          <w:rFonts w:ascii="微软雅黑" w:eastAsia="微软雅黑" w:hAnsi="微软雅黑"/>
          <w:color w:val="000000" w:themeColor="text1"/>
          <w:szCs w:val="21"/>
        </w:rPr>
      </w:pPr>
      <w:r w:rsidRPr="00ED46EC">
        <w:rPr>
          <w:rFonts w:ascii="微软雅黑" w:eastAsia="微软雅黑" w:hAnsi="微软雅黑" w:hint="eastAsia"/>
          <w:b/>
          <w:color w:val="000000" w:themeColor="text1"/>
          <w:szCs w:val="21"/>
        </w:rPr>
        <w:t>【主办单位】</w:t>
      </w:r>
      <w:r w:rsidR="00F72B2B" w:rsidRPr="00ED46EC">
        <w:rPr>
          <w:rFonts w:ascii="微软雅黑" w:eastAsia="微软雅黑" w:hAnsi="微软雅黑" w:hint="eastAsia"/>
          <w:color w:val="000000" w:themeColor="text1"/>
          <w:szCs w:val="21"/>
        </w:rPr>
        <w:t>上海帕迪企业管理咨询有限公司</w:t>
      </w:r>
      <w:r w:rsidRPr="00ED46EC">
        <w:rPr>
          <w:rFonts w:ascii="微软雅黑" w:eastAsia="微软雅黑" w:hAnsi="微软雅黑" w:hint="eastAsia"/>
          <w:color w:val="000000" w:themeColor="text1"/>
          <w:szCs w:val="21"/>
        </w:rPr>
        <w:t xml:space="preserve"> </w:t>
      </w:r>
      <w:r w:rsidR="00F72B2B" w:rsidRPr="00BE1D3D">
        <w:rPr>
          <w:rFonts w:ascii="Arial Unicode MS" w:eastAsia="Arial Unicode MS" w:hAnsi="Arial Unicode MS" w:cs="Arial Unicode MS" w:hint="eastAsia"/>
          <w:color w:val="000000" w:themeColor="text1"/>
          <w:szCs w:val="21"/>
        </w:rPr>
        <w:t>www.sino-pardi.com，www.021px.com</w:t>
      </w:r>
    </w:p>
    <w:p w:rsidR="00F72B2B" w:rsidRDefault="00F72B2B" w:rsidP="00AE13B5">
      <w:pPr>
        <w:adjustRightInd w:val="0"/>
        <w:snapToGrid w:val="0"/>
        <w:spacing w:line="276" w:lineRule="auto"/>
        <w:rPr>
          <w:rFonts w:ascii="微软雅黑" w:eastAsia="微软雅黑" w:hAnsi="微软雅黑"/>
          <w:szCs w:val="21"/>
        </w:rPr>
      </w:pPr>
      <w:r w:rsidRPr="00ED46EC">
        <w:rPr>
          <w:rFonts w:ascii="微软雅黑" w:eastAsia="微软雅黑" w:hAnsi="微软雅黑" w:hint="eastAsia"/>
          <w:b/>
          <w:color w:val="000000" w:themeColor="text1"/>
        </w:rPr>
        <w:t>【报名热线】</w:t>
      </w:r>
      <w:r>
        <w:rPr>
          <w:rFonts w:ascii="微软雅黑" w:eastAsia="微软雅黑" w:hAnsi="微软雅黑"/>
        </w:rPr>
        <w:t>021</w:t>
      </w:r>
      <w:r>
        <w:rPr>
          <w:rFonts w:ascii="微软雅黑" w:eastAsia="微软雅黑" w:hAnsi="微软雅黑" w:hint="eastAsia"/>
        </w:rPr>
        <w:t>-</w:t>
      </w:r>
      <w:r>
        <w:rPr>
          <w:rFonts w:ascii="微软雅黑" w:eastAsia="微软雅黑" w:hAnsi="微软雅黑"/>
        </w:rPr>
        <w:t>51036580</w:t>
      </w:r>
      <w:r>
        <w:rPr>
          <w:rFonts w:ascii="微软雅黑" w:eastAsia="微软雅黑" w:hAnsi="微软雅黑" w:hint="eastAsia"/>
        </w:rPr>
        <w:t>，18917655637</w:t>
      </w:r>
      <w:r w:rsidR="00D35029">
        <w:rPr>
          <w:rFonts w:ascii="微软雅黑" w:eastAsia="微软雅黑" w:hAnsi="微软雅黑" w:hint="eastAsia"/>
        </w:rPr>
        <w:t>（微信同号）</w:t>
      </w: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QQ：729060683</w:t>
      </w:r>
    </w:p>
    <w:p w:rsidR="008F10F6" w:rsidRDefault="008040ED" w:rsidP="00AE13B5">
      <w:pPr>
        <w:adjustRightInd w:val="0"/>
        <w:snapToGrid w:val="0"/>
        <w:spacing w:line="276" w:lineRule="auto"/>
        <w:rPr>
          <w:rFonts w:ascii="微软雅黑" w:eastAsia="微软雅黑" w:hAnsi="微软雅黑"/>
          <w:color w:val="000000"/>
          <w:szCs w:val="21"/>
        </w:rPr>
      </w:pPr>
      <w:r>
        <w:rPr>
          <w:rFonts w:ascii="微软雅黑" w:eastAsia="微软雅黑" w:hAnsi="微软雅黑" w:hint="eastAsia"/>
          <w:b/>
          <w:szCs w:val="21"/>
        </w:rPr>
        <w:t>【开课时间】</w:t>
      </w:r>
      <w:r w:rsidR="00AF17E2" w:rsidRPr="00AF17E2">
        <w:rPr>
          <w:rFonts w:ascii="微软雅黑" w:eastAsia="微软雅黑" w:hAnsi="微软雅黑" w:hint="eastAsia"/>
          <w:color w:val="000000"/>
          <w:szCs w:val="21"/>
        </w:rPr>
        <w:t>3月22-23</w:t>
      </w:r>
      <w:r w:rsidR="008F10F6">
        <w:rPr>
          <w:rFonts w:ascii="微软雅黑" w:eastAsia="微软雅黑" w:hAnsi="微软雅黑" w:hint="eastAsia"/>
          <w:color w:val="000000"/>
          <w:szCs w:val="21"/>
        </w:rPr>
        <w:t xml:space="preserve">日 上海 </w:t>
      </w:r>
      <w:r w:rsidR="008F10F6" w:rsidRPr="00A02480">
        <w:rPr>
          <w:rFonts w:ascii="微软雅黑" w:eastAsia="微软雅黑" w:hAnsi="微软雅黑" w:hint="eastAsia"/>
          <w:color w:val="000000"/>
          <w:szCs w:val="21"/>
        </w:rPr>
        <w:t xml:space="preserve">  </w:t>
      </w:r>
      <w:r w:rsidR="008F10F6">
        <w:rPr>
          <w:rFonts w:ascii="微软雅黑" w:eastAsia="微软雅黑" w:hAnsi="微软雅黑"/>
          <w:color w:val="000000"/>
          <w:szCs w:val="21"/>
        </w:rPr>
        <w:t xml:space="preserve">   </w:t>
      </w:r>
      <w:r w:rsidR="00AF17E2" w:rsidRPr="00AF17E2">
        <w:rPr>
          <w:rFonts w:ascii="微软雅黑" w:eastAsia="微软雅黑" w:hAnsi="微软雅黑" w:hint="eastAsia"/>
          <w:color w:val="000000"/>
          <w:szCs w:val="21"/>
        </w:rPr>
        <w:t>4月26-27</w:t>
      </w:r>
      <w:r w:rsidR="008F10F6">
        <w:rPr>
          <w:rFonts w:ascii="微软雅黑" w:eastAsia="微软雅黑" w:hAnsi="微软雅黑" w:hint="eastAsia"/>
          <w:color w:val="000000"/>
          <w:szCs w:val="21"/>
        </w:rPr>
        <w:t>日 深圳</w:t>
      </w:r>
      <w:r w:rsidR="008F10F6" w:rsidRPr="00A02480">
        <w:rPr>
          <w:rFonts w:ascii="微软雅黑" w:eastAsia="微软雅黑" w:hAnsi="微软雅黑" w:hint="eastAsia"/>
          <w:color w:val="000000"/>
          <w:szCs w:val="21"/>
        </w:rPr>
        <w:t xml:space="preserve"> </w:t>
      </w:r>
      <w:r w:rsidR="008F10F6">
        <w:rPr>
          <w:rFonts w:ascii="微软雅黑" w:eastAsia="微软雅黑" w:hAnsi="微软雅黑"/>
          <w:color w:val="000000"/>
          <w:szCs w:val="21"/>
        </w:rPr>
        <w:t xml:space="preserve">      </w:t>
      </w:r>
      <w:r w:rsidR="00AF17E2" w:rsidRPr="00AF17E2">
        <w:rPr>
          <w:rFonts w:ascii="微软雅黑" w:eastAsia="微软雅黑" w:hAnsi="微软雅黑" w:hint="eastAsia"/>
          <w:color w:val="000000"/>
          <w:szCs w:val="21"/>
        </w:rPr>
        <w:t>6月27-28</w:t>
      </w:r>
      <w:r w:rsidR="008F10F6">
        <w:rPr>
          <w:rFonts w:ascii="微软雅黑" w:eastAsia="微软雅黑" w:hAnsi="微软雅黑" w:hint="eastAsia"/>
          <w:color w:val="000000"/>
          <w:szCs w:val="21"/>
        </w:rPr>
        <w:t>日</w:t>
      </w:r>
      <w:r w:rsidR="008F10F6">
        <w:rPr>
          <w:rFonts w:ascii="微软雅黑" w:eastAsia="微软雅黑" w:hAnsi="微软雅黑"/>
          <w:color w:val="000000"/>
          <w:szCs w:val="21"/>
        </w:rPr>
        <w:t xml:space="preserve"> </w:t>
      </w:r>
      <w:r w:rsidR="008F10F6" w:rsidRPr="00BC0BFA">
        <w:rPr>
          <w:rFonts w:ascii="微软雅黑" w:eastAsia="微软雅黑" w:hAnsi="微软雅黑" w:hint="eastAsia"/>
          <w:color w:val="000000"/>
          <w:szCs w:val="21"/>
        </w:rPr>
        <w:t>上海</w:t>
      </w:r>
      <w:r w:rsidR="008F10F6">
        <w:rPr>
          <w:rFonts w:ascii="微软雅黑" w:eastAsia="微软雅黑" w:hAnsi="微软雅黑"/>
          <w:color w:val="000000"/>
          <w:szCs w:val="21"/>
        </w:rPr>
        <w:t xml:space="preserve">    </w:t>
      </w:r>
    </w:p>
    <w:p w:rsidR="008040ED" w:rsidRPr="00A02480" w:rsidRDefault="00AF17E2" w:rsidP="00AE13B5">
      <w:pPr>
        <w:adjustRightInd w:val="0"/>
        <w:snapToGrid w:val="0"/>
        <w:spacing w:line="276" w:lineRule="auto"/>
        <w:ind w:firstLineChars="600" w:firstLine="1260"/>
        <w:rPr>
          <w:rFonts w:ascii="微软雅黑" w:eastAsia="微软雅黑" w:hAnsi="微软雅黑"/>
          <w:color w:val="000000"/>
          <w:szCs w:val="21"/>
        </w:rPr>
      </w:pPr>
      <w:r w:rsidRPr="00AF17E2">
        <w:rPr>
          <w:rFonts w:ascii="微软雅黑" w:eastAsia="微软雅黑" w:hAnsi="微软雅黑" w:hint="eastAsia"/>
          <w:color w:val="000000"/>
          <w:szCs w:val="21"/>
        </w:rPr>
        <w:t>8月22-23</w:t>
      </w:r>
      <w:r w:rsidR="008F10F6">
        <w:rPr>
          <w:rFonts w:ascii="微软雅黑" w:eastAsia="微软雅黑" w:hAnsi="微软雅黑" w:hint="eastAsia"/>
          <w:color w:val="000000"/>
          <w:szCs w:val="21"/>
        </w:rPr>
        <w:t xml:space="preserve">日 </w:t>
      </w:r>
      <w:r w:rsidR="008F10F6" w:rsidRPr="00BC0BFA">
        <w:rPr>
          <w:rFonts w:ascii="微软雅黑" w:eastAsia="微软雅黑" w:hAnsi="微软雅黑" w:hint="eastAsia"/>
          <w:color w:val="000000"/>
          <w:szCs w:val="21"/>
        </w:rPr>
        <w:t>上海</w:t>
      </w:r>
      <w:r w:rsidR="008F10F6">
        <w:rPr>
          <w:rFonts w:ascii="微软雅黑" w:eastAsia="微软雅黑" w:hAnsi="微软雅黑"/>
          <w:color w:val="000000"/>
          <w:szCs w:val="21"/>
        </w:rPr>
        <w:t xml:space="preserve">   </w:t>
      </w:r>
      <w:r w:rsidR="008F10F6">
        <w:rPr>
          <w:rFonts w:ascii="微软雅黑" w:eastAsia="微软雅黑" w:hAnsi="微软雅黑" w:hint="eastAsia"/>
          <w:color w:val="000000"/>
          <w:szCs w:val="21"/>
        </w:rPr>
        <w:t xml:space="preserve">   </w:t>
      </w:r>
      <w:r w:rsidRPr="00AF17E2">
        <w:rPr>
          <w:rFonts w:ascii="微软雅黑" w:eastAsia="微软雅黑" w:hAnsi="微软雅黑" w:hint="eastAsia"/>
          <w:color w:val="000000"/>
          <w:szCs w:val="21"/>
        </w:rPr>
        <w:t>11月8-9</w:t>
      </w:r>
      <w:r w:rsidR="008F10F6">
        <w:rPr>
          <w:rFonts w:ascii="微软雅黑" w:eastAsia="微软雅黑" w:hAnsi="微软雅黑" w:hint="eastAsia"/>
          <w:color w:val="000000"/>
          <w:szCs w:val="21"/>
        </w:rPr>
        <w:t xml:space="preserve">日 深圳   </w:t>
      </w:r>
      <w:r w:rsidR="008F10F6">
        <w:rPr>
          <w:rFonts w:ascii="微软雅黑" w:eastAsia="微软雅黑" w:hAnsi="微软雅黑"/>
          <w:color w:val="000000"/>
          <w:szCs w:val="21"/>
        </w:rPr>
        <w:t xml:space="preserve"> </w:t>
      </w:r>
      <w:r w:rsidR="00494343">
        <w:rPr>
          <w:rFonts w:ascii="微软雅黑" w:eastAsia="微软雅黑" w:hAnsi="微软雅黑"/>
          <w:color w:val="000000"/>
          <w:szCs w:val="21"/>
        </w:rPr>
        <w:t xml:space="preserve">  </w:t>
      </w:r>
      <w:bookmarkStart w:id="0" w:name="_GoBack"/>
      <w:bookmarkEnd w:id="0"/>
      <w:r w:rsidR="008F10F6">
        <w:rPr>
          <w:rFonts w:ascii="微软雅黑" w:eastAsia="微软雅黑" w:hAnsi="微软雅黑"/>
          <w:color w:val="000000"/>
          <w:szCs w:val="21"/>
        </w:rPr>
        <w:t xml:space="preserve">  </w:t>
      </w:r>
      <w:r w:rsidRPr="00AF17E2">
        <w:rPr>
          <w:rFonts w:ascii="微软雅黑" w:eastAsia="微软雅黑" w:hAnsi="微软雅黑" w:hint="eastAsia"/>
          <w:color w:val="000000"/>
          <w:szCs w:val="21"/>
        </w:rPr>
        <w:t>11月22-23</w:t>
      </w:r>
      <w:r w:rsidR="008F10F6">
        <w:rPr>
          <w:rFonts w:ascii="微软雅黑" w:eastAsia="微软雅黑" w:hAnsi="微软雅黑" w:hint="eastAsia"/>
          <w:color w:val="000000"/>
          <w:szCs w:val="21"/>
        </w:rPr>
        <w:t>日 上海</w:t>
      </w:r>
    </w:p>
    <w:p w:rsidR="008040ED" w:rsidRPr="0041372B" w:rsidRDefault="008040ED" w:rsidP="00AE13B5">
      <w:pPr>
        <w:adjustRightInd w:val="0"/>
        <w:snapToGrid w:val="0"/>
        <w:spacing w:line="276" w:lineRule="auto"/>
        <w:ind w:left="1260" w:hangingChars="600" w:hanging="1260"/>
        <w:rPr>
          <w:rFonts w:ascii="微软雅黑" w:eastAsia="微软雅黑" w:hAnsi="微软雅黑"/>
          <w:szCs w:val="21"/>
        </w:rPr>
      </w:pPr>
      <w:r>
        <w:rPr>
          <w:rFonts w:ascii="微软雅黑" w:eastAsia="微软雅黑" w:hAnsi="微软雅黑" w:hint="eastAsia"/>
          <w:b/>
        </w:rPr>
        <w:t>【</w:t>
      </w:r>
      <w:r w:rsidR="00800E33">
        <w:rPr>
          <w:rFonts w:ascii="微软雅黑" w:eastAsia="微软雅黑" w:hAnsi="微软雅黑" w:hint="eastAsia"/>
          <w:b/>
        </w:rPr>
        <w:t>培</w:t>
      </w:r>
      <w:r>
        <w:rPr>
          <w:rFonts w:ascii="微软雅黑" w:eastAsia="微软雅黑" w:hAnsi="微软雅黑" w:hint="eastAsia"/>
          <w:b/>
        </w:rPr>
        <w:t>训对象】</w:t>
      </w:r>
      <w:r w:rsidR="008F10F6" w:rsidRPr="008D0DC2">
        <w:rPr>
          <w:rFonts w:ascii="微软雅黑" w:eastAsia="微软雅黑" w:hAnsi="微软雅黑" w:hint="eastAsia"/>
          <w:szCs w:val="21"/>
        </w:rPr>
        <w:t>企业总经理、采购总监/经理/主管、生产/品质/计划/物料经理、资深采购工程师等</w:t>
      </w:r>
      <w:r w:rsidR="008F10F6">
        <w:rPr>
          <w:rFonts w:ascii="微软雅黑" w:eastAsia="微软雅黑" w:hAnsi="微软雅黑" w:hint="eastAsia"/>
          <w:szCs w:val="21"/>
        </w:rPr>
        <w:t>。</w:t>
      </w:r>
    </w:p>
    <w:p w:rsidR="008040ED" w:rsidRPr="00F72B2B" w:rsidRDefault="008040ED" w:rsidP="00AE13B5">
      <w:pPr>
        <w:adjustRightInd w:val="0"/>
        <w:snapToGrid w:val="0"/>
        <w:spacing w:line="276" w:lineRule="auto"/>
        <w:rPr>
          <w:rFonts w:ascii="微软雅黑" w:eastAsia="微软雅黑" w:hAnsi="微软雅黑"/>
          <w:szCs w:val="21"/>
        </w:rPr>
      </w:pPr>
      <w:r>
        <w:rPr>
          <w:rFonts w:ascii="微软雅黑" w:eastAsia="微软雅黑" w:hAnsi="微软雅黑" w:hint="eastAsia"/>
          <w:b/>
          <w:szCs w:val="21"/>
        </w:rPr>
        <w:t>【</w:t>
      </w:r>
      <w:r w:rsidR="00800E33">
        <w:rPr>
          <w:rFonts w:ascii="微软雅黑" w:eastAsia="微软雅黑" w:hAnsi="微软雅黑" w:hint="eastAsia"/>
          <w:b/>
          <w:szCs w:val="21"/>
        </w:rPr>
        <w:t>课程</w:t>
      </w:r>
      <w:r>
        <w:rPr>
          <w:rFonts w:ascii="微软雅黑" w:eastAsia="微软雅黑" w:hAnsi="微软雅黑" w:hint="eastAsia"/>
          <w:b/>
          <w:szCs w:val="21"/>
        </w:rPr>
        <w:t>费用】</w:t>
      </w:r>
      <w:r>
        <w:rPr>
          <w:rFonts w:ascii="微软雅黑" w:eastAsia="微软雅黑" w:hAnsi="微软雅黑" w:hint="eastAsia"/>
          <w:szCs w:val="21"/>
        </w:rPr>
        <w:t>RM</w:t>
      </w:r>
      <w:r w:rsidR="00DA3F0C">
        <w:rPr>
          <w:rFonts w:ascii="微软雅黑" w:eastAsia="微软雅黑" w:hAnsi="微软雅黑"/>
          <w:szCs w:val="21"/>
        </w:rPr>
        <w:t>B</w:t>
      </w:r>
      <w:r w:rsidR="008F10F6" w:rsidRPr="008F10F6">
        <w:t xml:space="preserve"> </w:t>
      </w:r>
      <w:r w:rsidR="008F10F6" w:rsidRPr="008F10F6">
        <w:rPr>
          <w:rFonts w:ascii="微软雅黑" w:eastAsia="微软雅黑" w:hAnsi="微软雅黑"/>
          <w:b/>
          <w:szCs w:val="21"/>
        </w:rPr>
        <w:t>4600</w:t>
      </w:r>
      <w:r w:rsidRPr="00BC0BFA">
        <w:rPr>
          <w:rFonts w:ascii="微软雅黑" w:eastAsia="微软雅黑" w:hAnsi="微软雅黑" w:hint="eastAsia"/>
          <w:b/>
          <w:szCs w:val="21"/>
        </w:rPr>
        <w:t>元/</w:t>
      </w:r>
      <w:r w:rsidR="00F72B2B" w:rsidRPr="00BC0BFA">
        <w:rPr>
          <w:rFonts w:ascii="微软雅黑" w:eastAsia="微软雅黑" w:hAnsi="微软雅黑" w:hint="eastAsia"/>
          <w:b/>
          <w:szCs w:val="21"/>
        </w:rPr>
        <w:t>人</w:t>
      </w:r>
      <w:r>
        <w:rPr>
          <w:rFonts w:ascii="微软雅黑" w:eastAsia="微软雅黑" w:hAnsi="微软雅黑" w:hint="eastAsia"/>
          <w:szCs w:val="21"/>
        </w:rPr>
        <w:t>（</w:t>
      </w:r>
      <w:r w:rsidR="00F72B2B">
        <w:rPr>
          <w:rFonts w:ascii="微软雅黑" w:eastAsia="微软雅黑" w:hAnsi="微软雅黑" w:hint="eastAsia"/>
          <w:szCs w:val="21"/>
        </w:rPr>
        <w:t>包</w:t>
      </w:r>
      <w:r>
        <w:rPr>
          <w:rFonts w:ascii="微软雅黑" w:eastAsia="微软雅黑" w:hAnsi="微软雅黑" w:hint="eastAsia"/>
          <w:szCs w:val="21"/>
        </w:rPr>
        <w:t>含：</w:t>
      </w:r>
      <w:r w:rsidR="00F72B2B">
        <w:rPr>
          <w:rFonts w:ascii="微软雅黑" w:eastAsia="微软雅黑" w:hAnsi="微软雅黑" w:hint="eastAsia"/>
          <w:szCs w:val="21"/>
        </w:rPr>
        <w:t>培训费、教材、午餐、茶点、发票</w:t>
      </w:r>
      <w:r>
        <w:rPr>
          <w:rFonts w:ascii="微软雅黑" w:eastAsia="微软雅黑" w:hAnsi="微软雅黑" w:hint="eastAsia"/>
          <w:szCs w:val="21"/>
        </w:rPr>
        <w:t>）</w:t>
      </w:r>
    </w:p>
    <w:p w:rsidR="008040ED" w:rsidRPr="00BE1D3D" w:rsidRDefault="00935D90" w:rsidP="00935D90">
      <w:pPr>
        <w:ind w:firstLineChars="100" w:firstLine="210"/>
        <w:rPr>
          <w:color w:val="FF0000"/>
          <w:sz w:val="28"/>
        </w:rPr>
      </w:pPr>
      <w:r w:rsidRPr="00BE1D3D">
        <w:rPr>
          <w:rFonts w:hint="eastAsia"/>
          <w:noProof/>
          <w:color w:val="FF0000"/>
        </w:rPr>
        <mc:AlternateContent>
          <mc:Choice Requires="wps">
            <w:drawing>
              <wp:anchor distT="0" distB="0" distL="114300" distR="114300" simplePos="0" relativeHeight="251657216" behindDoc="0" locked="0" layoutInCell="1" allowOverlap="1" wp14:anchorId="77D9CDE1" wp14:editId="79BC35E2">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63611A5"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" strokecolor="#bc4542 [3045]"/>
            </w:pict>
          </mc:Fallback>
        </mc:AlternateContent>
      </w:r>
      <w:r w:rsidR="008040ED" w:rsidRPr="00BE1D3D">
        <w:rPr>
          <w:rFonts w:ascii="微软雅黑" w:eastAsia="微软雅黑" w:hAnsi="微软雅黑" w:hint="eastAsia"/>
          <w:color w:val="FF0000"/>
          <w:sz w:val="20"/>
          <w:szCs w:val="20"/>
        </w:rPr>
        <w:t>注：此课程我们可以提供企业内部培训与咨询服务</w:t>
      </w:r>
      <w:r w:rsidRPr="00BE1D3D">
        <w:rPr>
          <w:rFonts w:ascii="微软雅黑" w:eastAsia="微软雅黑" w:hAnsi="微软雅黑" w:hint="eastAsia"/>
          <w:color w:val="FF0000"/>
          <w:sz w:val="20"/>
          <w:szCs w:val="20"/>
        </w:rPr>
        <w:t>，欢迎来电咨询</w:t>
      </w:r>
      <w:r w:rsidR="008040ED" w:rsidRPr="00BE1D3D">
        <w:rPr>
          <w:rFonts w:ascii="微软雅黑" w:eastAsia="微软雅黑" w:hAnsi="微软雅黑" w:hint="eastAsia"/>
          <w:color w:val="FF0000"/>
          <w:sz w:val="20"/>
          <w:szCs w:val="20"/>
        </w:rPr>
        <w:t>。</w:t>
      </w:r>
    </w:p>
    <w:p w:rsidR="007F75F1" w:rsidRPr="00935D90" w:rsidRDefault="007F75F1" w:rsidP="00ED46EC">
      <w:pPr>
        <w:rPr>
          <w:rFonts w:hAnsi="宋体" w:cs="Calibri"/>
          <w:b/>
          <w:color w:val="990000"/>
          <w:sz w:val="20"/>
        </w:rPr>
        <w:sectPr w:rsidR="007F75F1" w:rsidRPr="00935D90" w:rsidSect="00E202F5">
          <w:headerReference w:type="default" r:id="rId8"/>
          <w:footerReference w:type="default" r:id="rId9"/>
          <w:type w:val="continuous"/>
          <w:pgSz w:w="11906" w:h="16838" w:code="9"/>
          <w:pgMar w:top="1134" w:right="1134" w:bottom="851" w:left="993" w:header="851" w:footer="227" w:gutter="0"/>
          <w:pgNumType w:fmt="numberInDash"/>
          <w:cols w:space="720"/>
          <w:docGrid w:type="linesAndChars" w:linePitch="312"/>
        </w:sectPr>
      </w:pPr>
    </w:p>
    <w:p w:rsidR="00BF58C3" w:rsidRPr="00BC0BFA" w:rsidRDefault="00ED46EC"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t>课程背景：</w:t>
      </w:r>
    </w:p>
    <w:p w:rsidR="00AA752D" w:rsidRPr="008D0DC2" w:rsidRDefault="00BC0BFA" w:rsidP="00AA752D">
      <w:pPr>
        <w:widowControl/>
        <w:adjustRightInd w:val="0"/>
        <w:snapToGrid w:val="0"/>
        <w:ind w:left="1" w:hanging="1"/>
        <w:rPr>
          <w:rFonts w:ascii="微软雅黑" w:eastAsia="微软雅黑" w:hAnsi="微软雅黑"/>
          <w:color w:val="000000" w:themeColor="text1"/>
          <w:szCs w:val="21"/>
        </w:rPr>
      </w:pPr>
      <w:r w:rsidRPr="00BC0BFA">
        <w:rPr>
          <w:rFonts w:ascii="宋体" w:hAnsi="宋体" w:cs="宋体" w:hint="eastAsia"/>
          <w:kern w:val="0"/>
          <w:sz w:val="20"/>
          <w:szCs w:val="20"/>
        </w:rPr>
        <w:t xml:space="preserve">  </w:t>
      </w:r>
      <w:r w:rsidR="00B03DEF" w:rsidRPr="00B03DEF">
        <w:rPr>
          <w:rFonts w:ascii="微软雅黑" w:eastAsia="微软雅黑" w:hAnsi="微软雅黑"/>
          <w:color w:val="000000" w:themeColor="text1"/>
          <w:szCs w:val="21"/>
        </w:rPr>
        <w:t xml:space="preserve"> </w:t>
      </w:r>
      <w:r w:rsidR="00AA752D" w:rsidRPr="008D0DC2">
        <w:rPr>
          <w:rFonts w:ascii="微软雅黑" w:eastAsia="微软雅黑" w:hAnsi="微软雅黑" w:hint="eastAsia"/>
          <w:color w:val="000000" w:themeColor="text1"/>
          <w:szCs w:val="21"/>
        </w:rPr>
        <w:t>采购人员会将60%的时间用于与外部供应商的各种采购谈判。采购人员在企业中越来越多地扮演着重要角色，如果是没有经过专业谈判训练的采购人员，在内外部客户面前表现的不自信，将严重影响个人、部门和公司绩效，由此谈判技巧已成为招聘和培训采购人员的一项必要内容。</w:t>
      </w:r>
    </w:p>
    <w:p w:rsidR="00AA752D" w:rsidRPr="008D0DC2" w:rsidRDefault="00AA752D" w:rsidP="00AA752D">
      <w:pPr>
        <w:widowControl/>
        <w:adjustRightInd w:val="0"/>
        <w:snapToGrid w:val="0"/>
        <w:ind w:left="1" w:hanging="1"/>
        <w:rPr>
          <w:rFonts w:ascii="微软雅黑" w:eastAsia="微软雅黑" w:hAnsi="微软雅黑"/>
          <w:color w:val="000000" w:themeColor="text1"/>
          <w:szCs w:val="21"/>
        </w:rPr>
      </w:pPr>
      <w:r w:rsidRPr="008D0DC2">
        <w:rPr>
          <w:rFonts w:ascii="微软雅黑" w:eastAsia="微软雅黑" w:hAnsi="微软雅黑" w:hint="eastAsia"/>
          <w:color w:val="000000" w:themeColor="text1"/>
          <w:szCs w:val="21"/>
        </w:rPr>
        <w:t>企业新产品开发、质量提高、生产效率、成本控制、交期库存等都离不开供应商的支持，现代企业竞争已是整个供应链的竞争！企业越来越看重采购人员开发的供应商能力,采购不只是寻找和开发培养合适的供应商,而是为企业寻求战略性的竞争力提升。成功的采购不仅依赖于采购人员出色的谈判技能，或者依赖于高水平的供应商管理水平，而是依靠采购对于供应市场的把握及其对供应商开发的正确选择和评估管理。</w:t>
      </w:r>
    </w:p>
    <w:p w:rsidR="00AA752D" w:rsidRDefault="00AA752D" w:rsidP="00AA752D">
      <w:pPr>
        <w:widowControl/>
        <w:adjustRightInd w:val="0"/>
        <w:snapToGrid w:val="0"/>
        <w:ind w:left="1" w:firstLineChars="200" w:firstLine="420"/>
        <w:rPr>
          <w:rFonts w:ascii="微软雅黑" w:eastAsia="微软雅黑" w:hAnsi="微软雅黑"/>
          <w:color w:val="000000" w:themeColor="text1"/>
          <w:szCs w:val="21"/>
        </w:rPr>
      </w:pPr>
      <w:r w:rsidRPr="008D0DC2">
        <w:rPr>
          <w:rFonts w:ascii="微软雅黑" w:eastAsia="微软雅黑" w:hAnsi="微软雅黑" w:hint="eastAsia"/>
          <w:color w:val="000000" w:themeColor="text1"/>
          <w:szCs w:val="21"/>
        </w:rPr>
        <w:t>本课程涵盖谈判实战策略、谈判不同阶段所需要用到的重要技巧、谈判的常见问题与错误、说服对方的原则与技巧等，如何解决采购谈判中的难题，如何在谈判中获取优势，如何化解谈判僵局等采购员最关心的问题，提供实用的解决办法；供应商寻源及风险评估，阐明供应商选择、考核及开发的逻辑思维方式，分析企业采购供应成本的控制方法，通过案例并结合采购供应理论，剖析企业内部的影响因素与应对方案的同时，分析本企业的供应商管理，从供应链节点企业管理的角度，提升学员供应商管理水平，让学员掌握当今企业全面供应商管理工作的方法与方向。</w:t>
      </w:r>
    </w:p>
    <w:p w:rsidR="00AA752D" w:rsidRPr="00BE1D3D" w:rsidRDefault="00AA752D" w:rsidP="00AA752D">
      <w:pPr>
        <w:widowControl/>
        <w:adjustRightInd w:val="0"/>
        <w:snapToGrid w:val="0"/>
        <w:ind w:left="1" w:hanging="1"/>
        <w:rPr>
          <w:rFonts w:ascii="微软雅黑" w:eastAsia="微软雅黑" w:hAnsi="微软雅黑"/>
          <w:b/>
          <w:color w:val="FF0000"/>
          <w:sz w:val="24"/>
        </w:rPr>
      </w:pPr>
      <w:r w:rsidRPr="00BE1D3D">
        <w:rPr>
          <w:rFonts w:ascii="微软雅黑" w:eastAsia="微软雅黑" w:hAnsi="微软雅黑" w:hint="eastAsia"/>
          <w:b/>
          <w:color w:val="FF0000"/>
          <w:sz w:val="24"/>
        </w:rPr>
        <w:t>课程收益：</w:t>
      </w:r>
    </w:p>
    <w:p w:rsidR="00AA752D" w:rsidRPr="0065445E" w:rsidRDefault="00AA752D" w:rsidP="00AA752D">
      <w:pPr>
        <w:pStyle w:val="ab"/>
        <w:numPr>
          <w:ilvl w:val="0"/>
          <w:numId w:val="28"/>
        </w:numPr>
        <w:adjustRightInd w:val="0"/>
        <w:snapToGrid w:val="0"/>
        <w:ind w:left="0" w:firstLineChars="0" w:firstLine="0"/>
        <w:rPr>
          <w:rFonts w:ascii="微软雅黑" w:eastAsia="微软雅黑" w:hAnsi="微软雅黑" w:cs="宋体"/>
          <w:kern w:val="0"/>
          <w:szCs w:val="21"/>
        </w:rPr>
      </w:pPr>
      <w:r w:rsidRPr="0065445E">
        <w:rPr>
          <w:rFonts w:ascii="微软雅黑" w:eastAsia="微软雅黑" w:hAnsi="微软雅黑" w:cs="宋体" w:hint="eastAsia"/>
          <w:kern w:val="0"/>
          <w:szCs w:val="21"/>
        </w:rPr>
        <w:t>了解采购谈判的特点与基本原则；</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了解优秀谈判者的特质与成功谈判守则；</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认识到谈判前的准备工作与信息收集重要性；</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明确完整的谈判流程，如何策划和实施成功的谈判；</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领悟谈判的策略与技巧及注意事项；</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学会如何摆脱谈判中僵局的困境；</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了解供应商寻源决策与国际寻源遇到的问题；</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掌握建立供应商的开发，选择和评估的科学体系；</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领悟正确处理供应商管理和内部客户的关系；</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t>了解采购中信息技术的应用与注意事项；</w:t>
      </w:r>
    </w:p>
    <w:p w:rsidR="00AA752D" w:rsidRPr="0065445E" w:rsidRDefault="00AA752D" w:rsidP="00AA752D">
      <w:pPr>
        <w:pStyle w:val="ab"/>
        <w:numPr>
          <w:ilvl w:val="0"/>
          <w:numId w:val="28"/>
        </w:numPr>
        <w:adjustRightInd w:val="0"/>
        <w:snapToGrid w:val="0"/>
        <w:ind w:firstLineChars="0"/>
        <w:rPr>
          <w:rFonts w:ascii="微软雅黑" w:eastAsia="微软雅黑" w:hAnsi="微软雅黑" w:cs="宋体"/>
          <w:kern w:val="0"/>
          <w:szCs w:val="21"/>
        </w:rPr>
      </w:pPr>
      <w:r w:rsidRPr="0065445E">
        <w:rPr>
          <w:rFonts w:ascii="微软雅黑" w:eastAsia="微软雅黑" w:hAnsi="微软雅黑" w:cs="宋体" w:hint="eastAsia"/>
          <w:kern w:val="0"/>
          <w:szCs w:val="21"/>
        </w:rPr>
        <w:lastRenderedPageBreak/>
        <w:t>学习供应商年度绩效考核的原则和方法；</w:t>
      </w:r>
    </w:p>
    <w:p w:rsidR="00AA752D" w:rsidRPr="008D0DC2" w:rsidRDefault="00AA752D" w:rsidP="00AA752D">
      <w:pPr>
        <w:pStyle w:val="ab"/>
        <w:numPr>
          <w:ilvl w:val="0"/>
          <w:numId w:val="28"/>
        </w:numPr>
        <w:adjustRightInd w:val="0"/>
        <w:snapToGrid w:val="0"/>
        <w:ind w:firstLineChars="0"/>
        <w:rPr>
          <w:rFonts w:ascii="微软雅黑" w:eastAsia="微软雅黑" w:hAnsi="微软雅黑" w:cs="宋体"/>
          <w:kern w:val="0"/>
          <w:sz w:val="20"/>
          <w:szCs w:val="20"/>
        </w:rPr>
      </w:pPr>
      <w:r w:rsidRPr="0065445E">
        <w:rPr>
          <w:rFonts w:ascii="微软雅黑" w:eastAsia="微软雅黑" w:hAnsi="微软雅黑" w:cs="宋体" w:hint="eastAsia"/>
          <w:kern w:val="0"/>
          <w:szCs w:val="21"/>
        </w:rPr>
        <w:t>分享精彩的实战案例来探讨采购工作的开展。</w:t>
      </w:r>
    </w:p>
    <w:p w:rsidR="00AA752D" w:rsidRPr="00AA752D" w:rsidRDefault="00AA752D" w:rsidP="004F41DE">
      <w:pPr>
        <w:widowControl/>
        <w:adjustRightInd w:val="0"/>
        <w:snapToGrid w:val="0"/>
        <w:ind w:left="1" w:hanging="1"/>
        <w:rPr>
          <w:rFonts w:ascii="微软雅黑" w:eastAsia="微软雅黑" w:hAnsi="微软雅黑"/>
          <w:b/>
          <w:color w:val="00B0F0"/>
          <w:sz w:val="24"/>
        </w:rPr>
        <w:sectPr w:rsidR="00AA752D" w:rsidRPr="00AA752D" w:rsidSect="00E202F5">
          <w:type w:val="continuous"/>
          <w:pgSz w:w="11906" w:h="16838" w:code="9"/>
          <w:pgMar w:top="1134" w:right="1286" w:bottom="851" w:left="1134" w:header="851" w:footer="229" w:gutter="0"/>
          <w:pgNumType w:fmt="numberInDash"/>
          <w:cols w:sep="1" w:space="425"/>
          <w:docGrid w:type="linesAndChars" w:linePitch="312"/>
        </w:sectPr>
      </w:pPr>
    </w:p>
    <w:p w:rsidR="00BF58C3" w:rsidRDefault="00BF58C3"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t>课程大纲：</w:t>
      </w:r>
    </w:p>
    <w:p w:rsidR="00663435" w:rsidRDefault="00663435" w:rsidP="00663435">
      <w:pPr>
        <w:adjustRightInd w:val="0"/>
        <w:snapToGrid w:val="0"/>
        <w:rPr>
          <w:rFonts w:ascii="微软雅黑" w:eastAsia="微软雅黑" w:hAnsi="微软雅黑"/>
          <w:szCs w:val="21"/>
        </w:rPr>
        <w:sectPr w:rsidR="00663435" w:rsidSect="00E202F5">
          <w:type w:val="continuous"/>
          <w:pgSz w:w="11906" w:h="16838" w:code="9"/>
          <w:pgMar w:top="1134" w:right="1286" w:bottom="851" w:left="1134" w:header="851" w:footer="229" w:gutter="0"/>
          <w:pgNumType w:fmt="numberInDash"/>
          <w:cols w:sep="1" w:space="425"/>
          <w:docGrid w:type="linesAndChars" w:linePitch="312"/>
        </w:sectPr>
      </w:pPr>
    </w:p>
    <w:p w:rsidR="00663435" w:rsidRPr="003A3072" w:rsidRDefault="00663435" w:rsidP="00663435">
      <w:pPr>
        <w:adjustRightInd w:val="0"/>
        <w:snapToGrid w:val="0"/>
        <w:rPr>
          <w:rFonts w:ascii="微软雅黑" w:eastAsia="微软雅黑" w:hAnsi="微软雅黑"/>
          <w:b/>
          <w:color w:val="FF0000"/>
          <w:szCs w:val="21"/>
        </w:rPr>
      </w:pPr>
      <w:r w:rsidRPr="003A3072">
        <w:rPr>
          <w:rFonts w:ascii="微软雅黑" w:eastAsia="微软雅黑" w:hAnsi="微软雅黑" w:hint="eastAsia"/>
          <w:b/>
          <w:color w:val="FF0000"/>
          <w:szCs w:val="21"/>
        </w:rPr>
        <w:t>第一天：采购谈判策略与技巧</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b/>
          <w:szCs w:val="21"/>
        </w:rPr>
        <w:t>一、采购谈判概述</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 何谓谈判</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 谈判中可能涉及的议题</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 影响谈判及其结果的诸多因素</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 谈判的心理模式（单赢\双赢）</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 谈判的基本原则（交换\赢家\效率）</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6. 谈判的五大特点</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7. 谈判的基本阶段</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二、信息收集与谈判地位分析</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 信息收集</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 谈判者地位分析</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 常见定价原则与方法</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 成本核算与分析方法</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 合同价格设定与调整原则</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三、谈判策略、谈判技巧与方法</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 议价区间分析</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 谈判战略制定的四步曲</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 如何优先掌控谈判节奏</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 有效谈判的技巧</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 价格谈判的操作要领</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6. 谈判中需要避免的9个事项</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7. 在洽谈的准备中要考虑的三个主要问题</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8. 价格谈判的五个步骤</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9. 开价技巧</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10. 价格解释的五大要素</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11. 谈判过程中的“十要”和“十不要”</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12. 什么是有效谈判</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13. 谈判的替代方式</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四、如何摆脱僵持或僵局的困境</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 陷入僵局的谈判</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 打破僵局的十大策略</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 让步的技巧与策略</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五、优秀谈判者的特质与成功谈判守则</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 优秀谈判人员的特质</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 成功谈判的守则</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 成功的谈判</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szCs w:val="21"/>
        </w:rPr>
        <w:t xml:space="preserve"> </w:t>
      </w:r>
    </w:p>
    <w:p w:rsidR="00663435" w:rsidRPr="003A3072" w:rsidRDefault="00663435" w:rsidP="00663435">
      <w:pPr>
        <w:adjustRightInd w:val="0"/>
        <w:snapToGrid w:val="0"/>
        <w:rPr>
          <w:rFonts w:ascii="微软雅黑" w:eastAsia="微软雅黑" w:hAnsi="微软雅黑"/>
          <w:b/>
          <w:color w:val="FF0000"/>
          <w:szCs w:val="21"/>
        </w:rPr>
      </w:pPr>
      <w:r w:rsidRPr="003A3072">
        <w:rPr>
          <w:rFonts w:ascii="微软雅黑" w:eastAsia="微软雅黑" w:hAnsi="微软雅黑" w:hint="eastAsia"/>
          <w:b/>
          <w:color w:val="FF0000"/>
          <w:szCs w:val="21"/>
        </w:rPr>
        <w:t>第二天：供应商选择、评估与管理</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第一篇　供应商开发与选择</w:t>
      </w:r>
    </w:p>
    <w:p w:rsidR="00663435" w:rsidRPr="00663435" w:rsidRDefault="00663435" w:rsidP="00663435">
      <w:pPr>
        <w:adjustRightInd w:val="0"/>
        <w:snapToGrid w:val="0"/>
        <w:rPr>
          <w:rFonts w:ascii="微软雅黑" w:eastAsia="微软雅黑" w:hAnsi="微软雅黑"/>
          <w:szCs w:val="21"/>
        </w:rPr>
      </w:pPr>
      <w:r w:rsidRPr="00D579AF">
        <w:rPr>
          <w:rFonts w:ascii="微软雅黑" w:eastAsia="微软雅黑" w:hAnsi="微软雅黑" w:hint="eastAsia"/>
          <w:b/>
          <w:szCs w:val="21"/>
        </w:rPr>
        <w:t>第一章  寻源决策</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1.寻源定义</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2.寻源决策</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3.识别供应源的决策方法</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4.寻找战略匹配的供应商</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5.国际供应链和寻源</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6.寻源决策的财务问题</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第二章 国际采购寻源问题</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1.国际采购寻源中的问题</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2.国际供应管理对其他职能的影响</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3.国际采购寻源中的运输和分销</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4.管理国际汇率风险</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5.国际对等贸易：将采购与市场相连</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第三章 战略寻源</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1.战略采购流程概述</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2.制订战略采购计划</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3.通过采购战略来节省开支</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4.电子解决方案的市场分析</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第四章 供应商的选择</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1.供应商的新职能与责任</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2.供应商选择标准的基本分类</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3.选择供应商：第一层供应商与第三层供应商</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第五章 供应商开发</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1.持续改善的概念</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2.供应商的培训与参与</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3.供应商开发的流程</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4.反向营销</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5.供应商开发与反向营销的比较</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6.国内国际供应商多样化的启示</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7.创造早期成功</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第六章 正确处理内部关系</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1.内部非技术利益相关者的需求</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lastRenderedPageBreak/>
        <w:t>2.采购部门与企业中其他部门的关系</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3.与采购战略相关的内部组织环境</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4.跨部门合作及多功能团队</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第七章 正确处理外部关系</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1.供应链流程整合的机会</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2.供应商关系管理</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3.战略联盟与非联盟的供应商关系</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4.处理供应商的询问、申辩</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5.供应商投诉的协调、调查及反馈</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第八章　采购中信息技术的运用</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1.采购过程中的技术应用</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2.开发、实施和维护有关规格，供应商，产品和服务的数据库</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3.开发和使用电脑化库存和资本设备跟踪系统</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第二篇供应商评估与管理</w:t>
      </w:r>
    </w:p>
    <w:p w:rsidR="00663435" w:rsidRPr="00663435" w:rsidRDefault="00663435" w:rsidP="00663435">
      <w:pPr>
        <w:adjustRightInd w:val="0"/>
        <w:snapToGrid w:val="0"/>
        <w:rPr>
          <w:rFonts w:ascii="微软雅黑" w:eastAsia="微软雅黑" w:hAnsi="微软雅黑"/>
          <w:szCs w:val="21"/>
        </w:rPr>
      </w:pPr>
      <w:r w:rsidRPr="00D579AF">
        <w:rPr>
          <w:rFonts w:ascii="微软雅黑" w:eastAsia="微软雅黑" w:hAnsi="微软雅黑" w:hint="eastAsia"/>
          <w:b/>
          <w:szCs w:val="21"/>
        </w:rPr>
        <w:t>第一章供应商的选择和评估</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1.供应商选择和评估的重点</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2.评估目标</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3.评估方式</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4.质量体系评估密切相关的事项</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5.评估检查表和评估结果</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6.选择供应商</w:t>
      </w:r>
    </w:p>
    <w:p w:rsidR="00663435" w:rsidRPr="00D579AF" w:rsidRDefault="00663435" w:rsidP="00663435">
      <w:pPr>
        <w:adjustRightInd w:val="0"/>
        <w:snapToGrid w:val="0"/>
        <w:rPr>
          <w:rFonts w:ascii="微软雅黑" w:eastAsia="微软雅黑" w:hAnsi="微软雅黑"/>
          <w:b/>
          <w:szCs w:val="21"/>
        </w:rPr>
      </w:pPr>
      <w:r w:rsidRPr="00D579AF">
        <w:rPr>
          <w:rFonts w:ascii="微软雅黑" w:eastAsia="微软雅黑" w:hAnsi="微软雅黑" w:hint="eastAsia"/>
          <w:b/>
          <w:szCs w:val="21"/>
        </w:rPr>
        <w:t>第二章供应商绩效管理</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1.绩效考核规定事项的确定</w:t>
      </w:r>
    </w:p>
    <w:p w:rsidR="00663435" w:rsidRPr="00663435" w:rsidRDefault="00663435" w:rsidP="00663435">
      <w:pPr>
        <w:adjustRightInd w:val="0"/>
        <w:snapToGrid w:val="0"/>
        <w:rPr>
          <w:rFonts w:ascii="微软雅黑" w:eastAsia="微软雅黑" w:hAnsi="微软雅黑"/>
          <w:szCs w:val="21"/>
        </w:rPr>
      </w:pPr>
      <w:r w:rsidRPr="00663435">
        <w:rPr>
          <w:rFonts w:ascii="微软雅黑" w:eastAsia="微软雅黑" w:hAnsi="微软雅黑" w:hint="eastAsia"/>
          <w:szCs w:val="21"/>
        </w:rPr>
        <w:t>2.绩效考核的作用</w:t>
      </w:r>
    </w:p>
    <w:p w:rsidR="00663435" w:rsidRPr="00663435" w:rsidRDefault="00663435" w:rsidP="00663435">
      <w:pPr>
        <w:adjustRightInd w:val="0"/>
        <w:snapToGrid w:val="0"/>
        <w:rPr>
          <w:rFonts w:ascii="微软雅黑" w:eastAsia="微软雅黑" w:hAnsi="微软雅黑"/>
          <w:b/>
          <w:color w:val="FF0000"/>
          <w:sz w:val="24"/>
        </w:rPr>
      </w:pPr>
      <w:r w:rsidRPr="00663435">
        <w:rPr>
          <w:rFonts w:ascii="微软雅黑" w:eastAsia="微软雅黑" w:hAnsi="微软雅黑" w:hint="eastAsia"/>
          <w:szCs w:val="21"/>
        </w:rPr>
        <w:t xml:space="preserve">3.帮助,处理有绩效问题的供应 </w:t>
      </w:r>
    </w:p>
    <w:p w:rsidR="00663435" w:rsidRDefault="00663435" w:rsidP="00E202F5">
      <w:pPr>
        <w:spacing w:line="360" w:lineRule="auto"/>
        <w:rPr>
          <w:rFonts w:ascii="微软雅黑" w:eastAsia="微软雅黑" w:hAnsi="微软雅黑"/>
          <w:b/>
          <w:color w:val="FF0000"/>
          <w:sz w:val="24"/>
        </w:rPr>
        <w:sectPr w:rsidR="00663435" w:rsidSect="00663435">
          <w:type w:val="continuous"/>
          <w:pgSz w:w="11906" w:h="16838" w:code="9"/>
          <w:pgMar w:top="1134" w:right="1286" w:bottom="851" w:left="1134" w:header="851" w:footer="229" w:gutter="0"/>
          <w:pgNumType w:fmt="numberInDash"/>
          <w:cols w:num="2" w:sep="1" w:space="425"/>
          <w:docGrid w:type="linesAndChars" w:linePitch="312"/>
        </w:sectPr>
      </w:pPr>
    </w:p>
    <w:p w:rsidR="00655DAF" w:rsidRDefault="00655DAF" w:rsidP="00655DAF">
      <w:pPr>
        <w:adjustRightInd w:val="0"/>
        <w:snapToGrid w:val="0"/>
        <w:rPr>
          <w:rFonts w:ascii="微软雅黑" w:eastAsia="微软雅黑" w:hAnsi="微软雅黑"/>
          <w:szCs w:val="21"/>
        </w:rPr>
        <w:sectPr w:rsidR="00655DAF" w:rsidSect="00E202F5">
          <w:type w:val="continuous"/>
          <w:pgSz w:w="11906" w:h="16838" w:code="9"/>
          <w:pgMar w:top="1134" w:right="1286" w:bottom="851" w:left="1134" w:header="851" w:footer="229" w:gutter="0"/>
          <w:pgNumType w:fmt="numberInDash"/>
          <w:cols w:sep="1" w:space="425"/>
          <w:docGrid w:type="linesAndChars" w:linePitch="312"/>
        </w:sectPr>
      </w:pPr>
    </w:p>
    <w:p w:rsidR="009D5C85" w:rsidRDefault="009D5C85" w:rsidP="00655DAF">
      <w:pPr>
        <w:adjustRightInd w:val="0"/>
        <w:snapToGrid w:val="0"/>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t>讲师介绍：</w:t>
      </w:r>
    </w:p>
    <w:p w:rsidR="00D579AF" w:rsidRPr="00B03DEF" w:rsidRDefault="00185809" w:rsidP="00D579AF">
      <w:pPr>
        <w:widowControl/>
        <w:jc w:val="left"/>
        <w:rPr>
          <w:rFonts w:ascii="宋体" w:hAnsi="宋体" w:cs="宋体"/>
          <w:b/>
          <w:bCs/>
          <w:color w:val="000000" w:themeColor="text1"/>
          <w:kern w:val="0"/>
          <w:sz w:val="28"/>
          <w:szCs w:val="21"/>
        </w:rPr>
      </w:pPr>
      <w:r w:rsidRPr="00BC0BFA">
        <w:rPr>
          <w:rFonts w:ascii="宋体" w:hAnsi="宋体" w:cs="宋体"/>
          <w:noProof/>
          <w:color w:val="000000"/>
          <w:kern w:val="0"/>
          <w:sz w:val="22"/>
          <w:szCs w:val="22"/>
        </w:rPr>
        <w:drawing>
          <wp:anchor distT="0" distB="0" distL="114300" distR="114300" simplePos="0" relativeHeight="251659264" behindDoc="0" locked="0" layoutInCell="1" allowOverlap="1" wp14:anchorId="7677C668" wp14:editId="6C0368DB">
            <wp:simplePos x="0" y="0"/>
            <wp:positionH relativeFrom="column">
              <wp:posOffset>4419600</wp:posOffset>
            </wp:positionH>
            <wp:positionV relativeFrom="paragraph">
              <wp:posOffset>33655</wp:posOffset>
            </wp:positionV>
            <wp:extent cx="1258570" cy="1500428"/>
            <wp:effectExtent l="19050" t="0" r="17780" b="462280"/>
            <wp:wrapNone/>
            <wp:docPr id="13" name="图片 13" descr="untitled"/>
            <wp:cNvGraphicFramePr/>
            <a:graphic xmlns:a="http://schemas.openxmlformats.org/drawingml/2006/main">
              <a:graphicData uri="http://schemas.openxmlformats.org/drawingml/2006/picture">
                <pic:pic xmlns:pic="http://schemas.openxmlformats.org/drawingml/2006/picture">
                  <pic:nvPicPr>
                    <pic:cNvPr id="6" name="图片 5" descr="untitled"/>
                    <pic:cNvPicPr/>
                  </pic:nvPicPr>
                  <pic:blipFill>
                    <a:blip r:embed="rId10">
                      <a:extLst>
                        <a:ext uri="{28A0092B-C50C-407E-A947-70E740481C1C}">
                          <a14:useLocalDpi xmlns:a14="http://schemas.microsoft.com/office/drawing/2010/main" val="0"/>
                        </a:ext>
                      </a:extLst>
                    </a:blip>
                    <a:srcRect/>
                    <a:stretch>
                      <a:fillRect/>
                    </a:stretch>
                  </pic:blipFill>
                  <pic:spPr>
                    <a:xfrm>
                      <a:off x="0" y="0"/>
                      <a:ext cx="1258570" cy="15004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579AF" w:rsidRPr="00BC0BFA">
        <w:rPr>
          <w:rFonts w:ascii="宋体" w:hAnsi="宋体" w:cs="宋体" w:hint="eastAsia"/>
          <w:b/>
          <w:bCs/>
          <w:color w:val="000000" w:themeColor="text1"/>
          <w:kern w:val="0"/>
          <w:sz w:val="28"/>
          <w:szCs w:val="21"/>
        </w:rPr>
        <w:t>王保华</w:t>
      </w:r>
    </w:p>
    <w:p w:rsidR="00D579AF" w:rsidRPr="00D579AF" w:rsidRDefault="00D579AF" w:rsidP="00D579AF">
      <w:pPr>
        <w:pStyle w:val="ab"/>
        <w:widowControl/>
        <w:numPr>
          <w:ilvl w:val="0"/>
          <w:numId w:val="25"/>
        </w:numPr>
        <w:tabs>
          <w:tab w:val="left" w:pos="668"/>
        </w:tabs>
        <w:adjustRightInd w:val="0"/>
        <w:snapToGrid w:val="0"/>
        <w:ind w:firstLineChars="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中国物流学会常务理事；</w:t>
      </w:r>
    </w:p>
    <w:p w:rsidR="00D579AF" w:rsidRPr="00D579AF" w:rsidRDefault="00D579AF" w:rsidP="00D579AF">
      <w:pPr>
        <w:pStyle w:val="ab"/>
        <w:widowControl/>
        <w:numPr>
          <w:ilvl w:val="0"/>
          <w:numId w:val="25"/>
        </w:numPr>
        <w:tabs>
          <w:tab w:val="left" w:pos="668"/>
        </w:tabs>
        <w:adjustRightInd w:val="0"/>
        <w:snapToGrid w:val="0"/>
        <w:ind w:firstLineChars="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中国物流与采购联合会核心专家；</w:t>
      </w:r>
    </w:p>
    <w:p w:rsidR="00D579AF" w:rsidRPr="00D579AF" w:rsidRDefault="00D579AF" w:rsidP="00D579AF">
      <w:pPr>
        <w:pStyle w:val="ab"/>
        <w:widowControl/>
        <w:numPr>
          <w:ilvl w:val="0"/>
          <w:numId w:val="25"/>
        </w:numPr>
        <w:tabs>
          <w:tab w:val="left" w:pos="668"/>
        </w:tabs>
        <w:adjustRightInd w:val="0"/>
        <w:snapToGrid w:val="0"/>
        <w:ind w:firstLineChars="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中国采购与供应链管理专业委员会专家；</w:t>
      </w:r>
    </w:p>
    <w:p w:rsidR="00D579AF" w:rsidRPr="00D579AF" w:rsidRDefault="00D579AF" w:rsidP="00D579AF">
      <w:pPr>
        <w:pStyle w:val="ab"/>
        <w:widowControl/>
        <w:numPr>
          <w:ilvl w:val="0"/>
          <w:numId w:val="25"/>
        </w:numPr>
        <w:tabs>
          <w:tab w:val="left" w:pos="668"/>
        </w:tabs>
        <w:adjustRightInd w:val="0"/>
        <w:snapToGrid w:val="0"/>
        <w:ind w:firstLineChars="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香港理工大学毕业，国际航运和供应链管理硕士学位；</w:t>
      </w:r>
    </w:p>
    <w:p w:rsidR="00D579AF" w:rsidRPr="0065445E" w:rsidRDefault="00D579AF" w:rsidP="0065445E">
      <w:pPr>
        <w:pStyle w:val="ab"/>
        <w:widowControl/>
        <w:numPr>
          <w:ilvl w:val="0"/>
          <w:numId w:val="25"/>
        </w:numPr>
        <w:tabs>
          <w:tab w:val="left" w:pos="668"/>
        </w:tabs>
        <w:adjustRightInd w:val="0"/>
        <w:snapToGrid w:val="0"/>
        <w:ind w:firstLineChars="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现任职于上海帕迪企业管理咨询有限公司高级培训师。</w:t>
      </w:r>
    </w:p>
    <w:p w:rsidR="00D579AF" w:rsidRPr="00D579AF" w:rsidRDefault="00D579AF" w:rsidP="0065445E">
      <w:pPr>
        <w:widowControl/>
        <w:tabs>
          <w:tab w:val="left" w:pos="400"/>
        </w:tabs>
        <w:adjustRightInd w:val="0"/>
        <w:snapToGrid w:val="0"/>
        <w:ind w:firstLineChars="200" w:firstLine="42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英国CIPS系列课程授权讲师；美国供应链管理协会及中国物流与采购联合会授权讲师</w:t>
      </w:r>
      <w:r w:rsidRPr="00D579AF">
        <w:rPr>
          <w:rFonts w:ascii="微软雅黑" w:eastAsia="微软雅黑" w:hAnsi="微软雅黑" w:cs="宋体" w:hint="eastAsia"/>
          <w:kern w:val="0"/>
          <w:szCs w:val="21"/>
        </w:rPr>
        <w:br/>
        <w:t>主讲CPM / CPSM（注册采购经理/注册采购供应经理师）全系列课程。获得2009-2010年度CPM项目优秀讲师荣誉称号。</w:t>
      </w:r>
      <w:r w:rsidRPr="00D579AF">
        <w:rPr>
          <w:rFonts w:ascii="微软雅黑" w:eastAsia="微软雅黑" w:hAnsi="微软雅黑" w:cs="宋体"/>
          <w:kern w:val="0"/>
          <w:szCs w:val="21"/>
        </w:rPr>
        <w:tab/>
      </w:r>
    </w:p>
    <w:p w:rsidR="00D579AF" w:rsidRPr="00D579AF" w:rsidRDefault="00D579AF" w:rsidP="0065445E">
      <w:pPr>
        <w:widowControl/>
        <w:tabs>
          <w:tab w:val="left" w:pos="535"/>
        </w:tabs>
        <w:adjustRightInd w:val="0"/>
        <w:snapToGrid w:val="0"/>
        <w:ind w:firstLineChars="200" w:firstLine="42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拥有丰富的采购与供应链管理理论、实战和教学经验。曾在欧美跨国500强企业管理层任职整整20年。同时也拥有丰富的国内大型集团企业的管理经验；他在美国施乐公司管理层任职十多年后调至法国阿尔卡特亚太地区总部任亚太地区采购总监和供应链管理总监，之后又在美国戴尔公司亚太地区总部任亚太地区供应链管理总监，随后又任职于芬兰ElcoteQ集团任集团副总裁主管全球采购运营工作。在外企担任高管20年后，曾应邀供职于海尔集团担任集团副总裁及全球营运总经理，主管集团全球直接采购、间接采购，供应链管理、物流营运、安全、能源，及行政管理等职能部门。</w:t>
      </w:r>
      <w:r w:rsidRPr="00D579AF">
        <w:rPr>
          <w:rFonts w:ascii="微软雅黑" w:eastAsia="微软雅黑" w:hAnsi="微软雅黑" w:cs="宋体" w:hint="eastAsia"/>
          <w:kern w:val="0"/>
          <w:szCs w:val="21"/>
        </w:rPr>
        <w:tab/>
      </w:r>
    </w:p>
    <w:p w:rsidR="00D579AF" w:rsidRPr="00D579AF" w:rsidRDefault="00D579AF" w:rsidP="00D579AF">
      <w:pPr>
        <w:widowControl/>
        <w:tabs>
          <w:tab w:val="left" w:pos="668"/>
        </w:tabs>
        <w:adjustRightInd w:val="0"/>
        <w:snapToGrid w:val="0"/>
        <w:ind w:firstLineChars="200" w:firstLine="42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主讲课程：《供应链体系规划、运营与采购管理》《高级采购管理》《战略采购与谈判技巧管理》《采购绩效测量与评估管理》《实用采购谈判技巧》《供应管理领导力》《采购成本分析与降低》《战略采购谈判》《供应商选择评估与管理》《系统化的采购管理与最佳实践》。</w:t>
      </w:r>
    </w:p>
    <w:p w:rsidR="00D579AF" w:rsidRPr="00D579AF" w:rsidRDefault="00D579AF" w:rsidP="0065445E">
      <w:pPr>
        <w:widowControl/>
        <w:tabs>
          <w:tab w:val="left" w:pos="475"/>
        </w:tabs>
        <w:adjustRightInd w:val="0"/>
        <w:snapToGrid w:val="0"/>
        <w:ind w:leftChars="-1" w:left="-1" w:hanging="1"/>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ab/>
      </w:r>
      <w:r w:rsidRPr="00D579AF">
        <w:rPr>
          <w:rFonts w:ascii="微软雅黑" w:eastAsia="微软雅黑" w:hAnsi="微软雅黑" w:cs="宋体"/>
          <w:kern w:val="0"/>
          <w:szCs w:val="21"/>
        </w:rPr>
        <w:t xml:space="preserve">   </w:t>
      </w:r>
      <w:r w:rsidRPr="00D579AF">
        <w:rPr>
          <w:rFonts w:ascii="微软雅黑" w:eastAsia="微软雅黑" w:hAnsi="微软雅黑" w:cs="宋体" w:hint="eastAsia"/>
          <w:kern w:val="0"/>
          <w:szCs w:val="21"/>
        </w:rPr>
        <w:t xml:space="preserve">曾应南开大学现代物流研究中心邀请共同撰写了由机械工业出版社出版的 《中国现代物流发展报告（2003）》；中国物流与采购联合会邀请共同撰写了由中国物 资出版社出版的《中国采购发展报告（2008）》、 《中国采购发展报告（2010）》 ；翻译出版了注册采购供应经理师专业丛书《供应管理的领导力》。 </w:t>
      </w:r>
      <w:r w:rsidRPr="00D579AF">
        <w:rPr>
          <w:rFonts w:ascii="微软雅黑" w:eastAsia="微软雅黑" w:hAnsi="微软雅黑" w:cs="宋体" w:hint="eastAsia"/>
          <w:kern w:val="0"/>
          <w:szCs w:val="21"/>
        </w:rPr>
        <w:tab/>
      </w:r>
    </w:p>
    <w:p w:rsidR="00D579AF" w:rsidRPr="00D579AF" w:rsidRDefault="00D579AF" w:rsidP="0065445E">
      <w:pPr>
        <w:widowControl/>
        <w:tabs>
          <w:tab w:val="left" w:pos="475"/>
        </w:tabs>
        <w:adjustRightInd w:val="0"/>
        <w:snapToGrid w:val="0"/>
        <w:ind w:leftChars="-1" w:left="-2" w:firstLineChars="200" w:firstLine="420"/>
        <w:jc w:val="left"/>
        <w:rPr>
          <w:rFonts w:ascii="微软雅黑" w:eastAsia="微软雅黑" w:hAnsi="微软雅黑" w:cs="宋体"/>
          <w:kern w:val="0"/>
          <w:szCs w:val="21"/>
        </w:rPr>
      </w:pPr>
      <w:r w:rsidRPr="00D579AF">
        <w:rPr>
          <w:rFonts w:ascii="微软雅黑" w:eastAsia="微软雅黑" w:hAnsi="微软雅黑" w:cs="宋体" w:hint="eastAsia"/>
          <w:kern w:val="0"/>
          <w:szCs w:val="21"/>
        </w:rPr>
        <w:t>在工作之余，常在北京清华大学、上海复旦大学、上海交通大学、上海大学等知名大学讲授采购及供应链管理专题课程。还应邀赴韩国高丽大学、台湾东吴大学讲学；2005年赴新加坡主持国际采购论坛；</w:t>
      </w:r>
      <w:r w:rsidRPr="00D579AF">
        <w:rPr>
          <w:rFonts w:ascii="微软雅黑" w:eastAsia="微软雅黑" w:hAnsi="微软雅黑" w:cs="宋体" w:hint="eastAsia"/>
          <w:kern w:val="0"/>
          <w:szCs w:val="21"/>
        </w:rPr>
        <w:lastRenderedPageBreak/>
        <w:t>2007年应印度政府邀请在印度首都新德里参加并主持“ELCOMP Inida 2007”国际采购论坛；2008年在北京应邀主持中外物流企业国际合作高峰论坛。</w:t>
      </w:r>
      <w:r w:rsidRPr="00D579AF">
        <w:rPr>
          <w:rFonts w:ascii="微软雅黑" w:eastAsia="微软雅黑" w:hAnsi="微软雅黑" w:cs="宋体" w:hint="eastAsia"/>
          <w:kern w:val="0"/>
          <w:szCs w:val="21"/>
        </w:rPr>
        <w:tab/>
      </w:r>
    </w:p>
    <w:p w:rsidR="00D579AF" w:rsidRPr="00B03DEF" w:rsidRDefault="00D579AF" w:rsidP="00D579AF">
      <w:pPr>
        <w:widowControl/>
        <w:tabs>
          <w:tab w:val="left" w:pos="475"/>
        </w:tabs>
        <w:adjustRightInd w:val="0"/>
        <w:snapToGrid w:val="0"/>
        <w:ind w:firstLineChars="200" w:firstLine="420"/>
        <w:jc w:val="left"/>
        <w:rPr>
          <w:rFonts w:ascii="微软雅黑" w:eastAsia="微软雅黑" w:hAnsi="微软雅黑" w:cs="宋体"/>
          <w:kern w:val="0"/>
          <w:sz w:val="20"/>
          <w:szCs w:val="20"/>
        </w:rPr>
      </w:pPr>
      <w:r w:rsidRPr="00D579AF">
        <w:rPr>
          <w:rFonts w:ascii="微软雅黑" w:eastAsia="微软雅黑" w:hAnsi="微软雅黑" w:cs="宋体" w:hint="eastAsia"/>
          <w:kern w:val="0"/>
          <w:szCs w:val="21"/>
        </w:rPr>
        <w:t>培训和指导过的有：惠普（HP）、联想集团、可口可乐、施贵宝、惠尔浦、索尼爱立信、富士康、D&amp;M、丹佛斯、UPS、Joy P&amp;H、约翰迪尔、斗山工程机械（中国）有限公司、中石化、中石油、中国运载火箭研究院、中兴通讯集团、方正集团、清华同方集团、美的集团、南都集团、海航集团、东菱集团、内蒙古伊利实业集团股份有限公司、天津钢管集团股份有限公司、联东集团、浙江新安化工集团、山东网通、中国移动、宇通客车股份有限公司、哈尔滨东安汽车发动机制造有限公司、中信银行总行、大通物流、山东新北洋信息科技股份有限公司、汉森风力电动设备（中国）有限公司、惠氏营养品、正泰集团、重庆长安伟世通、方太厨具、海尔集团、阳江核电、桃花江核电等</w:t>
      </w:r>
    </w:p>
    <w:p w:rsidR="00D579AF" w:rsidRPr="00D579AF" w:rsidRDefault="00D579AF" w:rsidP="00655DAF">
      <w:pPr>
        <w:adjustRightInd w:val="0"/>
        <w:snapToGrid w:val="0"/>
        <w:spacing w:line="360" w:lineRule="auto"/>
        <w:rPr>
          <w:rFonts w:ascii="微软雅黑" w:eastAsia="微软雅黑" w:hAnsi="微软雅黑"/>
          <w:b/>
          <w:color w:val="FF0000"/>
          <w:sz w:val="24"/>
        </w:rPr>
      </w:pPr>
    </w:p>
    <w:p w:rsidR="00C548AE" w:rsidRDefault="00C548AE" w:rsidP="00C548AE">
      <w:pPr>
        <w:widowControl/>
        <w:adjustRightInd w:val="0"/>
        <w:snapToGrid w:val="0"/>
        <w:spacing w:line="360" w:lineRule="auto"/>
        <w:jc w:val="left"/>
        <w:rPr>
          <w:rFonts w:ascii="微软雅黑" w:eastAsia="微软雅黑" w:hAnsi="微软雅黑" w:cs="宋体"/>
          <w:kern w:val="0"/>
          <w:sz w:val="20"/>
          <w:szCs w:val="20"/>
        </w:rPr>
        <w:sectPr w:rsidR="00C548AE" w:rsidSect="004F41DE">
          <w:type w:val="continuous"/>
          <w:pgSz w:w="11906" w:h="16838" w:code="9"/>
          <w:pgMar w:top="1134" w:right="1286" w:bottom="851" w:left="1134" w:header="851" w:footer="229" w:gutter="0"/>
          <w:pgNumType w:fmt="numberInDash"/>
          <w:cols w:sep="1" w:space="425"/>
          <w:docGrid w:type="linesAndChars" w:linePitch="312"/>
        </w:sectPr>
      </w:pPr>
    </w:p>
    <w:p w:rsidR="004F41DE" w:rsidRPr="00C548AE" w:rsidRDefault="004F41DE" w:rsidP="009D5C85">
      <w:pPr>
        <w:widowControl/>
        <w:adjustRightInd w:val="0"/>
        <w:snapToGrid w:val="0"/>
        <w:spacing w:line="360" w:lineRule="auto"/>
        <w:jc w:val="left"/>
        <w:rPr>
          <w:rFonts w:ascii="微软雅黑" w:eastAsia="微软雅黑" w:hAnsi="微软雅黑" w:cs="宋体"/>
          <w:kern w:val="0"/>
          <w:sz w:val="20"/>
          <w:szCs w:val="20"/>
        </w:rPr>
        <w:sectPr w:rsidR="004F41DE" w:rsidRPr="00C548AE" w:rsidSect="004F41DE">
          <w:type w:val="continuous"/>
          <w:pgSz w:w="11906" w:h="16838" w:code="9"/>
          <w:pgMar w:top="1134" w:right="1286" w:bottom="851" w:left="1134" w:header="851" w:footer="229" w:gutter="0"/>
          <w:pgNumType w:fmt="numberInDash"/>
          <w:cols w:sep="1" w:space="425"/>
          <w:docGrid w:type="linesAndChars" w:linePitch="312"/>
        </w:sectPr>
      </w:pPr>
    </w:p>
    <w:p w:rsidR="00000BFD" w:rsidRDefault="00000BFD" w:rsidP="005752FB">
      <w:pPr>
        <w:widowControl/>
        <w:tabs>
          <w:tab w:val="left" w:pos="668"/>
        </w:tabs>
        <w:ind w:left="108"/>
        <w:jc w:val="center"/>
        <w:rPr>
          <w:rFonts w:eastAsia="微软雅黑"/>
          <w:b/>
        </w:rPr>
      </w:pPr>
      <w:r w:rsidRPr="003A3072">
        <w:rPr>
          <w:rFonts w:eastAsia="微软雅黑"/>
          <w:b/>
          <w:color w:val="FF0000"/>
          <w:sz w:val="36"/>
        </w:rPr>
        <w:t>报</w:t>
      </w:r>
      <w:r w:rsidRPr="003A3072">
        <w:rPr>
          <w:rFonts w:eastAsia="微软雅黑"/>
          <w:b/>
          <w:color w:val="FF0000"/>
          <w:sz w:val="36"/>
        </w:rPr>
        <w:t xml:space="preserve"> </w:t>
      </w:r>
      <w:r w:rsidRPr="003A3072">
        <w:rPr>
          <w:rFonts w:eastAsia="微软雅黑"/>
          <w:b/>
          <w:color w:val="FF0000"/>
          <w:sz w:val="36"/>
        </w:rPr>
        <w:t>名</w:t>
      </w:r>
      <w:r w:rsidRPr="003A3072">
        <w:rPr>
          <w:rFonts w:eastAsia="微软雅黑"/>
          <w:b/>
          <w:color w:val="FF0000"/>
          <w:sz w:val="36"/>
        </w:rPr>
        <w:t xml:space="preserve"> </w:t>
      </w:r>
      <w:r w:rsidRPr="003A3072">
        <w:rPr>
          <w:rFonts w:eastAsia="微软雅黑"/>
          <w:b/>
          <w:color w:val="FF0000"/>
          <w:sz w:val="36"/>
        </w:rPr>
        <w:t>回</w:t>
      </w:r>
      <w:r w:rsidRPr="003A3072">
        <w:rPr>
          <w:rFonts w:eastAsia="微软雅黑"/>
          <w:b/>
          <w:color w:val="FF0000"/>
          <w:sz w:val="36"/>
        </w:rPr>
        <w:t xml:space="preserve"> </w:t>
      </w:r>
      <w:r w:rsidRPr="003A3072">
        <w:rPr>
          <w:rFonts w:eastAsia="微软雅黑"/>
          <w:b/>
          <w:color w:val="FF0000"/>
          <w:sz w:val="36"/>
        </w:rPr>
        <w:t>执</w:t>
      </w:r>
    </w:p>
    <w:p w:rsidR="005752FB" w:rsidRPr="002F6C1F" w:rsidRDefault="005752FB" w:rsidP="005752FB">
      <w:pPr>
        <w:widowControl/>
        <w:tabs>
          <w:tab w:val="left" w:pos="668"/>
        </w:tabs>
        <w:ind w:left="108"/>
        <w:jc w:val="center"/>
        <w:rPr>
          <w:rFonts w:eastAsia="微软雅黑"/>
          <w:sz w:val="44"/>
        </w:rPr>
      </w:pPr>
      <w:r>
        <w:rPr>
          <w:rFonts w:eastAsia="微软雅黑" w:hint="eastAsia"/>
        </w:rPr>
        <w:t>报名回执请发送给我们，帕迪咨询：</w:t>
      </w:r>
      <w:r>
        <w:rPr>
          <w:rFonts w:eastAsia="微软雅黑"/>
        </w:rPr>
        <w:t xml:space="preserve"> 18917655637  </w:t>
      </w:r>
      <w:r>
        <w:rPr>
          <w:rFonts w:ascii="微软雅黑" w:eastAsia="微软雅黑" w:hAnsi="微软雅黑" w:hint="eastAsia"/>
          <w:sz w:val="18"/>
          <w:lang w:val="fr-FR"/>
        </w:rPr>
        <w:t>Training@021px.com</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709"/>
        <w:gridCol w:w="1354"/>
        <w:gridCol w:w="2215"/>
        <w:gridCol w:w="1304"/>
        <w:gridCol w:w="2795"/>
      </w:tblGrid>
      <w:tr w:rsidR="00000BFD" w:rsidTr="002F6C1F">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课程名称</w:t>
            </w:r>
          </w:p>
        </w:tc>
        <w:tc>
          <w:tcPr>
            <w:tcW w:w="4278" w:type="dxa"/>
            <w:gridSpan w:val="3"/>
            <w:vAlign w:val="center"/>
          </w:tcPr>
          <w:p w:rsidR="00000BFD" w:rsidRDefault="00000BFD" w:rsidP="008F1CC9">
            <w:pPr>
              <w:tabs>
                <w:tab w:val="left" w:pos="1080"/>
              </w:tabs>
              <w:spacing w:line="340" w:lineRule="exact"/>
              <w:jc w:val="center"/>
              <w:rPr>
                <w:rFonts w:eastAsia="微软雅黑"/>
                <w:b/>
                <w:kern w:val="10"/>
                <w:sz w:val="24"/>
              </w:rPr>
            </w:pPr>
          </w:p>
        </w:tc>
        <w:tc>
          <w:tcPr>
            <w:tcW w:w="130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795" w:type="dxa"/>
            <w:vAlign w:val="center"/>
          </w:tcPr>
          <w:p w:rsidR="00000BFD" w:rsidRDefault="00000BFD" w:rsidP="008F1CC9">
            <w:pPr>
              <w:tabs>
                <w:tab w:val="left" w:pos="1080"/>
              </w:tabs>
              <w:spacing w:line="340" w:lineRule="exact"/>
              <w:jc w:val="center"/>
              <w:rPr>
                <w:rFonts w:eastAsia="微软雅黑"/>
                <w:b/>
                <w:kern w:val="10"/>
                <w:sz w:val="24"/>
              </w:rPr>
            </w:pPr>
          </w:p>
        </w:tc>
      </w:tr>
      <w:tr w:rsidR="00000BFD" w:rsidTr="008F1CC9">
        <w:trPr>
          <w:trHeight w:hRule="exact" w:val="544"/>
          <w:jc w:val="center"/>
        </w:trPr>
        <w:tc>
          <w:tcPr>
            <w:tcW w:w="3457"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培训负责人：</w:t>
            </w:r>
          </w:p>
        </w:tc>
        <w:tc>
          <w:tcPr>
            <w:tcW w:w="6314"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公司名称：</w:t>
            </w:r>
          </w:p>
        </w:tc>
      </w:tr>
      <w:tr w:rsidR="00000BFD" w:rsidTr="002F6C1F">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姓名</w:t>
            </w:r>
          </w:p>
        </w:tc>
        <w:tc>
          <w:tcPr>
            <w:tcW w:w="709"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性别</w:t>
            </w:r>
          </w:p>
        </w:tc>
        <w:tc>
          <w:tcPr>
            <w:tcW w:w="135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215"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099" w:type="dxa"/>
            <w:gridSpan w:val="2"/>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000BFD" w:rsidTr="002F6C1F">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4" w:type="dxa"/>
          </w:tcPr>
          <w:p w:rsidR="00000BFD" w:rsidRDefault="00000BFD" w:rsidP="008F1CC9">
            <w:pPr>
              <w:spacing w:line="340" w:lineRule="exact"/>
              <w:jc w:val="center"/>
              <w:rPr>
                <w:rFonts w:eastAsia="微软雅黑"/>
                <w:sz w:val="24"/>
              </w:rPr>
            </w:pPr>
          </w:p>
        </w:tc>
        <w:tc>
          <w:tcPr>
            <w:tcW w:w="2215" w:type="dxa"/>
          </w:tcPr>
          <w:p w:rsidR="00000BFD" w:rsidRDefault="00000BFD" w:rsidP="008F1CC9">
            <w:pPr>
              <w:spacing w:line="340" w:lineRule="exact"/>
              <w:jc w:val="center"/>
              <w:rPr>
                <w:rFonts w:eastAsia="微软雅黑"/>
                <w:sz w:val="24"/>
              </w:rPr>
            </w:pPr>
          </w:p>
        </w:tc>
        <w:tc>
          <w:tcPr>
            <w:tcW w:w="4099" w:type="dxa"/>
            <w:gridSpan w:val="2"/>
          </w:tcPr>
          <w:p w:rsidR="00000BFD" w:rsidRDefault="00000BFD" w:rsidP="008F1CC9">
            <w:pPr>
              <w:spacing w:line="340" w:lineRule="exact"/>
              <w:jc w:val="center"/>
              <w:rPr>
                <w:rFonts w:eastAsia="微软雅黑"/>
                <w:sz w:val="24"/>
              </w:rPr>
            </w:pPr>
          </w:p>
        </w:tc>
      </w:tr>
      <w:tr w:rsidR="00000BFD" w:rsidTr="002F6C1F">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4" w:type="dxa"/>
          </w:tcPr>
          <w:p w:rsidR="00000BFD" w:rsidRDefault="00000BFD" w:rsidP="008F1CC9">
            <w:pPr>
              <w:spacing w:line="340" w:lineRule="exact"/>
              <w:jc w:val="center"/>
              <w:rPr>
                <w:rFonts w:eastAsia="微软雅黑"/>
                <w:sz w:val="24"/>
              </w:rPr>
            </w:pPr>
          </w:p>
        </w:tc>
        <w:tc>
          <w:tcPr>
            <w:tcW w:w="2215" w:type="dxa"/>
          </w:tcPr>
          <w:p w:rsidR="00000BFD" w:rsidRDefault="00000BFD" w:rsidP="008F1CC9">
            <w:pPr>
              <w:spacing w:line="340" w:lineRule="exact"/>
              <w:jc w:val="center"/>
              <w:rPr>
                <w:rFonts w:eastAsia="微软雅黑"/>
                <w:sz w:val="24"/>
              </w:rPr>
            </w:pPr>
          </w:p>
        </w:tc>
        <w:tc>
          <w:tcPr>
            <w:tcW w:w="4099" w:type="dxa"/>
            <w:gridSpan w:val="2"/>
          </w:tcPr>
          <w:p w:rsidR="00000BFD" w:rsidRDefault="00000BFD" w:rsidP="008F1CC9">
            <w:pPr>
              <w:spacing w:line="340" w:lineRule="exact"/>
              <w:jc w:val="center"/>
              <w:rPr>
                <w:rFonts w:eastAsia="微软雅黑"/>
                <w:sz w:val="24"/>
              </w:rPr>
            </w:pPr>
          </w:p>
        </w:tc>
      </w:tr>
      <w:tr w:rsidR="00000BFD" w:rsidTr="002F6C1F">
        <w:trPr>
          <w:trHeight w:hRule="exact" w:val="436"/>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4" w:type="dxa"/>
          </w:tcPr>
          <w:p w:rsidR="00000BFD" w:rsidRDefault="00000BFD" w:rsidP="008F1CC9">
            <w:pPr>
              <w:spacing w:line="340" w:lineRule="exact"/>
              <w:jc w:val="center"/>
              <w:rPr>
                <w:rFonts w:eastAsia="微软雅黑"/>
                <w:sz w:val="24"/>
              </w:rPr>
            </w:pPr>
          </w:p>
        </w:tc>
        <w:tc>
          <w:tcPr>
            <w:tcW w:w="2215" w:type="dxa"/>
          </w:tcPr>
          <w:p w:rsidR="00000BFD" w:rsidRDefault="00000BFD" w:rsidP="008F1CC9">
            <w:pPr>
              <w:spacing w:line="340" w:lineRule="exact"/>
              <w:jc w:val="center"/>
              <w:rPr>
                <w:rFonts w:eastAsia="微软雅黑"/>
                <w:sz w:val="24"/>
              </w:rPr>
            </w:pPr>
          </w:p>
        </w:tc>
        <w:tc>
          <w:tcPr>
            <w:tcW w:w="4099" w:type="dxa"/>
            <w:gridSpan w:val="2"/>
          </w:tcPr>
          <w:p w:rsidR="00000BFD" w:rsidRDefault="00000BFD" w:rsidP="008F1CC9">
            <w:pPr>
              <w:spacing w:line="340" w:lineRule="exact"/>
              <w:jc w:val="center"/>
              <w:rPr>
                <w:rFonts w:eastAsia="微软雅黑"/>
                <w:sz w:val="24"/>
              </w:rPr>
            </w:pPr>
          </w:p>
        </w:tc>
      </w:tr>
      <w:tr w:rsidR="00000BFD" w:rsidTr="002F6C1F">
        <w:trPr>
          <w:trHeight w:hRule="exact" w:val="1677"/>
          <w:jc w:val="center"/>
        </w:trPr>
        <w:tc>
          <w:tcPr>
            <w:tcW w:w="5672" w:type="dxa"/>
            <w:gridSpan w:val="4"/>
            <w:vAlign w:val="center"/>
          </w:tcPr>
          <w:p w:rsidR="00000BFD" w:rsidRPr="003E35CB" w:rsidRDefault="00000BFD" w:rsidP="008F1CC9">
            <w:pPr>
              <w:adjustRightInd w:val="0"/>
              <w:snapToGrid w:val="0"/>
              <w:rPr>
                <w:rFonts w:eastAsia="微软雅黑"/>
                <w:b/>
                <w:sz w:val="22"/>
              </w:rPr>
            </w:pPr>
            <w:r w:rsidRPr="003E35CB">
              <w:rPr>
                <w:rFonts w:eastAsia="微软雅黑" w:hint="eastAsia"/>
                <w:b/>
                <w:sz w:val="22"/>
              </w:rPr>
              <w:t>帕迪公司账户信息：</w:t>
            </w:r>
          </w:p>
          <w:p w:rsidR="00000BFD" w:rsidRPr="004D2B40" w:rsidRDefault="00000BFD" w:rsidP="008F1CC9">
            <w:pPr>
              <w:adjustRightInd w:val="0"/>
              <w:snapToGrid w:val="0"/>
              <w:rPr>
                <w:rFonts w:eastAsia="微软雅黑"/>
                <w:sz w:val="22"/>
              </w:rPr>
            </w:pPr>
            <w:r w:rsidRPr="004D2B40">
              <w:rPr>
                <w:rFonts w:eastAsia="微软雅黑" w:hint="eastAsia"/>
                <w:sz w:val="22"/>
              </w:rPr>
              <w:t>开户名称：上海帕迪企业管理咨询有限公司</w:t>
            </w:r>
            <w:r w:rsidRPr="004D2B40">
              <w:rPr>
                <w:rFonts w:eastAsia="微软雅黑" w:hint="eastAsia"/>
                <w:sz w:val="22"/>
              </w:rPr>
              <w:t xml:space="preserve">  </w:t>
            </w:r>
          </w:p>
          <w:p w:rsidR="00000BFD" w:rsidRPr="004D2B40" w:rsidRDefault="00000BFD" w:rsidP="008F1CC9">
            <w:pPr>
              <w:adjustRightInd w:val="0"/>
              <w:snapToGrid w:val="0"/>
              <w:rPr>
                <w:rFonts w:eastAsia="微软雅黑"/>
                <w:sz w:val="22"/>
              </w:rPr>
            </w:pPr>
            <w:r w:rsidRPr="004D2B40">
              <w:rPr>
                <w:rFonts w:eastAsia="微软雅黑" w:hint="eastAsia"/>
                <w:sz w:val="22"/>
              </w:rPr>
              <w:t>银行帐号：</w:t>
            </w:r>
            <w:r w:rsidRPr="004D2B40">
              <w:rPr>
                <w:rFonts w:eastAsia="微软雅黑" w:hint="eastAsia"/>
                <w:sz w:val="22"/>
              </w:rPr>
              <w:t>03485500040002793</w:t>
            </w:r>
          </w:p>
          <w:p w:rsidR="00000BFD" w:rsidRPr="00C81E8C" w:rsidRDefault="00000BFD" w:rsidP="008F1CC9">
            <w:pPr>
              <w:adjustRightInd w:val="0"/>
              <w:snapToGrid w:val="0"/>
              <w:rPr>
                <w:rFonts w:eastAsia="微软雅黑"/>
                <w:b/>
                <w:kern w:val="10"/>
                <w:sz w:val="24"/>
              </w:rPr>
            </w:pPr>
            <w:r w:rsidRPr="004D2B40">
              <w:rPr>
                <w:rFonts w:eastAsia="微软雅黑" w:hint="eastAsia"/>
                <w:sz w:val="22"/>
              </w:rPr>
              <w:t>开户银行：农业银行上海市复旦支行</w:t>
            </w:r>
          </w:p>
        </w:tc>
        <w:tc>
          <w:tcPr>
            <w:tcW w:w="4099" w:type="dxa"/>
            <w:gridSpan w:val="2"/>
            <w:vAlign w:val="center"/>
          </w:tcPr>
          <w:p w:rsidR="00000BFD" w:rsidRDefault="00000BFD" w:rsidP="008F1CC9">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sidRPr="00D36758">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p w:rsidR="00000BFD" w:rsidRPr="003E35CB" w:rsidRDefault="00000BFD" w:rsidP="008F1CC9">
            <w:pPr>
              <w:shd w:val="solid" w:color="FFFFFF" w:fill="auto"/>
              <w:autoSpaceDN w:val="0"/>
              <w:spacing w:line="360" w:lineRule="exact"/>
              <w:textAlignment w:val="baseline"/>
              <w:rPr>
                <w:rFonts w:eastAsia="微软雅黑"/>
                <w:szCs w:val="21"/>
              </w:rPr>
            </w:pPr>
          </w:p>
        </w:tc>
      </w:tr>
    </w:tbl>
    <w:p w:rsidR="006A712C" w:rsidRDefault="006A712C" w:rsidP="009E34C9">
      <w:pPr>
        <w:widowControl/>
        <w:tabs>
          <w:tab w:val="left" w:pos="475"/>
        </w:tabs>
        <w:adjustRightInd w:val="0"/>
        <w:snapToGrid w:val="0"/>
        <w:ind w:left="108"/>
        <w:jc w:val="left"/>
        <w:rPr>
          <w:rFonts w:ascii="微软雅黑" w:eastAsia="微软雅黑" w:hAnsi="微软雅黑" w:cs="宋体"/>
          <w:kern w:val="0"/>
          <w:sz w:val="20"/>
          <w:szCs w:val="20"/>
        </w:rPr>
      </w:pPr>
    </w:p>
    <w:sectPr w:rsidR="006A712C" w:rsidSect="00E202F5">
      <w:type w:val="continuous"/>
      <w:pgSz w:w="11906" w:h="16838" w:code="9"/>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62" w:rsidRDefault="00BB2F62">
      <w:r>
        <w:separator/>
      </w:r>
    </w:p>
  </w:endnote>
  <w:endnote w:type="continuationSeparator" w:id="0">
    <w:p w:rsidR="00BB2F62" w:rsidRDefault="00BB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2F" w:rsidRDefault="00B4052F" w:rsidP="005D0511">
    <w:pPr>
      <w:pStyle w:val="a4"/>
      <w:jc w:val="center"/>
    </w:pPr>
    <w:r>
      <w:rPr>
        <w:noProof/>
      </w:rPr>
      <mc:AlternateContent>
        <mc:Choice Requires="wps">
          <w:drawing>
            <wp:anchor distT="0" distB="0" distL="114300" distR="114300" simplePos="0" relativeHeight="251655168" behindDoc="0" locked="0" layoutInCell="1" allowOverlap="1" wp14:anchorId="5F26246A" wp14:editId="554FEB52">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3F79D"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"/>
          </w:pict>
        </mc:Fallback>
      </mc:AlternateContent>
    </w:r>
  </w:p>
  <w:p w:rsidR="005D0511" w:rsidRPr="00FB0339" w:rsidRDefault="005D0511" w:rsidP="005D0511">
    <w:pPr>
      <w:pStyle w:val="a4"/>
      <w:jc w:val="center"/>
      <w:rPr>
        <w:rFonts w:ascii="微软雅黑" w:eastAsia="微软雅黑" w:hAnsi="微软雅黑"/>
      </w:rPr>
    </w:pPr>
    <w:r w:rsidRPr="00FB0339">
      <w:rPr>
        <w:rFonts w:ascii="微软雅黑" w:eastAsia="微软雅黑" w:hAnsi="微软雅黑" w:hint="eastAsia"/>
      </w:rPr>
      <w:t>上海帕迪企业管理咨询有限公司</w:t>
    </w:r>
    <w:r w:rsidRPr="00FB0339">
      <w:rPr>
        <w:rFonts w:ascii="微软雅黑" w:eastAsia="微软雅黑" w:hAnsi="微软雅黑"/>
      </w:rPr>
      <w:t xml:space="preserve"> </w:t>
    </w:r>
    <w:r w:rsidRPr="00FB0339">
      <w:rPr>
        <w:rFonts w:ascii="微软雅黑" w:eastAsia="微软雅黑" w:hAnsi="微软雅黑" w:hint="eastAsia"/>
      </w:rPr>
      <w:t xml:space="preserve">021-51036580  </w:t>
    </w:r>
    <w:r w:rsidR="00975A9F" w:rsidRPr="00FB0339">
      <w:rPr>
        <w:rFonts w:ascii="微软雅黑" w:eastAsia="微软雅黑" w:hAnsi="微软雅黑"/>
      </w:rPr>
      <w:t xml:space="preserve">13817659211  </w:t>
    </w:r>
  </w:p>
  <w:p w:rsidR="005D0511" w:rsidRPr="00FB0339" w:rsidRDefault="005D0511" w:rsidP="00B4052F">
    <w:pPr>
      <w:pStyle w:val="a4"/>
      <w:jc w:val="center"/>
      <w:rPr>
        <w:rFonts w:ascii="微软雅黑" w:eastAsia="微软雅黑" w:hAnsi="微软雅黑"/>
        <w:lang w:val="fr-FR"/>
      </w:rPr>
    </w:pPr>
    <w:r w:rsidRPr="00FB0339">
      <w:rPr>
        <w:rFonts w:ascii="微软雅黑" w:eastAsia="微软雅黑" w:hAnsi="微软雅黑" w:hint="eastAsia"/>
        <w:lang w:val="fr-FR"/>
      </w:rPr>
      <w:t xml:space="preserve">Email: </w:t>
    </w:r>
    <w:r w:rsidR="000810E4" w:rsidRPr="00FB0339">
      <w:rPr>
        <w:rFonts w:ascii="微软雅黑" w:eastAsia="微软雅黑" w:hAnsi="微软雅黑" w:hint="eastAsia"/>
        <w:lang w:val="fr-FR"/>
      </w:rPr>
      <w:t>Training</w:t>
    </w:r>
    <w:r w:rsidRPr="00FB0339">
      <w:rPr>
        <w:rFonts w:ascii="微软雅黑" w:eastAsia="微软雅黑" w:hAnsi="微软雅黑" w:hint="eastAsia"/>
        <w:lang w:val="fr-FR"/>
      </w:rPr>
      <w:t>@021px.com   www.021px.com  www.sino-pardi.com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62" w:rsidRDefault="00BB2F62">
      <w:r>
        <w:separator/>
      </w:r>
    </w:p>
  </w:footnote>
  <w:footnote w:type="continuationSeparator" w:id="0">
    <w:p w:rsidR="00BB2F62" w:rsidRDefault="00BB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0C8" w:rsidRPr="001F33A7" w:rsidRDefault="001F33A7" w:rsidP="001F33A7">
    <w:pPr>
      <w:pStyle w:val="a3"/>
      <w:textAlignment w:val="center"/>
      <w:rPr>
        <w:rFonts w:ascii="微软雅黑" w:eastAsia="微软雅黑" w:hAnsi="微软雅黑"/>
        <w:b/>
        <w:color w:val="FD7B41"/>
        <w:sz w:val="21"/>
        <w:szCs w:val="21"/>
      </w:rPr>
    </w:pPr>
    <w:r w:rsidRPr="00D551E6">
      <w:rPr>
        <w:rFonts w:ascii="微软雅黑" w:eastAsia="微软雅黑" w:hAnsi="微软雅黑"/>
        <w:b/>
        <w:noProof/>
        <w:color w:val="000000" w:themeColor="text1"/>
        <w:sz w:val="21"/>
        <w:szCs w:val="21"/>
      </w:rPr>
      <w:drawing>
        <wp:anchor distT="0" distB="0" distL="114300" distR="114300" simplePos="0" relativeHeight="251667456" behindDoc="1" locked="0" layoutInCell="1" allowOverlap="1" wp14:anchorId="629E3E95" wp14:editId="6BD3C31A">
          <wp:simplePos x="0" y="0"/>
          <wp:positionH relativeFrom="column">
            <wp:posOffset>5035305</wp:posOffset>
          </wp:positionH>
          <wp:positionV relativeFrom="paragraph">
            <wp:posOffset>-149860</wp:posOffset>
          </wp:positionV>
          <wp:extent cx="1083600" cy="316800"/>
          <wp:effectExtent l="0" t="0" r="254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sm.jpg"/>
                  <pic:cNvPicPr/>
                </pic:nvPicPr>
                <pic:blipFill>
                  <a:blip r:embed="rId1">
                    <a:extLst>
                      <a:ext uri="{28A0092B-C50C-407E-A947-70E740481C1C}">
                        <a14:useLocalDpi xmlns:a14="http://schemas.microsoft.com/office/drawing/2010/main" val="0"/>
                      </a:ext>
                    </a:extLst>
                  </a:blip>
                  <a:stretch>
                    <a:fillRect/>
                  </a:stretch>
                </pic:blipFill>
                <pic:spPr>
                  <a:xfrm>
                    <a:off x="0" y="0"/>
                    <a:ext cx="1083600" cy="316800"/>
                  </a:xfrm>
                  <a:prstGeom prst="rect">
                    <a:avLst/>
                  </a:prstGeom>
                </pic:spPr>
              </pic:pic>
            </a:graphicData>
          </a:graphic>
          <wp14:sizeRelH relativeFrom="margin">
            <wp14:pctWidth>0</wp14:pctWidth>
          </wp14:sizeRelH>
          <wp14:sizeRelV relativeFrom="margin">
            <wp14:pctHeight>0</wp14:pctHeight>
          </wp14:sizeRelV>
        </wp:anchor>
      </w:drawing>
    </w:r>
    <w:r w:rsidRPr="00D551E6">
      <w:rPr>
        <w:b/>
        <w:noProof/>
        <w:color w:val="000000" w:themeColor="text1"/>
        <w:sz w:val="21"/>
        <w:szCs w:val="21"/>
      </w:rPr>
      <w:drawing>
        <wp:anchor distT="0" distB="0" distL="114300" distR="114300" simplePos="0" relativeHeight="251665408" behindDoc="1" locked="0" layoutInCell="1" allowOverlap="1" wp14:anchorId="35F0A8A5" wp14:editId="6C828081">
          <wp:simplePos x="0" y="0"/>
          <wp:positionH relativeFrom="column">
            <wp:posOffset>41275</wp:posOffset>
          </wp:positionH>
          <wp:positionV relativeFrom="paragraph">
            <wp:posOffset>-149225</wp:posOffset>
          </wp:positionV>
          <wp:extent cx="1304925" cy="317584"/>
          <wp:effectExtent l="0" t="0" r="0" b="635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17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专注采购</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与供应链培训</w:t>
    </w:r>
    <w:r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CPSM</w:t>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认证</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培训</w:t>
    </w:r>
    <w:r w:rsidRPr="001F33A7">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5"/>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0684E"/>
    <w:multiLevelType w:val="hybridMultilevel"/>
    <w:tmpl w:val="870E92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886DCD"/>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80443E"/>
    <w:multiLevelType w:val="multilevel"/>
    <w:tmpl w:val="18B67A36"/>
    <w:lvl w:ilvl="0">
      <w:start w:val="5"/>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15:restartNumberingAfterBreak="0">
    <w:nsid w:val="17431B1B"/>
    <w:multiLevelType w:val="hybridMultilevel"/>
    <w:tmpl w:val="335E2C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033626"/>
    <w:multiLevelType w:val="hybridMultilevel"/>
    <w:tmpl w:val="38F206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783BE8"/>
    <w:multiLevelType w:val="hybridMultilevel"/>
    <w:tmpl w:val="ED06A62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7546E03"/>
    <w:multiLevelType w:val="multilevel"/>
    <w:tmpl w:val="C7E8C6C6"/>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87C5DE7"/>
    <w:multiLevelType w:val="multilevel"/>
    <w:tmpl w:val="6452337A"/>
    <w:lvl w:ilvl="0">
      <w:start w:val="2"/>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15:restartNumberingAfterBreak="0">
    <w:nsid w:val="30BE31C9"/>
    <w:multiLevelType w:val="hybridMultilevel"/>
    <w:tmpl w:val="56C43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2D5DE9"/>
    <w:multiLevelType w:val="hybridMultilevel"/>
    <w:tmpl w:val="F594E7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700FF3"/>
    <w:multiLevelType w:val="hybridMultilevel"/>
    <w:tmpl w:val="0FACB2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4C605C9"/>
    <w:multiLevelType w:val="multilevel"/>
    <w:tmpl w:val="8B829EDA"/>
    <w:lvl w:ilvl="0">
      <w:start w:val="7"/>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15:restartNumberingAfterBreak="0">
    <w:nsid w:val="55073969"/>
    <w:multiLevelType w:val="hybridMultilevel"/>
    <w:tmpl w:val="456483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0B00178"/>
    <w:multiLevelType w:val="multilevel"/>
    <w:tmpl w:val="FAE4B77C"/>
    <w:lvl w:ilvl="0">
      <w:start w:val="5"/>
      <w:numFmt w:val="chi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7" w15:restartNumberingAfterBreak="0">
    <w:nsid w:val="60EB549A"/>
    <w:multiLevelType w:val="hybridMultilevel"/>
    <w:tmpl w:val="802E0022"/>
    <w:lvl w:ilvl="0" w:tplc="77DEFE98">
      <w:start w:val="1"/>
      <w:numFmt w:val="bullet"/>
      <w:lvlText w:val=""/>
      <w:lvlJc w:val="left"/>
      <w:pPr>
        <w:ind w:left="420" w:hanging="420"/>
      </w:pPr>
      <w:rPr>
        <w:rFonts w:ascii="Wingdings" w:hAnsi="Wingdings" w:hint="default"/>
      </w:rPr>
    </w:lvl>
    <w:lvl w:ilvl="1" w:tplc="98C08132">
      <w:numFmt w:val="bullet"/>
      <w:lvlText w:val="◆"/>
      <w:lvlJc w:val="left"/>
      <w:pPr>
        <w:ind w:left="780" w:hanging="360"/>
      </w:pPr>
      <w:rPr>
        <w:rFonts w:ascii="微软雅黑" w:eastAsia="微软雅黑" w:hAnsi="微软雅黑"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B1434B"/>
    <w:multiLevelType w:val="hybridMultilevel"/>
    <w:tmpl w:val="A9A46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172942"/>
    <w:multiLevelType w:val="hybridMultilevel"/>
    <w:tmpl w:val="E660A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DF6048"/>
    <w:multiLevelType w:val="multilevel"/>
    <w:tmpl w:val="88940C72"/>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15:restartNumberingAfterBreak="0">
    <w:nsid w:val="764D3226"/>
    <w:multiLevelType w:val="multilevel"/>
    <w:tmpl w:val="768C5E1E"/>
    <w:lvl w:ilvl="0">
      <w:start w:val="1"/>
      <w:numFmt w:val="japaneseCounting"/>
      <w:lvlText w:val="%1．"/>
      <w:lvlJc w:val="left"/>
      <w:pPr>
        <w:tabs>
          <w:tab w:val="num" w:pos="720"/>
        </w:tabs>
        <w:ind w:left="720" w:hanging="720"/>
      </w:pPr>
      <w:rPr>
        <w:rFonts w:hint="eastAsia"/>
      </w:rPr>
    </w:lvl>
    <w:lvl w:ilvl="1">
      <w:start w:val="6"/>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2" w15:restartNumberingAfterBreak="0">
    <w:nsid w:val="770C681C"/>
    <w:multiLevelType w:val="hybridMultilevel"/>
    <w:tmpl w:val="73E45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D711CB"/>
    <w:multiLevelType w:val="hybridMultilevel"/>
    <w:tmpl w:val="AA7A9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F97B3D"/>
    <w:multiLevelType w:val="multilevel"/>
    <w:tmpl w:val="B0B0CFAE"/>
    <w:lvl w:ilvl="0">
      <w:start w:val="1"/>
      <w:numFmt w:val="japaneseCounting"/>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5" w15:restartNumberingAfterBreak="0">
    <w:nsid w:val="7F802F43"/>
    <w:multiLevelType w:val="hybridMultilevel"/>
    <w:tmpl w:val="B07618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3"/>
  </w:num>
  <w:num w:numId="3">
    <w:abstractNumId w:val="18"/>
  </w:num>
  <w:num w:numId="4">
    <w:abstractNumId w:val="9"/>
  </w:num>
  <w:num w:numId="5">
    <w:abstractNumId w:val="1"/>
    <w:lvlOverride w:ilvl="0">
      <w:startOverride w:val="1"/>
    </w:lvlOverride>
  </w:num>
  <w:num w:numId="6">
    <w:abstractNumId w:val="1"/>
    <w:lvlOverride w:ilvl="1">
      <w:startOverride w:val="1"/>
    </w:lvlOverride>
  </w:num>
  <w:num w:numId="7">
    <w:abstractNumId w:val="1"/>
  </w:num>
  <w:num w:numId="8">
    <w:abstractNumId w:val="4"/>
  </w:num>
  <w:num w:numId="9">
    <w:abstractNumId w:val="24"/>
  </w:num>
  <w:num w:numId="10">
    <w:abstractNumId w:val="10"/>
  </w:num>
  <w:num w:numId="11">
    <w:abstractNumId w:val="20"/>
  </w:num>
  <w:num w:numId="12">
    <w:abstractNumId w:val="5"/>
  </w:num>
  <w:num w:numId="13">
    <w:abstractNumId w:val="14"/>
  </w:num>
  <w:num w:numId="14">
    <w:abstractNumId w:val="21"/>
  </w:num>
  <w:num w:numId="15">
    <w:abstractNumId w:val="13"/>
  </w:num>
  <w:num w:numId="16">
    <w:abstractNumId w:val="16"/>
  </w:num>
  <w:num w:numId="17">
    <w:abstractNumId w:val="25"/>
  </w:num>
  <w:num w:numId="18">
    <w:abstractNumId w:val="2"/>
  </w:num>
  <w:num w:numId="19">
    <w:abstractNumId w:val="0"/>
  </w:num>
  <w:num w:numId="20">
    <w:abstractNumId w:val="22"/>
  </w:num>
  <w:num w:numId="21">
    <w:abstractNumId w:val="11"/>
  </w:num>
  <w:num w:numId="22">
    <w:abstractNumId w:val="17"/>
  </w:num>
  <w:num w:numId="23">
    <w:abstractNumId w:val="15"/>
  </w:num>
  <w:num w:numId="24">
    <w:abstractNumId w:val="7"/>
  </w:num>
  <w:num w:numId="25">
    <w:abstractNumId w:val="19"/>
  </w:num>
  <w:num w:numId="26">
    <w:abstractNumId w:val="3"/>
  </w:num>
  <w:num w:numId="27">
    <w:abstractNumId w:val="8"/>
  </w:num>
  <w:num w:numId="2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hdrShapeDefaults>
    <o:shapedefaults v:ext="edit" spidmax="2049" fillcolor="#f90" strokecolor="#930">
      <v:fill color="#f90" opacity="24248f" color2="#767676" rotate="t"/>
      <v:stroke dashstyle="1 1" color="#930" weight="1pt"/>
      <o:colormru v:ext="edit" colors="#ffc,white,#f60,#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01B"/>
    <w:rsid w:val="00000BFD"/>
    <w:rsid w:val="00000EC9"/>
    <w:rsid w:val="00001618"/>
    <w:rsid w:val="000133C0"/>
    <w:rsid w:val="0001481B"/>
    <w:rsid w:val="00014A2B"/>
    <w:rsid w:val="00015B8C"/>
    <w:rsid w:val="0003098F"/>
    <w:rsid w:val="00031BBA"/>
    <w:rsid w:val="000436F4"/>
    <w:rsid w:val="00043B28"/>
    <w:rsid w:val="00045A18"/>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5A5A"/>
    <w:rsid w:val="000F7635"/>
    <w:rsid w:val="001019E9"/>
    <w:rsid w:val="00103477"/>
    <w:rsid w:val="0010747E"/>
    <w:rsid w:val="00110C41"/>
    <w:rsid w:val="00112685"/>
    <w:rsid w:val="001140EC"/>
    <w:rsid w:val="00115466"/>
    <w:rsid w:val="001178B7"/>
    <w:rsid w:val="001214C6"/>
    <w:rsid w:val="00126244"/>
    <w:rsid w:val="0012768C"/>
    <w:rsid w:val="0013155D"/>
    <w:rsid w:val="00133D1D"/>
    <w:rsid w:val="00137DD0"/>
    <w:rsid w:val="00142B96"/>
    <w:rsid w:val="001440D0"/>
    <w:rsid w:val="00147C16"/>
    <w:rsid w:val="00151461"/>
    <w:rsid w:val="00153B1E"/>
    <w:rsid w:val="00162C95"/>
    <w:rsid w:val="00164BBB"/>
    <w:rsid w:val="001745BD"/>
    <w:rsid w:val="00176CF2"/>
    <w:rsid w:val="00181AE7"/>
    <w:rsid w:val="00185809"/>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E3B26"/>
    <w:rsid w:val="001E59D9"/>
    <w:rsid w:val="001F33A7"/>
    <w:rsid w:val="001F4311"/>
    <w:rsid w:val="001F477E"/>
    <w:rsid w:val="001F6FDE"/>
    <w:rsid w:val="002051A7"/>
    <w:rsid w:val="002075A3"/>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0EE7"/>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B4495"/>
    <w:rsid w:val="002C33FF"/>
    <w:rsid w:val="002C55F8"/>
    <w:rsid w:val="002C58DB"/>
    <w:rsid w:val="002C7270"/>
    <w:rsid w:val="002D5646"/>
    <w:rsid w:val="002E5618"/>
    <w:rsid w:val="002F287C"/>
    <w:rsid w:val="002F31AF"/>
    <w:rsid w:val="002F3891"/>
    <w:rsid w:val="002F4EC6"/>
    <w:rsid w:val="002F56BE"/>
    <w:rsid w:val="002F5CCE"/>
    <w:rsid w:val="002F6C1F"/>
    <w:rsid w:val="00300A37"/>
    <w:rsid w:val="00300D6A"/>
    <w:rsid w:val="003011BB"/>
    <w:rsid w:val="00306493"/>
    <w:rsid w:val="003100A4"/>
    <w:rsid w:val="00310D71"/>
    <w:rsid w:val="0031152E"/>
    <w:rsid w:val="003115FB"/>
    <w:rsid w:val="0031171A"/>
    <w:rsid w:val="00311D16"/>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B80"/>
    <w:rsid w:val="00380817"/>
    <w:rsid w:val="00383423"/>
    <w:rsid w:val="00387BBA"/>
    <w:rsid w:val="00387FA5"/>
    <w:rsid w:val="00390B6E"/>
    <w:rsid w:val="00394097"/>
    <w:rsid w:val="00394666"/>
    <w:rsid w:val="0039685A"/>
    <w:rsid w:val="003977B7"/>
    <w:rsid w:val="00397DE4"/>
    <w:rsid w:val="003A1019"/>
    <w:rsid w:val="003A1409"/>
    <w:rsid w:val="003A3072"/>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404DA"/>
    <w:rsid w:val="00442E93"/>
    <w:rsid w:val="004437A8"/>
    <w:rsid w:val="00444298"/>
    <w:rsid w:val="00452C6B"/>
    <w:rsid w:val="00453411"/>
    <w:rsid w:val="0045357E"/>
    <w:rsid w:val="00455A8D"/>
    <w:rsid w:val="004568E3"/>
    <w:rsid w:val="00457034"/>
    <w:rsid w:val="0045732E"/>
    <w:rsid w:val="00462B99"/>
    <w:rsid w:val="00463572"/>
    <w:rsid w:val="00464718"/>
    <w:rsid w:val="00470097"/>
    <w:rsid w:val="004739E7"/>
    <w:rsid w:val="0047507B"/>
    <w:rsid w:val="00482F98"/>
    <w:rsid w:val="00485775"/>
    <w:rsid w:val="004900B5"/>
    <w:rsid w:val="0049247C"/>
    <w:rsid w:val="00494343"/>
    <w:rsid w:val="00494D3F"/>
    <w:rsid w:val="004A7773"/>
    <w:rsid w:val="004B37D3"/>
    <w:rsid w:val="004B391D"/>
    <w:rsid w:val="004B4B82"/>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1C2E"/>
    <w:rsid w:val="00542E46"/>
    <w:rsid w:val="0054532C"/>
    <w:rsid w:val="00546864"/>
    <w:rsid w:val="00546B86"/>
    <w:rsid w:val="005531C5"/>
    <w:rsid w:val="005562A1"/>
    <w:rsid w:val="005638A0"/>
    <w:rsid w:val="00565818"/>
    <w:rsid w:val="00567C57"/>
    <w:rsid w:val="00571D69"/>
    <w:rsid w:val="005728ED"/>
    <w:rsid w:val="00574E94"/>
    <w:rsid w:val="005752FB"/>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CB4"/>
    <w:rsid w:val="005B6DA2"/>
    <w:rsid w:val="005B74B8"/>
    <w:rsid w:val="005C093C"/>
    <w:rsid w:val="005C0CAD"/>
    <w:rsid w:val="005D0511"/>
    <w:rsid w:val="005D0CA1"/>
    <w:rsid w:val="005D390C"/>
    <w:rsid w:val="005D5877"/>
    <w:rsid w:val="005E77F4"/>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415CB"/>
    <w:rsid w:val="006424D6"/>
    <w:rsid w:val="00643F7D"/>
    <w:rsid w:val="00647E7B"/>
    <w:rsid w:val="0065225A"/>
    <w:rsid w:val="0065445E"/>
    <w:rsid w:val="00654F17"/>
    <w:rsid w:val="00655DAF"/>
    <w:rsid w:val="006613EE"/>
    <w:rsid w:val="00663435"/>
    <w:rsid w:val="00665C2A"/>
    <w:rsid w:val="006722CF"/>
    <w:rsid w:val="00673EF1"/>
    <w:rsid w:val="00675EB1"/>
    <w:rsid w:val="00685873"/>
    <w:rsid w:val="006962CA"/>
    <w:rsid w:val="006A407A"/>
    <w:rsid w:val="006A47B6"/>
    <w:rsid w:val="006A5DF1"/>
    <w:rsid w:val="006A712C"/>
    <w:rsid w:val="006B20B4"/>
    <w:rsid w:val="006B2B5F"/>
    <w:rsid w:val="006B511E"/>
    <w:rsid w:val="006C103E"/>
    <w:rsid w:val="006C7E48"/>
    <w:rsid w:val="006D16AC"/>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63D49"/>
    <w:rsid w:val="00766722"/>
    <w:rsid w:val="00771E54"/>
    <w:rsid w:val="007759A9"/>
    <w:rsid w:val="0078266A"/>
    <w:rsid w:val="0078274F"/>
    <w:rsid w:val="00787A68"/>
    <w:rsid w:val="00792A90"/>
    <w:rsid w:val="00795D65"/>
    <w:rsid w:val="007A0DEB"/>
    <w:rsid w:val="007A2C78"/>
    <w:rsid w:val="007A2D21"/>
    <w:rsid w:val="007B19E6"/>
    <w:rsid w:val="007B275E"/>
    <w:rsid w:val="007B5A65"/>
    <w:rsid w:val="007C3F5B"/>
    <w:rsid w:val="007C4B64"/>
    <w:rsid w:val="007C511D"/>
    <w:rsid w:val="007C5700"/>
    <w:rsid w:val="007D2493"/>
    <w:rsid w:val="007D33F0"/>
    <w:rsid w:val="007D3FAB"/>
    <w:rsid w:val="007D4679"/>
    <w:rsid w:val="007D62D5"/>
    <w:rsid w:val="007D75AE"/>
    <w:rsid w:val="007E0FF3"/>
    <w:rsid w:val="007E5218"/>
    <w:rsid w:val="007E70D2"/>
    <w:rsid w:val="007E7F88"/>
    <w:rsid w:val="007F75F1"/>
    <w:rsid w:val="007F79E0"/>
    <w:rsid w:val="0080037D"/>
    <w:rsid w:val="00800E33"/>
    <w:rsid w:val="00800EF4"/>
    <w:rsid w:val="00803CB5"/>
    <w:rsid w:val="008040ED"/>
    <w:rsid w:val="00811137"/>
    <w:rsid w:val="0081453E"/>
    <w:rsid w:val="00814B03"/>
    <w:rsid w:val="00817D49"/>
    <w:rsid w:val="00823628"/>
    <w:rsid w:val="00826602"/>
    <w:rsid w:val="008305B9"/>
    <w:rsid w:val="00841202"/>
    <w:rsid w:val="00841756"/>
    <w:rsid w:val="00842172"/>
    <w:rsid w:val="0084247B"/>
    <w:rsid w:val="0084673B"/>
    <w:rsid w:val="00850F8A"/>
    <w:rsid w:val="00851668"/>
    <w:rsid w:val="00861FAF"/>
    <w:rsid w:val="00862620"/>
    <w:rsid w:val="00862AB5"/>
    <w:rsid w:val="00867C7B"/>
    <w:rsid w:val="008700D9"/>
    <w:rsid w:val="00877386"/>
    <w:rsid w:val="00881671"/>
    <w:rsid w:val="00884427"/>
    <w:rsid w:val="00884B3D"/>
    <w:rsid w:val="0088613E"/>
    <w:rsid w:val="00887C34"/>
    <w:rsid w:val="00891614"/>
    <w:rsid w:val="00891935"/>
    <w:rsid w:val="00897E4E"/>
    <w:rsid w:val="008A129E"/>
    <w:rsid w:val="008A2EF6"/>
    <w:rsid w:val="008A369A"/>
    <w:rsid w:val="008A7B49"/>
    <w:rsid w:val="008B12F9"/>
    <w:rsid w:val="008B350E"/>
    <w:rsid w:val="008C1F7A"/>
    <w:rsid w:val="008C2D08"/>
    <w:rsid w:val="008C303C"/>
    <w:rsid w:val="008C7188"/>
    <w:rsid w:val="008D1A82"/>
    <w:rsid w:val="008D67F7"/>
    <w:rsid w:val="008F0FA0"/>
    <w:rsid w:val="008F10F6"/>
    <w:rsid w:val="008F7A77"/>
    <w:rsid w:val="0090253E"/>
    <w:rsid w:val="00902F28"/>
    <w:rsid w:val="00913711"/>
    <w:rsid w:val="009148C5"/>
    <w:rsid w:val="009166CA"/>
    <w:rsid w:val="0091712D"/>
    <w:rsid w:val="009209E9"/>
    <w:rsid w:val="00921911"/>
    <w:rsid w:val="0092265E"/>
    <w:rsid w:val="00922D33"/>
    <w:rsid w:val="009277C9"/>
    <w:rsid w:val="00927897"/>
    <w:rsid w:val="00927FE5"/>
    <w:rsid w:val="009315D5"/>
    <w:rsid w:val="009339B7"/>
    <w:rsid w:val="00935D90"/>
    <w:rsid w:val="00942DAE"/>
    <w:rsid w:val="00942E74"/>
    <w:rsid w:val="0094470B"/>
    <w:rsid w:val="00945479"/>
    <w:rsid w:val="00954A25"/>
    <w:rsid w:val="00956A61"/>
    <w:rsid w:val="009579B2"/>
    <w:rsid w:val="009602EC"/>
    <w:rsid w:val="00963858"/>
    <w:rsid w:val="00965A57"/>
    <w:rsid w:val="00971F15"/>
    <w:rsid w:val="009757E7"/>
    <w:rsid w:val="00975A9F"/>
    <w:rsid w:val="00982207"/>
    <w:rsid w:val="00985B86"/>
    <w:rsid w:val="00986E1B"/>
    <w:rsid w:val="0099401B"/>
    <w:rsid w:val="00995686"/>
    <w:rsid w:val="009A0F47"/>
    <w:rsid w:val="009A2333"/>
    <w:rsid w:val="009A2855"/>
    <w:rsid w:val="009A2DC1"/>
    <w:rsid w:val="009A5E4A"/>
    <w:rsid w:val="009B1875"/>
    <w:rsid w:val="009B403C"/>
    <w:rsid w:val="009B42CD"/>
    <w:rsid w:val="009C02BA"/>
    <w:rsid w:val="009D04C1"/>
    <w:rsid w:val="009D24D4"/>
    <w:rsid w:val="009D5C85"/>
    <w:rsid w:val="009D613B"/>
    <w:rsid w:val="009E34C9"/>
    <w:rsid w:val="009E4271"/>
    <w:rsid w:val="009E54D1"/>
    <w:rsid w:val="009E60C1"/>
    <w:rsid w:val="009F3B4C"/>
    <w:rsid w:val="009F4EA4"/>
    <w:rsid w:val="009F5A5B"/>
    <w:rsid w:val="009F631A"/>
    <w:rsid w:val="00A02085"/>
    <w:rsid w:val="00A02B0B"/>
    <w:rsid w:val="00A06469"/>
    <w:rsid w:val="00A07158"/>
    <w:rsid w:val="00A10412"/>
    <w:rsid w:val="00A109C4"/>
    <w:rsid w:val="00A11B14"/>
    <w:rsid w:val="00A13D86"/>
    <w:rsid w:val="00A17536"/>
    <w:rsid w:val="00A21F86"/>
    <w:rsid w:val="00A2215A"/>
    <w:rsid w:val="00A22AFD"/>
    <w:rsid w:val="00A24400"/>
    <w:rsid w:val="00A27438"/>
    <w:rsid w:val="00A340F2"/>
    <w:rsid w:val="00A41AF1"/>
    <w:rsid w:val="00A42C59"/>
    <w:rsid w:val="00A43974"/>
    <w:rsid w:val="00A44EFE"/>
    <w:rsid w:val="00A50634"/>
    <w:rsid w:val="00A50A41"/>
    <w:rsid w:val="00A50A6D"/>
    <w:rsid w:val="00A53B00"/>
    <w:rsid w:val="00A573F0"/>
    <w:rsid w:val="00A57569"/>
    <w:rsid w:val="00A60903"/>
    <w:rsid w:val="00A618A3"/>
    <w:rsid w:val="00A722D2"/>
    <w:rsid w:val="00A73106"/>
    <w:rsid w:val="00A75630"/>
    <w:rsid w:val="00A81275"/>
    <w:rsid w:val="00A856E5"/>
    <w:rsid w:val="00A862EB"/>
    <w:rsid w:val="00A91158"/>
    <w:rsid w:val="00A92626"/>
    <w:rsid w:val="00A93794"/>
    <w:rsid w:val="00A94965"/>
    <w:rsid w:val="00AA2597"/>
    <w:rsid w:val="00AA577C"/>
    <w:rsid w:val="00AA752D"/>
    <w:rsid w:val="00AB092A"/>
    <w:rsid w:val="00AB18BE"/>
    <w:rsid w:val="00AB74C7"/>
    <w:rsid w:val="00AC3081"/>
    <w:rsid w:val="00AC3A3E"/>
    <w:rsid w:val="00AC5D23"/>
    <w:rsid w:val="00AD0A7E"/>
    <w:rsid w:val="00AD1C98"/>
    <w:rsid w:val="00AD2D49"/>
    <w:rsid w:val="00AD32BE"/>
    <w:rsid w:val="00AD3499"/>
    <w:rsid w:val="00AD60C8"/>
    <w:rsid w:val="00AD72C0"/>
    <w:rsid w:val="00AE13B5"/>
    <w:rsid w:val="00AE31D3"/>
    <w:rsid w:val="00AE3C5D"/>
    <w:rsid w:val="00AE7B36"/>
    <w:rsid w:val="00AF1053"/>
    <w:rsid w:val="00AF17E2"/>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57C6"/>
    <w:rsid w:val="00B4052F"/>
    <w:rsid w:val="00B414C7"/>
    <w:rsid w:val="00B43871"/>
    <w:rsid w:val="00B4421E"/>
    <w:rsid w:val="00B450CE"/>
    <w:rsid w:val="00B45881"/>
    <w:rsid w:val="00B516FB"/>
    <w:rsid w:val="00B53EF1"/>
    <w:rsid w:val="00B5732E"/>
    <w:rsid w:val="00B57AF5"/>
    <w:rsid w:val="00B64678"/>
    <w:rsid w:val="00B64D49"/>
    <w:rsid w:val="00B656C4"/>
    <w:rsid w:val="00B67B39"/>
    <w:rsid w:val="00B824A6"/>
    <w:rsid w:val="00B835C4"/>
    <w:rsid w:val="00B92936"/>
    <w:rsid w:val="00BA19FF"/>
    <w:rsid w:val="00BA4878"/>
    <w:rsid w:val="00BA538D"/>
    <w:rsid w:val="00BA58F2"/>
    <w:rsid w:val="00BA6261"/>
    <w:rsid w:val="00BA680C"/>
    <w:rsid w:val="00BA6A52"/>
    <w:rsid w:val="00BA6B48"/>
    <w:rsid w:val="00BA701A"/>
    <w:rsid w:val="00BB1733"/>
    <w:rsid w:val="00BB2F62"/>
    <w:rsid w:val="00BB32FF"/>
    <w:rsid w:val="00BC0BFA"/>
    <w:rsid w:val="00BC10E3"/>
    <w:rsid w:val="00BC25C8"/>
    <w:rsid w:val="00BD2116"/>
    <w:rsid w:val="00BD4F7C"/>
    <w:rsid w:val="00BD6066"/>
    <w:rsid w:val="00BE0B10"/>
    <w:rsid w:val="00BE1D3D"/>
    <w:rsid w:val="00BE2627"/>
    <w:rsid w:val="00BF58C3"/>
    <w:rsid w:val="00BF6866"/>
    <w:rsid w:val="00C025B5"/>
    <w:rsid w:val="00C13815"/>
    <w:rsid w:val="00C14843"/>
    <w:rsid w:val="00C157C2"/>
    <w:rsid w:val="00C15B4C"/>
    <w:rsid w:val="00C2118B"/>
    <w:rsid w:val="00C26684"/>
    <w:rsid w:val="00C27D52"/>
    <w:rsid w:val="00C36D0F"/>
    <w:rsid w:val="00C40355"/>
    <w:rsid w:val="00C4067F"/>
    <w:rsid w:val="00C45A06"/>
    <w:rsid w:val="00C46215"/>
    <w:rsid w:val="00C46BC9"/>
    <w:rsid w:val="00C548AE"/>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106D"/>
    <w:rsid w:val="00CB7F4F"/>
    <w:rsid w:val="00CC1405"/>
    <w:rsid w:val="00CC1EC9"/>
    <w:rsid w:val="00CC3292"/>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4CBF"/>
    <w:rsid w:val="00D155A7"/>
    <w:rsid w:val="00D20316"/>
    <w:rsid w:val="00D22A84"/>
    <w:rsid w:val="00D22F4E"/>
    <w:rsid w:val="00D23954"/>
    <w:rsid w:val="00D25889"/>
    <w:rsid w:val="00D2716B"/>
    <w:rsid w:val="00D32545"/>
    <w:rsid w:val="00D33B27"/>
    <w:rsid w:val="00D35029"/>
    <w:rsid w:val="00D409B4"/>
    <w:rsid w:val="00D40A82"/>
    <w:rsid w:val="00D508C5"/>
    <w:rsid w:val="00D508EF"/>
    <w:rsid w:val="00D551E6"/>
    <w:rsid w:val="00D567FA"/>
    <w:rsid w:val="00D5710C"/>
    <w:rsid w:val="00D579AF"/>
    <w:rsid w:val="00D601E7"/>
    <w:rsid w:val="00D60D7C"/>
    <w:rsid w:val="00D61792"/>
    <w:rsid w:val="00D63AA3"/>
    <w:rsid w:val="00D67DD3"/>
    <w:rsid w:val="00D771E9"/>
    <w:rsid w:val="00D811B4"/>
    <w:rsid w:val="00D82C18"/>
    <w:rsid w:val="00D838DB"/>
    <w:rsid w:val="00D8778D"/>
    <w:rsid w:val="00D975F4"/>
    <w:rsid w:val="00DA33F6"/>
    <w:rsid w:val="00DA3F0C"/>
    <w:rsid w:val="00DA667E"/>
    <w:rsid w:val="00DB0C1A"/>
    <w:rsid w:val="00DB44DC"/>
    <w:rsid w:val="00DB4F35"/>
    <w:rsid w:val="00DC00EA"/>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502D6"/>
    <w:rsid w:val="00E52A05"/>
    <w:rsid w:val="00E5468A"/>
    <w:rsid w:val="00E560B0"/>
    <w:rsid w:val="00E60703"/>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B2987"/>
    <w:rsid w:val="00EC129B"/>
    <w:rsid w:val="00EC40CB"/>
    <w:rsid w:val="00EC664D"/>
    <w:rsid w:val="00ED04C3"/>
    <w:rsid w:val="00ED46EC"/>
    <w:rsid w:val="00ED753A"/>
    <w:rsid w:val="00EE25C8"/>
    <w:rsid w:val="00EE2DBF"/>
    <w:rsid w:val="00EE4C24"/>
    <w:rsid w:val="00EE4D0A"/>
    <w:rsid w:val="00EE5202"/>
    <w:rsid w:val="00EE5EE0"/>
    <w:rsid w:val="00EF3504"/>
    <w:rsid w:val="00EF3646"/>
    <w:rsid w:val="00EF560E"/>
    <w:rsid w:val="00F02461"/>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E0C20"/>
    <w:rsid w:val="00FE2DCF"/>
    <w:rsid w:val="00FE65F2"/>
    <w:rsid w:val="00FF0D14"/>
    <w:rsid w:val="00F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0" strokecolor="#930">
      <v:fill color="#f90" opacity="24248f" color2="#767676" rotate="t"/>
      <v:stroke dashstyle="1 1" color="#930" weight="1pt"/>
      <o:colormru v:ext="edit" colors="#ffc,white,#f60,#ff6,#ff9"/>
    </o:shapedefaults>
    <o:shapelayout v:ext="edit">
      <o:idmap v:ext="edit" data="1"/>
    </o:shapelayout>
  </w:shapeDefaults>
  <w:decimalSymbol w:val="."/>
  <w:listSeparator w:val=","/>
  <w14:docId w14:val="1645B848"/>
  <w15:docId w15:val="{87832CC9-BF6E-4423-85B6-72D1BAB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rsid w:val="0099401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9940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9401B"/>
    <w:pPr>
      <w:tabs>
        <w:tab w:val="center" w:pos="4153"/>
        <w:tab w:val="right" w:pos="8306"/>
      </w:tabs>
      <w:snapToGrid w:val="0"/>
      <w:jc w:val="left"/>
    </w:pPr>
    <w:rPr>
      <w:sz w:val="18"/>
      <w:szCs w:val="18"/>
    </w:rPr>
  </w:style>
  <w:style w:type="character" w:styleId="a5">
    <w:name w:val="Hyperlink"/>
    <w:rsid w:val="0099401B"/>
    <w:rPr>
      <w:color w:val="0000FF"/>
      <w:u w:val="single"/>
    </w:rPr>
  </w:style>
  <w:style w:type="paragraph" w:styleId="a6">
    <w:name w:val="Normal (Web)"/>
    <w:basedOn w:val="a"/>
    <w:rsid w:val="008F0FA0"/>
    <w:pPr>
      <w:widowControl/>
      <w:spacing w:before="100" w:beforeAutospacing="1" w:after="100" w:afterAutospacing="1"/>
      <w:jc w:val="left"/>
    </w:pPr>
    <w:rPr>
      <w:rFonts w:ascii="宋体" w:hAnsi="宋体" w:hint="eastAsia"/>
      <w:kern w:val="0"/>
      <w:sz w:val="18"/>
      <w:szCs w:val="18"/>
    </w:rPr>
  </w:style>
  <w:style w:type="character" w:styleId="a7">
    <w:name w:val="page number"/>
    <w:basedOn w:val="a0"/>
    <w:rsid w:val="005531C5"/>
  </w:style>
  <w:style w:type="paragraph" w:styleId="2">
    <w:name w:val="Body Text Indent 2"/>
    <w:basedOn w:val="a"/>
    <w:rsid w:val="00F70FA1"/>
    <w:pPr>
      <w:spacing w:line="360" w:lineRule="auto"/>
      <w:ind w:firstLineChars="300" w:firstLine="630"/>
    </w:pPr>
    <w:rPr>
      <w:rFonts w:ascii="仿宋_GB2312" w:eastAsia="仿宋_GB2312" w:hAnsi="宋体"/>
    </w:rPr>
  </w:style>
  <w:style w:type="paragraph" w:customStyle="1" w:styleId="Char">
    <w:name w:val="Char"/>
    <w:basedOn w:val="a"/>
    <w:autoRedefine/>
    <w:rsid w:val="00251F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rsid w:val="00D02CDC"/>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rsid w:val="00BB32FF"/>
  </w:style>
  <w:style w:type="paragraph" w:customStyle="1" w:styleId="CharCharCharChar">
    <w:name w:val="Char Char Char Char"/>
    <w:basedOn w:val="a"/>
    <w:autoRedefine/>
    <w:rsid w:val="00CE66B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0">
    <w:name w:val="Char Char Char Char Char Char"/>
    <w:basedOn w:val="a"/>
    <w:rsid w:val="005D0511"/>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sid w:val="00BC25C8"/>
    <w:rPr>
      <w:b/>
      <w:bCs/>
      <w:color w:val="FFFFFF"/>
      <w:spacing w:val="28"/>
      <w:sz w:val="28"/>
      <w:szCs w:val="28"/>
      <w:u w:val="single"/>
    </w:rPr>
  </w:style>
  <w:style w:type="character" w:styleId="a8">
    <w:name w:val="Strong"/>
    <w:uiPriority w:val="22"/>
    <w:qFormat/>
    <w:rsid w:val="00082D63"/>
    <w:rPr>
      <w:b/>
      <w:bCs/>
    </w:rPr>
  </w:style>
  <w:style w:type="paragraph" w:customStyle="1" w:styleId="CharCharCharChar0">
    <w:name w:val="Char Char Char Char"/>
    <w:basedOn w:val="a"/>
    <w:rsid w:val="00E502D6"/>
    <w:pPr>
      <w:widowControl/>
      <w:spacing w:after="160" w:line="240" w:lineRule="exact"/>
      <w:jc w:val="left"/>
    </w:pPr>
    <w:rPr>
      <w:szCs w:val="20"/>
    </w:rPr>
  </w:style>
  <w:style w:type="paragraph" w:customStyle="1" w:styleId="p1">
    <w:name w:val="p1"/>
    <w:basedOn w:val="a"/>
    <w:rsid w:val="00E502D6"/>
    <w:pPr>
      <w:widowControl/>
      <w:spacing w:before="100" w:beforeAutospacing="1" w:after="100" w:afterAutospacing="1"/>
      <w:jc w:val="left"/>
    </w:pPr>
    <w:rPr>
      <w:rFonts w:ascii="宋体" w:hAnsi="宋体"/>
      <w:kern w:val="0"/>
      <w:sz w:val="24"/>
      <w:szCs w:val="20"/>
    </w:rPr>
  </w:style>
  <w:style w:type="paragraph" w:styleId="a9">
    <w:name w:val="Balloon Text"/>
    <w:basedOn w:val="a"/>
    <w:link w:val="aa"/>
    <w:rsid w:val="00577D5A"/>
    <w:rPr>
      <w:sz w:val="18"/>
      <w:szCs w:val="18"/>
    </w:rPr>
  </w:style>
  <w:style w:type="character" w:customStyle="1" w:styleId="aa">
    <w:name w:val="批注框文本 字符"/>
    <w:basedOn w:val="a0"/>
    <w:link w:val="a9"/>
    <w:rsid w:val="00577D5A"/>
    <w:rPr>
      <w:kern w:val="2"/>
      <w:sz w:val="18"/>
      <w:szCs w:val="18"/>
    </w:rPr>
  </w:style>
  <w:style w:type="paragraph" w:styleId="ab">
    <w:name w:val="List Paragraph"/>
    <w:basedOn w:val="a"/>
    <w:uiPriority w:val="34"/>
    <w:qFormat/>
    <w:rsid w:val="00647E7B"/>
    <w:pPr>
      <w:ind w:firstLineChars="200" w:firstLine="420"/>
    </w:pPr>
  </w:style>
  <w:style w:type="paragraph" w:customStyle="1" w:styleId="CharCharCharCharCharChar1">
    <w:name w:val="Char Char Char Char Char Char"/>
    <w:basedOn w:val="a"/>
    <w:autoRedefine/>
    <w:rsid w:val="00D61792"/>
    <w:pPr>
      <w:widowControl/>
      <w:spacing w:after="160" w:line="240" w:lineRule="exact"/>
      <w:jc w:val="left"/>
    </w:pPr>
    <w:rPr>
      <w:rFonts w:ascii="Verdana" w:eastAsia="仿宋_GB2312" w:hAnsi="Verdana"/>
      <w:kern w:val="0"/>
      <w:sz w:val="24"/>
      <w:szCs w:val="20"/>
      <w:lang w:eastAsia="en-US"/>
    </w:rPr>
  </w:style>
  <w:style w:type="table" w:styleId="ac">
    <w:name w:val="Table Grid"/>
    <w:basedOn w:val="a1"/>
    <w:rsid w:val="007F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basedOn w:val="a"/>
    <w:rsid w:val="00BA6B48"/>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642">
      <w:bodyDiv w:val="1"/>
      <w:marLeft w:val="0"/>
      <w:marRight w:val="0"/>
      <w:marTop w:val="0"/>
      <w:marBottom w:val="0"/>
      <w:divBdr>
        <w:top w:val="none" w:sz="0" w:space="0" w:color="auto"/>
        <w:left w:val="none" w:sz="0" w:space="0" w:color="auto"/>
        <w:bottom w:val="none" w:sz="0" w:space="0" w:color="auto"/>
        <w:right w:val="none" w:sz="0" w:space="0" w:color="auto"/>
      </w:divBdr>
    </w:div>
    <w:div w:id="110325325">
      <w:bodyDiv w:val="1"/>
      <w:marLeft w:val="0"/>
      <w:marRight w:val="0"/>
      <w:marTop w:val="0"/>
      <w:marBottom w:val="0"/>
      <w:divBdr>
        <w:top w:val="none" w:sz="0" w:space="0" w:color="auto"/>
        <w:left w:val="none" w:sz="0" w:space="0" w:color="auto"/>
        <w:bottom w:val="none" w:sz="0" w:space="0" w:color="auto"/>
        <w:right w:val="none" w:sz="0" w:space="0" w:color="auto"/>
      </w:divBdr>
    </w:div>
    <w:div w:id="166601747">
      <w:bodyDiv w:val="1"/>
      <w:marLeft w:val="0"/>
      <w:marRight w:val="0"/>
      <w:marTop w:val="0"/>
      <w:marBottom w:val="0"/>
      <w:divBdr>
        <w:top w:val="none" w:sz="0" w:space="0" w:color="auto"/>
        <w:left w:val="none" w:sz="0" w:space="0" w:color="auto"/>
        <w:bottom w:val="none" w:sz="0" w:space="0" w:color="auto"/>
        <w:right w:val="none" w:sz="0" w:space="0" w:color="auto"/>
      </w:divBdr>
    </w:div>
    <w:div w:id="196503101">
      <w:bodyDiv w:val="1"/>
      <w:marLeft w:val="0"/>
      <w:marRight w:val="0"/>
      <w:marTop w:val="0"/>
      <w:marBottom w:val="0"/>
      <w:divBdr>
        <w:top w:val="none" w:sz="0" w:space="0" w:color="auto"/>
        <w:left w:val="none" w:sz="0" w:space="0" w:color="auto"/>
        <w:bottom w:val="none" w:sz="0" w:space="0" w:color="auto"/>
        <w:right w:val="none" w:sz="0" w:space="0" w:color="auto"/>
      </w:divBdr>
    </w:div>
    <w:div w:id="211885607">
      <w:bodyDiv w:val="1"/>
      <w:marLeft w:val="0"/>
      <w:marRight w:val="0"/>
      <w:marTop w:val="0"/>
      <w:marBottom w:val="0"/>
      <w:divBdr>
        <w:top w:val="none" w:sz="0" w:space="0" w:color="auto"/>
        <w:left w:val="none" w:sz="0" w:space="0" w:color="auto"/>
        <w:bottom w:val="none" w:sz="0" w:space="0" w:color="auto"/>
        <w:right w:val="none" w:sz="0" w:space="0" w:color="auto"/>
      </w:divBdr>
    </w:div>
    <w:div w:id="421686535">
      <w:bodyDiv w:val="1"/>
      <w:marLeft w:val="0"/>
      <w:marRight w:val="0"/>
      <w:marTop w:val="0"/>
      <w:marBottom w:val="0"/>
      <w:divBdr>
        <w:top w:val="none" w:sz="0" w:space="0" w:color="auto"/>
        <w:left w:val="none" w:sz="0" w:space="0" w:color="auto"/>
        <w:bottom w:val="none" w:sz="0" w:space="0" w:color="auto"/>
        <w:right w:val="none" w:sz="0" w:space="0" w:color="auto"/>
      </w:divBdr>
    </w:div>
    <w:div w:id="511534187">
      <w:bodyDiv w:val="1"/>
      <w:marLeft w:val="0"/>
      <w:marRight w:val="0"/>
      <w:marTop w:val="0"/>
      <w:marBottom w:val="0"/>
      <w:divBdr>
        <w:top w:val="none" w:sz="0" w:space="0" w:color="auto"/>
        <w:left w:val="none" w:sz="0" w:space="0" w:color="auto"/>
        <w:bottom w:val="none" w:sz="0" w:space="0" w:color="auto"/>
        <w:right w:val="none" w:sz="0" w:space="0" w:color="auto"/>
      </w:divBdr>
    </w:div>
    <w:div w:id="567230377">
      <w:bodyDiv w:val="1"/>
      <w:marLeft w:val="0"/>
      <w:marRight w:val="0"/>
      <w:marTop w:val="0"/>
      <w:marBottom w:val="0"/>
      <w:divBdr>
        <w:top w:val="none" w:sz="0" w:space="0" w:color="auto"/>
        <w:left w:val="none" w:sz="0" w:space="0" w:color="auto"/>
        <w:bottom w:val="none" w:sz="0" w:space="0" w:color="auto"/>
        <w:right w:val="none" w:sz="0" w:space="0" w:color="auto"/>
      </w:divBdr>
    </w:div>
    <w:div w:id="598561270">
      <w:bodyDiv w:val="1"/>
      <w:marLeft w:val="0"/>
      <w:marRight w:val="0"/>
      <w:marTop w:val="0"/>
      <w:marBottom w:val="0"/>
      <w:divBdr>
        <w:top w:val="none" w:sz="0" w:space="0" w:color="auto"/>
        <w:left w:val="none" w:sz="0" w:space="0" w:color="auto"/>
        <w:bottom w:val="none" w:sz="0" w:space="0" w:color="auto"/>
        <w:right w:val="none" w:sz="0" w:space="0" w:color="auto"/>
      </w:divBdr>
    </w:div>
    <w:div w:id="607543847">
      <w:bodyDiv w:val="1"/>
      <w:marLeft w:val="0"/>
      <w:marRight w:val="0"/>
      <w:marTop w:val="0"/>
      <w:marBottom w:val="0"/>
      <w:divBdr>
        <w:top w:val="none" w:sz="0" w:space="0" w:color="auto"/>
        <w:left w:val="none" w:sz="0" w:space="0" w:color="auto"/>
        <w:bottom w:val="none" w:sz="0" w:space="0" w:color="auto"/>
        <w:right w:val="none" w:sz="0" w:space="0" w:color="auto"/>
      </w:divBdr>
    </w:div>
    <w:div w:id="686248419">
      <w:bodyDiv w:val="1"/>
      <w:marLeft w:val="0"/>
      <w:marRight w:val="0"/>
      <w:marTop w:val="0"/>
      <w:marBottom w:val="0"/>
      <w:divBdr>
        <w:top w:val="none" w:sz="0" w:space="0" w:color="auto"/>
        <w:left w:val="none" w:sz="0" w:space="0" w:color="auto"/>
        <w:bottom w:val="none" w:sz="0" w:space="0" w:color="auto"/>
        <w:right w:val="none" w:sz="0" w:space="0" w:color="auto"/>
      </w:divBdr>
    </w:div>
    <w:div w:id="727608289">
      <w:bodyDiv w:val="1"/>
      <w:marLeft w:val="0"/>
      <w:marRight w:val="0"/>
      <w:marTop w:val="0"/>
      <w:marBottom w:val="0"/>
      <w:divBdr>
        <w:top w:val="none" w:sz="0" w:space="0" w:color="auto"/>
        <w:left w:val="none" w:sz="0" w:space="0" w:color="auto"/>
        <w:bottom w:val="none" w:sz="0" w:space="0" w:color="auto"/>
        <w:right w:val="none" w:sz="0" w:space="0" w:color="auto"/>
      </w:divBdr>
    </w:div>
    <w:div w:id="742878169">
      <w:bodyDiv w:val="1"/>
      <w:marLeft w:val="0"/>
      <w:marRight w:val="0"/>
      <w:marTop w:val="0"/>
      <w:marBottom w:val="0"/>
      <w:divBdr>
        <w:top w:val="none" w:sz="0" w:space="0" w:color="auto"/>
        <w:left w:val="none" w:sz="0" w:space="0" w:color="auto"/>
        <w:bottom w:val="none" w:sz="0" w:space="0" w:color="auto"/>
        <w:right w:val="none" w:sz="0" w:space="0" w:color="auto"/>
      </w:divBdr>
    </w:div>
    <w:div w:id="821043059">
      <w:bodyDiv w:val="1"/>
      <w:marLeft w:val="0"/>
      <w:marRight w:val="0"/>
      <w:marTop w:val="0"/>
      <w:marBottom w:val="0"/>
      <w:divBdr>
        <w:top w:val="none" w:sz="0" w:space="0" w:color="auto"/>
        <w:left w:val="none" w:sz="0" w:space="0" w:color="auto"/>
        <w:bottom w:val="none" w:sz="0" w:space="0" w:color="auto"/>
        <w:right w:val="none" w:sz="0" w:space="0" w:color="auto"/>
      </w:divBdr>
    </w:div>
    <w:div w:id="1139953500">
      <w:bodyDiv w:val="1"/>
      <w:marLeft w:val="0"/>
      <w:marRight w:val="0"/>
      <w:marTop w:val="0"/>
      <w:marBottom w:val="0"/>
      <w:divBdr>
        <w:top w:val="none" w:sz="0" w:space="0" w:color="auto"/>
        <w:left w:val="none" w:sz="0" w:space="0" w:color="auto"/>
        <w:bottom w:val="none" w:sz="0" w:space="0" w:color="auto"/>
        <w:right w:val="none" w:sz="0" w:space="0" w:color="auto"/>
      </w:divBdr>
    </w:div>
    <w:div w:id="1177765808">
      <w:bodyDiv w:val="1"/>
      <w:marLeft w:val="0"/>
      <w:marRight w:val="0"/>
      <w:marTop w:val="0"/>
      <w:marBottom w:val="0"/>
      <w:divBdr>
        <w:top w:val="none" w:sz="0" w:space="0" w:color="auto"/>
        <w:left w:val="none" w:sz="0" w:space="0" w:color="auto"/>
        <w:bottom w:val="none" w:sz="0" w:space="0" w:color="auto"/>
        <w:right w:val="none" w:sz="0" w:space="0" w:color="auto"/>
      </w:divBdr>
    </w:div>
    <w:div w:id="1183087919">
      <w:bodyDiv w:val="1"/>
      <w:marLeft w:val="0"/>
      <w:marRight w:val="0"/>
      <w:marTop w:val="0"/>
      <w:marBottom w:val="0"/>
      <w:divBdr>
        <w:top w:val="none" w:sz="0" w:space="0" w:color="auto"/>
        <w:left w:val="none" w:sz="0" w:space="0" w:color="auto"/>
        <w:bottom w:val="none" w:sz="0" w:space="0" w:color="auto"/>
        <w:right w:val="none" w:sz="0" w:space="0" w:color="auto"/>
      </w:divBdr>
    </w:div>
    <w:div w:id="1185244521">
      <w:bodyDiv w:val="1"/>
      <w:marLeft w:val="0"/>
      <w:marRight w:val="0"/>
      <w:marTop w:val="0"/>
      <w:marBottom w:val="0"/>
      <w:divBdr>
        <w:top w:val="none" w:sz="0" w:space="0" w:color="auto"/>
        <w:left w:val="none" w:sz="0" w:space="0" w:color="auto"/>
        <w:bottom w:val="none" w:sz="0" w:space="0" w:color="auto"/>
        <w:right w:val="none" w:sz="0" w:space="0" w:color="auto"/>
      </w:divBdr>
    </w:div>
    <w:div w:id="1277835495">
      <w:bodyDiv w:val="1"/>
      <w:marLeft w:val="0"/>
      <w:marRight w:val="0"/>
      <w:marTop w:val="0"/>
      <w:marBottom w:val="0"/>
      <w:divBdr>
        <w:top w:val="none" w:sz="0" w:space="0" w:color="auto"/>
        <w:left w:val="none" w:sz="0" w:space="0" w:color="auto"/>
        <w:bottom w:val="none" w:sz="0" w:space="0" w:color="auto"/>
        <w:right w:val="none" w:sz="0" w:space="0" w:color="auto"/>
      </w:divBdr>
    </w:div>
    <w:div w:id="1357777131">
      <w:bodyDiv w:val="1"/>
      <w:marLeft w:val="0"/>
      <w:marRight w:val="0"/>
      <w:marTop w:val="0"/>
      <w:marBottom w:val="0"/>
      <w:divBdr>
        <w:top w:val="none" w:sz="0" w:space="0" w:color="auto"/>
        <w:left w:val="none" w:sz="0" w:space="0" w:color="auto"/>
        <w:bottom w:val="none" w:sz="0" w:space="0" w:color="auto"/>
        <w:right w:val="none" w:sz="0" w:space="0" w:color="auto"/>
      </w:divBdr>
    </w:div>
    <w:div w:id="1509371967">
      <w:bodyDiv w:val="1"/>
      <w:marLeft w:val="0"/>
      <w:marRight w:val="0"/>
      <w:marTop w:val="0"/>
      <w:marBottom w:val="0"/>
      <w:divBdr>
        <w:top w:val="none" w:sz="0" w:space="0" w:color="auto"/>
        <w:left w:val="none" w:sz="0" w:space="0" w:color="auto"/>
        <w:bottom w:val="none" w:sz="0" w:space="0" w:color="auto"/>
        <w:right w:val="none" w:sz="0" w:space="0" w:color="auto"/>
      </w:divBdr>
    </w:div>
    <w:div w:id="1734086559">
      <w:bodyDiv w:val="1"/>
      <w:marLeft w:val="0"/>
      <w:marRight w:val="0"/>
      <w:marTop w:val="0"/>
      <w:marBottom w:val="0"/>
      <w:divBdr>
        <w:top w:val="none" w:sz="0" w:space="0" w:color="auto"/>
        <w:left w:val="none" w:sz="0" w:space="0" w:color="auto"/>
        <w:bottom w:val="none" w:sz="0" w:space="0" w:color="auto"/>
        <w:right w:val="none" w:sz="0" w:space="0" w:color="auto"/>
      </w:divBdr>
    </w:div>
    <w:div w:id="1749884630">
      <w:bodyDiv w:val="1"/>
      <w:marLeft w:val="0"/>
      <w:marRight w:val="0"/>
      <w:marTop w:val="0"/>
      <w:marBottom w:val="0"/>
      <w:divBdr>
        <w:top w:val="none" w:sz="0" w:space="0" w:color="auto"/>
        <w:left w:val="none" w:sz="0" w:space="0" w:color="auto"/>
        <w:bottom w:val="none" w:sz="0" w:space="0" w:color="auto"/>
        <w:right w:val="none" w:sz="0" w:space="0" w:color="auto"/>
      </w:divBdr>
    </w:div>
    <w:div w:id="1909653655">
      <w:bodyDiv w:val="1"/>
      <w:marLeft w:val="0"/>
      <w:marRight w:val="0"/>
      <w:marTop w:val="0"/>
      <w:marBottom w:val="0"/>
      <w:divBdr>
        <w:top w:val="none" w:sz="0" w:space="0" w:color="auto"/>
        <w:left w:val="none" w:sz="0" w:space="0" w:color="auto"/>
        <w:bottom w:val="none" w:sz="0" w:space="0" w:color="auto"/>
        <w:right w:val="none" w:sz="0" w:space="0" w:color="auto"/>
      </w:divBdr>
    </w:div>
    <w:div w:id="1948460598">
      <w:bodyDiv w:val="1"/>
      <w:marLeft w:val="0"/>
      <w:marRight w:val="0"/>
      <w:marTop w:val="0"/>
      <w:marBottom w:val="0"/>
      <w:divBdr>
        <w:top w:val="none" w:sz="0" w:space="0" w:color="auto"/>
        <w:left w:val="none" w:sz="0" w:space="0" w:color="auto"/>
        <w:bottom w:val="none" w:sz="0" w:space="0" w:color="auto"/>
        <w:right w:val="none" w:sz="0" w:space="0" w:color="auto"/>
      </w:divBdr>
    </w:div>
    <w:div w:id="2012490055">
      <w:bodyDiv w:val="1"/>
      <w:marLeft w:val="0"/>
      <w:marRight w:val="0"/>
      <w:marTop w:val="0"/>
      <w:marBottom w:val="0"/>
      <w:divBdr>
        <w:top w:val="none" w:sz="0" w:space="0" w:color="auto"/>
        <w:left w:val="none" w:sz="0" w:space="0" w:color="auto"/>
        <w:bottom w:val="none" w:sz="0" w:space="0" w:color="auto"/>
        <w:right w:val="none" w:sz="0" w:space="0" w:color="auto"/>
      </w:divBdr>
    </w:div>
    <w:div w:id="20736516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F715-DB35-49CA-BD01-6925114E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subject/>
  <dc:creator>帕迪咨询</dc:creator>
  <cp:keywords/>
  <dc:description/>
  <cp:lastModifiedBy>pardi</cp:lastModifiedBy>
  <cp:revision>178</cp:revision>
  <cp:lastPrinted>2007-07-25T08:25:00Z</cp:lastPrinted>
  <dcterms:created xsi:type="dcterms:W3CDTF">2014-12-01T08:48:00Z</dcterms:created>
  <dcterms:modified xsi:type="dcterms:W3CDTF">2018-11-16T02:59:00Z</dcterms:modified>
</cp:coreProperties>
</file>