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150" w:afterLines="150"/>
        <w:ind w:firstLine="1260" w:firstLineChars="600"/>
        <w:jc w:val="center"/>
        <w:rPr>
          <w:rFonts w:ascii="微软雅黑" w:hAnsi="微软雅黑" w:eastAsia="微软雅黑"/>
          <w:b/>
          <w:color w:val="FF0000"/>
          <w:sz w:val="32"/>
          <w:szCs w:val="32"/>
        </w:rPr>
      </w:pPr>
      <w:r>
        <w:rPr>
          <w:color w:val="FF0000"/>
        </w:rPr>
        <w:pict>
          <v:shape id="文本框 2" o:spid="_x0000_s1029" o:spt="202" type="#_x0000_t202" style="position:absolute;left:0pt;margin-left:69.85pt;margin-top:0.75pt;height:115.95pt;width:105.95pt;mso-wrap-style:none;z-index:251660288;mso-width-relative:margin;mso-height-relative:margin;mso-width-percent:400;mso-height-percent:200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r>
                    <w:drawing>
                      <wp:inline distT="0" distB="0" distL="0" distR="0">
                        <wp:extent cx="904875" cy="904875"/>
                        <wp:effectExtent l="19050" t="0" r="9525" b="0"/>
                        <wp:docPr id="1" name="图片 1" descr="OKRsWorkshop_th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OKRsWorkshop_th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hint="eastAsia" w:ascii="微软雅黑" w:hAnsi="微软雅黑" w:eastAsia="微软雅黑"/>
          <w:b/>
          <w:color w:val="FF0000"/>
          <w:sz w:val="52"/>
          <w:szCs w:val="52"/>
        </w:rPr>
        <w:t>关键目标管理</w:t>
      </w:r>
    </w:p>
    <w:p>
      <w:pPr>
        <w:ind w:right="160"/>
        <w:jc w:val="right"/>
        <w:rPr>
          <w:rFonts w:ascii="微软雅黑" w:hAnsi="微软雅黑" w:eastAsia="微软雅黑"/>
          <w:b/>
          <w:color w:val="00B050"/>
          <w:sz w:val="32"/>
          <w:szCs w:val="28"/>
        </w:rPr>
      </w:pPr>
      <w:r>
        <w:rPr>
          <w:rFonts w:hint="eastAsia" w:ascii="微软雅黑" w:hAnsi="微软雅黑" w:eastAsia="微软雅黑"/>
          <w:b/>
          <w:color w:val="00B050"/>
          <w:sz w:val="32"/>
          <w:szCs w:val="28"/>
        </w:rPr>
        <w:t>－团队百分百执行</w:t>
      </w:r>
    </w:p>
    <w:p>
      <w:pPr>
        <w:tabs>
          <w:tab w:val="left" w:pos="3075"/>
        </w:tabs>
        <w:spacing w:beforeLines="50" w:afterLines="50" w:line="400" w:lineRule="exact"/>
        <w:jc w:val="left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仿宋"/>
          <w:b/>
          <w:color w:val="000000"/>
          <w:kern w:val="0"/>
          <w:szCs w:val="21"/>
        </w:rPr>
        <w:t>主办单位：</w:t>
      </w: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>企赢（深圳）企业管理咨询有限责任公司</w:t>
      </w:r>
    </w:p>
    <w:p>
      <w:pPr>
        <w:tabs>
          <w:tab w:val="left" w:pos="3075"/>
        </w:tabs>
        <w:spacing w:beforeLines="50" w:afterLines="50" w:line="400" w:lineRule="exact"/>
        <w:jc w:val="left"/>
        <w:rPr>
          <w:rFonts w:ascii="微软雅黑" w:hAnsi="微软雅黑" w:eastAsia="微软雅黑" w:cs="仿宋"/>
          <w:color w:val="000000"/>
          <w:kern w:val="0"/>
          <w:szCs w:val="21"/>
        </w:rPr>
      </w:pPr>
      <w:r>
        <w:rPr>
          <w:rFonts w:hint="eastAsia" w:ascii="微软雅黑" w:hAnsi="微软雅黑" w:eastAsia="微软雅黑" w:cs="仿宋"/>
          <w:b/>
          <w:color w:val="000000"/>
          <w:kern w:val="0"/>
          <w:szCs w:val="21"/>
        </w:rPr>
        <w:t>培训时间</w:t>
      </w: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>：上海2020年04月10-11日  07月3-4日  10月9日-10日</w:t>
      </w:r>
    </w:p>
    <w:p>
      <w:pPr>
        <w:tabs>
          <w:tab w:val="left" w:pos="3075"/>
        </w:tabs>
        <w:spacing w:beforeLines="50" w:afterLines="50" w:line="400" w:lineRule="exact"/>
        <w:jc w:val="left"/>
        <w:rPr>
          <w:rFonts w:ascii="微软雅黑" w:hAnsi="微软雅黑" w:eastAsia="微软雅黑" w:cs="仿宋"/>
          <w:color w:val="000000"/>
          <w:kern w:val="0"/>
          <w:szCs w:val="21"/>
        </w:rPr>
      </w:pP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 xml:space="preserve">          深圳2020年02月14-15日  05月15-16日  08月7-8日  11月13-14日</w:t>
      </w:r>
    </w:p>
    <w:p>
      <w:pPr>
        <w:tabs>
          <w:tab w:val="left" w:pos="3075"/>
        </w:tabs>
        <w:spacing w:beforeLines="50" w:afterLines="50" w:line="400" w:lineRule="exact"/>
        <w:jc w:val="left"/>
        <w:rPr>
          <w:rFonts w:ascii="微软雅黑" w:hAnsi="微软雅黑" w:eastAsia="微软雅黑" w:cs="仿宋"/>
          <w:color w:val="000000"/>
          <w:kern w:val="0"/>
          <w:szCs w:val="21"/>
        </w:rPr>
      </w:pPr>
      <w:r>
        <w:rPr>
          <w:rFonts w:hint="eastAsia" w:ascii="微软雅黑" w:hAnsi="微软雅黑" w:eastAsia="微软雅黑" w:cs="仿宋"/>
          <w:b/>
          <w:color w:val="000000"/>
          <w:kern w:val="0"/>
          <w:szCs w:val="21"/>
        </w:rPr>
        <w:t>培训费用</w:t>
      </w: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>：4200元/人（含课酬费、资料费、茶歇、税费等）</w:t>
      </w:r>
    </w:p>
    <w:p>
      <w:pPr>
        <w:tabs>
          <w:tab w:val="left" w:pos="3075"/>
        </w:tabs>
        <w:spacing w:beforeLines="50" w:afterLines="50" w:line="400" w:lineRule="exact"/>
        <w:jc w:val="left"/>
        <w:rPr>
          <w:rFonts w:ascii="微软雅黑" w:hAnsi="微软雅黑" w:eastAsia="微软雅黑" w:cs="仿宋"/>
          <w:color w:val="000000"/>
          <w:kern w:val="0"/>
          <w:szCs w:val="21"/>
        </w:rPr>
      </w:pPr>
      <w:r>
        <w:rPr>
          <w:rFonts w:hint="eastAsia" w:ascii="微软雅黑" w:hAnsi="微软雅黑" w:eastAsia="微软雅黑" w:cs="仿宋"/>
          <w:b/>
          <w:color w:val="000000"/>
          <w:kern w:val="0"/>
          <w:szCs w:val="21"/>
        </w:rPr>
        <w:t>培训对象</w:t>
      </w: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>：高管、总监、</w:t>
      </w:r>
      <w:r>
        <w:rPr>
          <w:rFonts w:ascii="微软雅黑" w:hAnsi="微软雅黑" w:eastAsia="微软雅黑" w:cs="仿宋"/>
          <w:color w:val="000000"/>
          <w:kern w:val="0"/>
          <w:szCs w:val="21"/>
        </w:rPr>
        <w:t>HR</w:t>
      </w: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>经理、HRBP、各级主管及经理，不限行业</w:t>
      </w:r>
    </w:p>
    <w:p>
      <w:pPr>
        <w:tabs>
          <w:tab w:val="left" w:pos="3075"/>
        </w:tabs>
        <w:spacing w:beforeLines="50" w:afterLines="50" w:line="400" w:lineRule="exact"/>
        <w:jc w:val="left"/>
        <w:rPr>
          <w:rFonts w:ascii="微软雅黑" w:hAnsi="微软雅黑" w:eastAsia="微软雅黑" w:cs="仿宋"/>
          <w:color w:val="000000"/>
          <w:kern w:val="0"/>
          <w:szCs w:val="21"/>
        </w:rPr>
      </w:pPr>
      <w:r>
        <w:rPr>
          <w:rFonts w:hint="eastAsia" w:ascii="微软雅黑" w:hAnsi="微软雅黑" w:eastAsia="微软雅黑" w:cs="仿宋"/>
          <w:b/>
          <w:color w:val="000000"/>
          <w:kern w:val="0"/>
          <w:szCs w:val="21"/>
        </w:rPr>
        <w:t>咨询电话</w:t>
      </w:r>
      <w:r>
        <w:rPr>
          <w:rFonts w:hint="eastAsia" w:ascii="微软雅黑" w:hAnsi="微软雅黑" w:eastAsia="微软雅黑" w:cs="仿宋"/>
          <w:color w:val="000000"/>
          <w:kern w:val="0"/>
          <w:szCs w:val="21"/>
        </w:rPr>
        <w:t>： 400-7788-525    18820199517彭老师</w:t>
      </w:r>
    </w:p>
    <w:p>
      <w:pPr>
        <w:spacing w:before="50" w:after="50" w:line="400" w:lineRule="exact"/>
        <w:rPr>
          <w:rFonts w:ascii="微软雅黑" w:hAnsi="微软雅黑" w:eastAsia="微软雅黑"/>
          <w:color w:val="000000"/>
          <w:szCs w:val="21"/>
        </w:rPr>
      </w:pPr>
    </w:p>
    <w:p>
      <w:pPr>
        <w:shd w:val="clear" w:color="auto" w:fill="E6E6E6"/>
        <w:adjustRightInd w:val="0"/>
        <w:spacing w:line="360" w:lineRule="auto"/>
        <w:textAlignment w:val="baseline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【课程目的】</w:t>
      </w:r>
    </w:p>
    <w:p>
      <w:pPr>
        <w:widowControl/>
        <w:spacing w:after="240"/>
        <w:ind w:firstLine="420"/>
        <w:rPr>
          <w:rFonts w:ascii="微软雅黑" w:hAnsi="微软雅黑" w:eastAsia="微软雅黑" w:cs="Helvetica"/>
          <w:color w:val="000000"/>
          <w:kern w:val="0"/>
        </w:rPr>
      </w:pPr>
      <w:r>
        <w:rPr>
          <w:rFonts w:hint="eastAsia" w:ascii="微软雅黑" w:hAnsi="微软雅黑" w:eastAsia="微软雅黑" w:cs="Helvetica"/>
        </w:rPr>
        <w:t>帮助领导者学习和认知</w:t>
      </w:r>
      <w:r>
        <w:rPr>
          <w:rFonts w:ascii="微软雅黑" w:hAnsi="微软雅黑" w:eastAsia="微软雅黑" w:cs="Helvetica"/>
          <w:color w:val="000000"/>
          <w:kern w:val="0"/>
        </w:rPr>
        <w:t>OKR是一个企业战略-目标-任务体系，帮助企业从战略目标出发，识别和落实关键任务的方法。OKR的重要价值是让尽量多的员工理解公司的战略和目标，以及针对这个目标分析出有哪些拦路虎（关键任务）存在。OKR</w:t>
      </w:r>
      <w:r>
        <w:rPr>
          <w:rFonts w:hint="eastAsia" w:ascii="微软雅黑" w:hAnsi="微软雅黑" w:eastAsia="微软雅黑" w:cs="Helvetica"/>
          <w:color w:val="000000"/>
          <w:kern w:val="0"/>
        </w:rPr>
        <w:t>以其</w:t>
      </w:r>
      <w:r>
        <w:rPr>
          <w:rFonts w:ascii="微软雅黑" w:hAnsi="微软雅黑" w:eastAsia="微软雅黑" w:cs="Helvetica"/>
          <w:color w:val="000000"/>
          <w:kern w:val="0"/>
        </w:rPr>
        <w:t>简单直接清晰地明确目标和项目推进的行动</w:t>
      </w:r>
      <w:r>
        <w:rPr>
          <w:rFonts w:hint="eastAsia" w:ascii="微软雅黑" w:hAnsi="微软雅黑" w:eastAsia="微软雅黑" w:cs="Helvetica"/>
          <w:color w:val="000000"/>
          <w:kern w:val="0"/>
        </w:rPr>
        <w:t>，消除无效工作与减少沟通成本，彻底提高企业执行力。</w:t>
      </w:r>
      <w:r>
        <w:rPr>
          <w:rFonts w:hint="eastAsia" w:ascii="微软雅黑" w:hAnsi="微软雅黑" w:eastAsia="微软雅黑" w:cs="Helvetica"/>
        </w:rPr>
        <w:t>创建OKR工作坊，可以帮助企业推动实施OKR管理系统，大大提高企业目标达成率与员工的向心力。</w:t>
      </w:r>
      <w:r>
        <w:rPr>
          <w:rFonts w:hint="eastAsia" w:ascii="微软雅黑" w:hAnsi="微软雅黑" w:eastAsia="微软雅黑" w:cs="Helvetica"/>
          <w:color w:val="000000"/>
          <w:kern w:val="0"/>
        </w:rPr>
        <w:t>国内实施OKR的优秀企业如：</w:t>
      </w:r>
      <w:r>
        <w:rPr>
          <w:rFonts w:ascii="微软雅黑" w:hAnsi="微软雅黑" w:eastAsia="微软雅黑" w:cs="Helvetica"/>
          <w:color w:val="000000"/>
          <w:kern w:val="0"/>
        </w:rPr>
        <w:t>小米KPI+OKR的模式，前期也都是OKR模式及结果导向制度；阿里巴巴 KPI考核：50%业绩+50%价值观，前者是你的工作结果，后者是你工作的态度。同样也是KPI+OKR。企业不仅需要KPI，更需要OKR，OKR强调战略目标和过程重要性与KPI是战术，两者的成功结合，才能造就一流的企业！</w:t>
      </w:r>
    </w:p>
    <w:p>
      <w:pPr>
        <w:widowControl/>
        <w:spacing w:after="240"/>
        <w:ind w:firstLine="420"/>
        <w:rPr>
          <w:rFonts w:ascii="微软雅黑" w:hAnsi="微软雅黑" w:eastAsia="微软雅黑" w:cs="Helvetica"/>
          <w:color w:val="000000"/>
          <w:kern w:val="0"/>
        </w:rPr>
      </w:pPr>
    </w:p>
    <w:p>
      <w:pPr>
        <w:shd w:val="clear" w:color="auto" w:fill="E6E6E6"/>
        <w:adjustRightInd w:val="0"/>
        <w:spacing w:line="360" w:lineRule="auto"/>
        <w:textAlignment w:val="baseline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【OKR 实施标杆企业】</w:t>
      </w:r>
    </w:p>
    <w:p>
      <w:pPr>
        <w:shd w:val="clear" w:color="auto" w:fill="E6E6E6"/>
        <w:adjustRightInd w:val="0"/>
        <w:spacing w:line="360" w:lineRule="auto"/>
        <w:textAlignment w:val="baseline"/>
        <w:rPr>
          <w:rFonts w:ascii="微软雅黑" w:hAnsi="微软雅黑" w:eastAsia="微软雅黑" w:cs="Helvetica"/>
          <w:color w:val="000000"/>
          <w:kern w:val="0"/>
        </w:rPr>
      </w:pPr>
      <w:r>
        <w:rPr>
          <w:rFonts w:hint="eastAsia" w:ascii="微软雅黑" w:hAnsi="微软雅黑" w:eastAsia="微软雅黑" w:cs="Helvetica"/>
          <w:color w:val="000000"/>
          <w:kern w:val="0"/>
        </w:rPr>
        <w:t>谷歌、英特尔、亚马逊、领英</w:t>
      </w:r>
    </w:p>
    <w:p>
      <w:pPr>
        <w:widowControl/>
        <w:spacing w:after="240"/>
        <w:ind w:firstLine="420"/>
        <w:rPr>
          <w:rFonts w:ascii="微软雅黑" w:hAnsi="微软雅黑" w:eastAsia="微软雅黑" w:cs="Helvetica"/>
          <w:color w:val="000000"/>
          <w:kern w:val="0"/>
        </w:rPr>
      </w:pPr>
      <w:r>
        <w:rPr>
          <w:rFonts w:ascii="微软雅黑" w:hAnsi="微软雅黑" w:eastAsia="微软雅黑" w:cs="Helvetica"/>
          <w:color w:val="000000"/>
          <w:kern w:val="0"/>
        </w:rPr>
        <w:drawing>
          <wp:inline distT="0" distB="0" distL="0" distR="0">
            <wp:extent cx="2876550" cy="2819400"/>
            <wp:effectExtent l="19050" t="0" r="0" b="0"/>
            <wp:docPr id="6" name="图片 6" descr="C:\Users\ADMINI~1\AppData\Local\Temp\15737912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1573791211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E6E6E6"/>
        <w:adjustRightInd w:val="0"/>
        <w:spacing w:line="360" w:lineRule="auto"/>
        <w:textAlignment w:val="baseline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【授课形式】</w:t>
      </w:r>
    </w:p>
    <w:p>
      <w:pPr>
        <w:widowControl/>
        <w:spacing w:line="240" w:lineRule="atLeast"/>
        <w:rPr>
          <w:rFonts w:ascii="微软雅黑" w:hAnsi="微软雅黑" w:eastAsia="微软雅黑" w:cs="宋体"/>
          <w:color w:val="000000"/>
          <w:szCs w:val="21"/>
        </w:rPr>
      </w:pPr>
      <w:r>
        <w:rPr>
          <w:rFonts w:hint="eastAsia" w:ascii="微软雅黑" w:hAnsi="微软雅黑" w:eastAsia="微软雅黑" w:cs="Helvetica"/>
          <w:color w:val="000000"/>
          <w:kern w:val="0"/>
        </w:rPr>
        <w:t>视频教学、研讨互动、引导式授课、实际体验</w:t>
      </w:r>
    </w:p>
    <w:p>
      <w:pPr>
        <w:spacing w:line="360" w:lineRule="auto"/>
        <w:rPr>
          <w:rFonts w:ascii="微软雅黑" w:hAnsi="微软雅黑" w:eastAsia="微软雅黑" w:cs="宋体"/>
          <w:color w:val="000000"/>
          <w:szCs w:val="21"/>
        </w:rPr>
      </w:pPr>
    </w:p>
    <w:p>
      <w:pPr>
        <w:shd w:val="clear" w:color="auto" w:fill="E6E6E6"/>
        <w:adjustRightInd w:val="0"/>
        <w:spacing w:line="360" w:lineRule="auto"/>
        <w:textAlignment w:val="baseline"/>
        <w:rPr>
          <w:rFonts w:ascii="微软雅黑" w:hAnsi="微软雅黑" w:eastAsia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【课程大纲】</w:t>
      </w:r>
    </w:p>
    <w:tbl>
      <w:tblPr>
        <w:tblStyle w:val="9"/>
        <w:tblW w:w="9529" w:type="dxa"/>
        <w:jc w:val="center"/>
        <w:tblBorders>
          <w:top w:val="single" w:color="808080" w:sz="18" w:space="0"/>
          <w:left w:val="single" w:color="808080" w:sz="18" w:space="0"/>
          <w:bottom w:val="single" w:color="808080" w:sz="18" w:space="0"/>
          <w:right w:val="single" w:color="808080" w:sz="18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4"/>
        <w:gridCol w:w="6705"/>
      </w:tblGrid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824" w:type="dxa"/>
            <w:tcBorders>
              <w:top w:val="single" w:color="808080" w:sz="18" w:space="0"/>
            </w:tcBorders>
            <w:shd w:val="clear" w:color="auto" w:fill="F2F2F2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课程议题（一级目录）</w:t>
            </w:r>
          </w:p>
        </w:tc>
        <w:tc>
          <w:tcPr>
            <w:tcW w:w="6705" w:type="dxa"/>
            <w:tcBorders>
              <w:top w:val="single" w:color="808080" w:sz="18" w:space="0"/>
            </w:tcBorders>
            <w:shd w:val="clear" w:color="auto" w:fill="F2F2F2"/>
            <w:vAlign w:val="center"/>
          </w:tcPr>
          <w:p>
            <w:pPr>
              <w:pStyle w:val="22"/>
              <w:spacing w:line="240" w:lineRule="auto"/>
              <w:jc w:val="center"/>
              <w:rPr>
                <w:rFonts w:ascii="微软雅黑" w:hAnsi="微软雅黑" w:eastAsia="微软雅黑" w:cs="微软雅黑"/>
                <w:b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lang w:eastAsia="zh-CN"/>
              </w:rPr>
              <w:t>课程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</w:rPr>
              <w:t>内容（二级目录）</w:t>
            </w:r>
          </w:p>
        </w:tc>
      </w:tr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824" w:type="dxa"/>
            <w:vAlign w:val="center"/>
          </w:tcPr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</w:rPr>
              <w:t>第一部分</w:t>
            </w:r>
          </w:p>
          <w:p>
            <w:pPr>
              <w:spacing w:line="288" w:lineRule="auto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战略目标的捕捉</w:t>
            </w:r>
          </w:p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5"/>
                <w:lang w:eastAsia="zh-CN"/>
              </w:rPr>
              <w:t>Capture Strategic Priorities</w:t>
            </w:r>
          </w:p>
        </w:tc>
        <w:tc>
          <w:tcPr>
            <w:tcW w:w="6705" w:type="dxa"/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  <w:sz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缺乏清晰的视野而导致战略错误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组织战略的捕捉-整体/部门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战略地图-仪表板布局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捕获战略目标-</w:t>
            </w:r>
            <w:r>
              <w:rPr>
                <w:rFonts w:ascii="微软雅黑" w:hAnsi="微软雅黑" w:eastAsia="微软雅黑" w:cs="微软雅黑"/>
                <w:color w:val="000000"/>
                <w:lang w:eastAsia="zh-CN"/>
              </w:rPr>
              <w:t>定位目标如何集成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  <w:t>OKR定义及应用模型-摩托罗拉公司OKR战略目标</w:t>
            </w:r>
          </w:p>
        </w:tc>
      </w:tr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24" w:type="dxa"/>
            <w:vAlign w:val="center"/>
          </w:tcPr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</w:rPr>
              <w:t>第二部分</w:t>
            </w:r>
          </w:p>
          <w:p>
            <w:pPr>
              <w:spacing w:line="288" w:lineRule="auto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流程与项目的关联</w:t>
            </w:r>
          </w:p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5"/>
                <w:lang w:eastAsia="zh-CN"/>
              </w:rPr>
              <w:t>Access Process &amp; Project Linkage</w:t>
            </w:r>
          </w:p>
        </w:tc>
        <w:tc>
          <w:tcPr>
            <w:tcW w:w="6705" w:type="dxa"/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深入研究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优先</w:t>
            </w: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战略目标清单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eastAsia="zh-CN"/>
              </w:rPr>
              <w:t>战略目标与核心流程的相关性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建立目标与流程关联的逻辑关系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跨职能团队评估-OKR关键战略的交叉关系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OKR思维导图的应用-</w:t>
            </w:r>
          </w:p>
        </w:tc>
      </w:tr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24" w:type="dxa"/>
            <w:tcBorders>
              <w:bottom w:val="single" w:color="808080" w:sz="18" w:space="0"/>
            </w:tcBorders>
            <w:vAlign w:val="center"/>
          </w:tcPr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</w:rPr>
              <w:t>第三部分</w:t>
            </w:r>
          </w:p>
          <w:p>
            <w:pPr>
              <w:spacing w:line="288" w:lineRule="auto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设定目标&amp;关键结果</w:t>
            </w:r>
          </w:p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5"/>
                <w:lang w:eastAsia="zh-CN"/>
              </w:rPr>
              <w:t>Set Objectives &amp; Key Results</w:t>
            </w:r>
          </w:p>
        </w:tc>
        <w:tc>
          <w:tcPr>
            <w:tcW w:w="6705" w:type="dxa"/>
            <w:tcBorders>
              <w:bottom w:val="single" w:color="808080" w:sz="18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设定高级目标和关键结果－高层领导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  <w:szCs w:val="24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分解目标与关键结果-</w:t>
            </w:r>
            <w:r>
              <w:rPr>
                <w:rFonts w:hint="eastAsia" w:ascii="微软雅黑" w:hAnsi="微软雅黑" w:eastAsia="微软雅黑" w:cs="微软雅黑"/>
                <w:color w:val="000000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Cs w:val="24"/>
                <w:lang w:eastAsia="zh-CN"/>
              </w:rPr>
              <w:t>三种策略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  <w:szCs w:val="24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建立KR的评分体系－标准设定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OKR专注于</w:t>
            </w:r>
            <w:r>
              <w:rPr>
                <w:rFonts w:ascii="微软雅黑" w:hAnsi="微软雅黑" w:eastAsia="微软雅黑" w:cs="Helvetica"/>
                <w:lang w:eastAsia="zh-CN"/>
              </w:rPr>
              <w:t>流程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>-目标与流程的关联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微软雅黑"/>
                <w:color w:val="000000"/>
                <w:szCs w:val="24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OKR战略目标分解的最佳实践</w:t>
            </w:r>
          </w:p>
        </w:tc>
      </w:tr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24" w:type="dxa"/>
            <w:tcBorders>
              <w:top w:val="single" w:color="808080" w:sz="6" w:space="0"/>
              <w:left w:val="single" w:color="808080" w:sz="18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</w:rPr>
              <w:t>第四部分</w:t>
            </w:r>
          </w:p>
          <w:p>
            <w:pPr>
              <w:spacing w:line="288" w:lineRule="auto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角色及OKRs确认</w:t>
            </w:r>
          </w:p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5"/>
                <w:lang w:eastAsia="zh-CN"/>
              </w:rPr>
              <w:t>Agree Roles &amp; Write OKRs</w:t>
            </w:r>
          </w:p>
        </w:tc>
        <w:tc>
          <w:tcPr>
            <w:tcW w:w="6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18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 xml:space="preserve">目标项目分解到团队及个人-RACI 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设定OKR目标的3个原则－方向/时间/主体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目标地图－上下联动-公司/团队/个人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目标管理评分表 - OKR vs. KPI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掌握</w:t>
            </w:r>
            <w:r>
              <w:rPr>
                <w:rFonts w:hint="eastAsia" w:ascii="微软雅黑" w:hAnsi="微软雅黑" w:eastAsia="微软雅黑" w:cs="Helvetica"/>
              </w:rPr>
              <w:t>明确责任、总结成果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 xml:space="preserve">的节奏 </w:t>
            </w:r>
            <w:r>
              <w:rPr>
                <w:rFonts w:ascii="微软雅黑" w:hAnsi="微软雅黑" w:eastAsia="微软雅黑" w:cs="Helvetica"/>
              </w:rPr>
              <w:t>–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 xml:space="preserve"> Key Word</w:t>
            </w:r>
          </w:p>
        </w:tc>
      </w:tr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24" w:type="dxa"/>
            <w:tcBorders>
              <w:top w:val="single" w:color="808080" w:sz="6" w:space="0"/>
              <w:left w:val="single" w:color="808080" w:sz="18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</w:rPr>
              <w:t>第五部分</w:t>
            </w:r>
          </w:p>
          <w:p>
            <w:pPr>
              <w:spacing w:line="288" w:lineRule="auto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建立报表周期</w:t>
            </w:r>
          </w:p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0"/>
                <w:szCs w:val="15"/>
                <w:lang w:eastAsia="zh-CN"/>
              </w:rPr>
              <w:t>Build Reporting Cycles &amp; Launch</w:t>
            </w:r>
          </w:p>
        </w:tc>
        <w:tc>
          <w:tcPr>
            <w:tcW w:w="6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18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敏捷策略匹配组织变化-适应性调整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沟通交流周期-周报/月报/季报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ascii="微软雅黑" w:hAnsi="微软雅黑" w:eastAsia="微软雅黑" w:cs="Helvetica"/>
                <w:lang w:eastAsia="zh-CN"/>
              </w:rPr>
              <w:t>3P汇报法（Progress进度、Plan计划、Problem问题）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OKR周期循环的核心步骤-I.S.W.D.W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ascii="微软雅黑" w:hAnsi="微软雅黑" w:eastAsia="微软雅黑" w:cs="Helvetica"/>
                <w:lang w:eastAsia="zh-CN"/>
              </w:rPr>
              <w:t>OKR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>高效</w:t>
            </w:r>
            <w:r>
              <w:rPr>
                <w:rFonts w:ascii="微软雅黑" w:hAnsi="微软雅黑" w:eastAsia="微软雅黑" w:cs="Helvetica"/>
                <w:lang w:eastAsia="zh-CN"/>
              </w:rPr>
              <w:t>实施工具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>-简单图表化</w:t>
            </w:r>
          </w:p>
        </w:tc>
      </w:tr>
      <w:tr>
        <w:tblPrEx>
          <w:tblBorders>
            <w:top w:val="single" w:color="808080" w:sz="18" w:space="0"/>
            <w:left w:val="single" w:color="808080" w:sz="18" w:space="0"/>
            <w:bottom w:val="single" w:color="808080" w:sz="18" w:space="0"/>
            <w:right w:val="single" w:color="808080" w:sz="18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24" w:type="dxa"/>
            <w:tcBorders>
              <w:top w:val="single" w:color="808080" w:sz="6" w:space="0"/>
              <w:left w:val="single" w:color="808080" w:sz="18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b/>
                <w:sz w:val="20"/>
              </w:rPr>
            </w:pPr>
            <w:r>
              <w:rPr>
                <w:rFonts w:hint="eastAsia" w:ascii="微软雅黑" w:hAnsi="微软雅黑" w:eastAsia="微软雅黑" w:cs="微软雅黑"/>
                <w:b/>
                <w:sz w:val="20"/>
              </w:rPr>
              <w:t>第六部分</w:t>
            </w:r>
          </w:p>
          <w:p>
            <w:pPr>
              <w:spacing w:line="288" w:lineRule="auto"/>
              <w:ind w:firstLine="105" w:firstLineChars="50"/>
              <w:jc w:val="center"/>
              <w:rPr>
                <w:rFonts w:ascii="微软雅黑" w:hAnsi="微软雅黑" w:eastAsia="微软雅黑" w:cs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Cs w:val="21"/>
              </w:rPr>
              <w:t>沙盘模拟</w:t>
            </w:r>
          </w:p>
          <w:p>
            <w:pPr>
              <w:pStyle w:val="23"/>
              <w:spacing w:line="276" w:lineRule="auto"/>
              <w:ind w:firstLine="80" w:firstLineChars="40"/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b/>
                <w:color w:val="000000"/>
                <w:sz w:val="20"/>
                <w:szCs w:val="15"/>
                <w:lang w:eastAsia="zh-CN"/>
              </w:rPr>
              <w:t>Sand Table Exercises</w:t>
            </w:r>
          </w:p>
        </w:tc>
        <w:tc>
          <w:tcPr>
            <w:tcW w:w="670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18" w:space="0"/>
            </w:tcBorders>
            <w:vAlign w:val="center"/>
          </w:tcPr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 xml:space="preserve">梳理企业战略地图及捕捉战略目标 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 xml:space="preserve">目标无法达成的5个因素 </w:t>
            </w:r>
            <w:r>
              <w:rPr>
                <w:rFonts w:ascii="微软雅黑" w:hAnsi="微软雅黑" w:eastAsia="微软雅黑" w:cs="Helvetica"/>
                <w:lang w:eastAsia="zh-CN"/>
              </w:rPr>
              <w:t>–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 xml:space="preserve"> Less is more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企业的三个不同阶段-实施</w:t>
            </w:r>
            <w:r>
              <w:rPr>
                <w:rFonts w:ascii="微软雅黑" w:hAnsi="微软雅黑" w:eastAsia="微软雅黑" w:cs="Helvetica"/>
                <w:lang w:eastAsia="zh-CN"/>
              </w:rPr>
              <w:t>OKR</w:t>
            </w:r>
            <w:r>
              <w:rPr>
                <w:rFonts w:hint="eastAsia" w:ascii="微软雅黑" w:hAnsi="微软雅黑" w:eastAsia="微软雅黑" w:cs="Helvetica"/>
                <w:lang w:eastAsia="zh-CN"/>
              </w:rPr>
              <w:t>方法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OKR实施6步曲-全公司OKR创建工作坊</w:t>
            </w:r>
          </w:p>
          <w:p>
            <w:pPr>
              <w:pStyle w:val="24"/>
              <w:numPr>
                <w:ilvl w:val="0"/>
                <w:numId w:val="1"/>
              </w:numPr>
              <w:tabs>
                <w:tab w:val="left" w:pos="317"/>
              </w:tabs>
              <w:spacing w:line="288" w:lineRule="auto"/>
              <w:rPr>
                <w:rFonts w:ascii="微软雅黑" w:hAnsi="微软雅黑" w:eastAsia="微软雅黑" w:cs="Helvetica"/>
                <w:lang w:eastAsia="zh-CN"/>
              </w:rPr>
            </w:pPr>
            <w:r>
              <w:rPr>
                <w:rFonts w:hint="eastAsia" w:ascii="微软雅黑" w:hAnsi="微软雅黑" w:eastAsia="微软雅黑" w:cs="Helvetica"/>
                <w:lang w:eastAsia="zh-CN"/>
              </w:rPr>
              <w:t>模拟企业环境，在未来12个月的OKR经营收益</w:t>
            </w:r>
          </w:p>
        </w:tc>
      </w:tr>
    </w:tbl>
    <w:p>
      <w:pPr>
        <w:shd w:val="clear" w:color="auto" w:fill="E6E6E6"/>
        <w:adjustRightInd w:val="0"/>
        <w:spacing w:line="360" w:lineRule="auto"/>
        <w:ind w:left="425"/>
        <w:textAlignment w:val="baseline"/>
        <w:rPr>
          <w:rFonts w:ascii="微软雅黑" w:hAnsi="微软雅黑" w:eastAsia="微软雅黑" w:cs="宋体"/>
          <w:b/>
          <w:color w:val="5F5F5F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36"/>
          <w:szCs w:val="36"/>
        </w:rPr>
        <w:t>【老师简介】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</w:rPr>
        <w:t>黎一郴</w:t>
      </w:r>
    </w:p>
    <w:p>
      <w:pPr>
        <w:jc w:val="center"/>
        <w:rPr>
          <w:rFonts w:ascii="微软雅黑" w:hAnsi="微软雅黑" w:eastAsia="微软雅黑" w:cs="微软雅黑"/>
          <w:b/>
          <w:bCs/>
          <w:color w:val="002060"/>
        </w:rPr>
      </w:pPr>
      <w:r>
        <w:rPr>
          <w:rFonts w:hint="eastAsia" w:ascii="微软雅黑" w:hAnsi="微软雅黑" w:eastAsia="微软雅黑" w:cs="微软雅黑"/>
          <w:b/>
          <w:bCs/>
          <w:color w:val="002060"/>
        </w:rPr>
        <w:t>战略顶层设计导师、新商业模式导师、领导影响力专家</w:t>
      </w:r>
    </w:p>
    <w:p>
      <w:pPr>
        <w:numPr>
          <w:ilvl w:val="0"/>
          <w:numId w:val="2"/>
        </w:numPr>
        <w:spacing w:line="240" w:lineRule="atLeast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曾任职于世界500强企业（日资、美资）</w:t>
      </w:r>
    </w:p>
    <w:p>
      <w:pPr>
        <w:numPr>
          <w:ilvl w:val="0"/>
          <w:numId w:val="2"/>
        </w:numPr>
        <w:spacing w:line="240" w:lineRule="atLeast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/>
          <w:bCs/>
          <w:color w:val="000000"/>
        </w:rPr>
        <w:t>IPCA</w:t>
      </w:r>
      <w:r>
        <w:rPr>
          <w:rFonts w:hint="eastAsia" w:ascii="微软雅黑" w:hAnsi="微软雅黑" w:eastAsia="微软雅黑" w:cs="微软雅黑"/>
          <w:bCs/>
          <w:color w:val="000000"/>
        </w:rPr>
        <w:t>指</w:t>
      </w:r>
      <w:r>
        <w:rPr>
          <w:rFonts w:hint="eastAsia" w:ascii="微软雅黑" w:hAnsi="微软雅黑" w:eastAsia="微软雅黑" w:cs="微软雅黑"/>
          <w:color w:val="000000"/>
        </w:rPr>
        <w:t>定导师, AMBA欧洲管理协会认证专家,多家国内知名企业全年指定顾问</w:t>
      </w:r>
    </w:p>
    <w:p>
      <w:pPr>
        <w:numPr>
          <w:ilvl w:val="0"/>
          <w:numId w:val="2"/>
        </w:numPr>
        <w:spacing w:line="240" w:lineRule="atLeast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中国培训界最受推崇的实战派培训师、咨询师</w:t>
      </w:r>
    </w:p>
    <w:p>
      <w:pPr>
        <w:numPr>
          <w:ilvl w:val="0"/>
          <w:numId w:val="2"/>
        </w:numPr>
        <w:spacing w:line="240" w:lineRule="atLeast"/>
        <w:jc w:val="left"/>
        <w:rPr>
          <w:rFonts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2002年首届中国十大杰出培训师</w:t>
      </w:r>
    </w:p>
    <w:p>
      <w:pPr>
        <w:numPr>
          <w:ilvl w:val="0"/>
          <w:numId w:val="2"/>
        </w:numPr>
        <w:tabs>
          <w:tab w:val="left" w:pos="360"/>
          <w:tab w:val="left" w:pos="10440"/>
        </w:tabs>
        <w:spacing w:line="240" w:lineRule="atLeast"/>
        <w:jc w:val="left"/>
        <w:rPr>
          <w:rFonts w:ascii="微软雅黑" w:hAnsi="微软雅黑" w:eastAsia="微软雅黑" w:cs="微软雅黑"/>
          <w:bCs/>
          <w:color w:val="000000"/>
        </w:rPr>
      </w:pPr>
      <w:r>
        <w:rPr>
          <w:rFonts w:hint="eastAsia" w:ascii="微软雅黑" w:hAnsi="微软雅黑" w:eastAsia="微软雅黑" w:cs="微软雅黑"/>
          <w:bCs/>
          <w:color w:val="000000"/>
        </w:rPr>
        <w:t>黎一郴老师共举办了公开课1000多场、企业内训500多场（包括45家世界级跨国公司）</w:t>
      </w:r>
    </w:p>
    <w:p>
      <w:pPr>
        <w:numPr>
          <w:ilvl w:val="0"/>
          <w:numId w:val="2"/>
        </w:numPr>
        <w:jc w:val="left"/>
        <w:rPr>
          <w:rFonts w:ascii="微软雅黑" w:hAnsi="微软雅黑" w:eastAsia="微软雅黑" w:cs="微软雅黑"/>
          <w:bCs/>
          <w:color w:val="000000"/>
        </w:rPr>
      </w:pPr>
      <w:r>
        <w:rPr>
          <w:rFonts w:hint="eastAsia" w:ascii="微软雅黑" w:hAnsi="微软雅黑" w:eastAsia="微软雅黑" w:cs="微软雅黑"/>
          <w:bCs/>
          <w:color w:val="000000"/>
        </w:rPr>
        <w:t>美的集团、欧派家居、富士康、东风日产等国内知名企业全年指定顾问。近五年为智能家居、AI人工智能行业提供管理咨询服务，成功服务过欧派家居、欧哲门窗、中联重科等多家知名企业，均取得硕硕战果。他辅导的《创新商业模式》、《战略顶层设计》、《多维立体股权设计》、《爆品战略》帮助企业快速突破成长瓶颈，突破重围，迅速做大做强。</w:t>
      </w:r>
    </w:p>
    <w:p>
      <w:pPr>
        <w:spacing w:line="360" w:lineRule="auto"/>
        <w:ind w:right="40" w:rightChars="19"/>
        <w:rPr>
          <w:rFonts w:ascii="微软雅黑" w:hAnsi="微软雅黑" w:eastAsia="微软雅黑" w:cs="微软雅黑"/>
          <w:color w:val="000000"/>
        </w:rPr>
      </w:pPr>
    </w:p>
    <w:p>
      <w:pPr>
        <w:ind w:right="40" w:rightChars="19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客户心语：</w:t>
      </w:r>
    </w:p>
    <w:p>
      <w:pPr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黎老师具备丰富的实践经验和扎实的专业理论，其授课方式生动活泼，企业内部咨询分析独到、透彻，善于通过独特的促导技巧，启发深层思维，调动学员主动参与的热情。</w:t>
      </w:r>
    </w:p>
    <w:p>
      <w:pPr>
        <w:ind w:firstLine="42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阅历丰富，知识面广，主题明确，实用性强，活泼生动，形象佳，集实战派与学院派双重特点，寓演、讲与互动为一堂。强化现场气氛；达成培训预期目标；且寓教于乐，运用多学科底蕴，声情并茂、跌宕起伏地把理论、实践、知识、技巧、方法和工具融入课程，巧妙实现艺术与互动结合的最佳培训效果。</w:t>
      </w:r>
    </w:p>
    <w:p>
      <w:pPr>
        <w:ind w:right="40" w:rightChars="19"/>
        <w:rPr>
          <w:rFonts w:ascii="微软雅黑" w:hAnsi="微软雅黑" w:eastAsia="微软雅黑" w:cs="微软雅黑"/>
          <w:b/>
          <w:bCs/>
        </w:rPr>
      </w:pPr>
    </w:p>
    <w:p>
      <w:pPr>
        <w:ind w:right="40" w:rightChars="19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主讲领先课程：</w:t>
      </w:r>
      <w:r>
        <w:rPr>
          <w:rFonts w:hint="eastAsia" w:ascii="微软雅黑" w:hAnsi="微软雅黑" w:eastAsia="微软雅黑" w:cs="微软雅黑"/>
        </w:rPr>
        <w:t>《新商业模式》、《企业顶层设计》、《多维立体股权设计》、《商务谈判技巧》、《OKR关键目标管理》、《新生代管理及教练技术》、《行动领导力》、《ELP赋能教练型领导者》、《I-MTP管理技能》、《商务谈判技巧》、《LD管理创新》、《互联网+供应商管理革新》、《精益供应链创新与革命》、《资源整合-采购创新与成本控制》、《精益采购管理与优势谈判》、《CLP教练式领导力》、《ELP领导力赋能提升》、《OKR教练式目标管理》</w:t>
      </w:r>
    </w:p>
    <w:p>
      <w:pPr>
        <w:ind w:right="40" w:rightChars="19"/>
        <w:rPr>
          <w:rFonts w:ascii="微软雅黑" w:hAnsi="微软雅黑" w:eastAsia="微软雅黑" w:cs="微软雅黑"/>
          <w:b/>
          <w:bCs/>
        </w:rPr>
      </w:pPr>
    </w:p>
    <w:p>
      <w:pPr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黎一郴老师的学员来自以下企业：</w:t>
      </w:r>
      <w:r>
        <w:rPr>
          <w:rFonts w:hint="eastAsia" w:ascii="微软雅黑" w:hAnsi="微软雅黑" w:eastAsia="微软雅黑" w:cs="微软雅黑"/>
        </w:rPr>
        <w:t>富士康、比亚迪、宝诚（裕元、宝元）集团、大亚湾核电站、五羊-本田（广州）摩托车有限公司、美的中央空调、松下、联想、美国GTI电子、日本EPSON、太平（国际）、诺基亚、瑞士格蓝表业、IBM、美国华纳、爱立信、金波萝电业、TTI、摩托罗拉、苹果集团、宝洁、联合利华、SONY（中国）、联想、胜美达电机、三菱商社、长城公司、科惠电路、奥托昆普铜管（中山）、美的集团、美的燃器具公司、美的卫浴公司、科龙、高宝集团、新科电子、白沙集团、东菱凯琴集团、飞宏电子、康佳集团、科惠电子、耐克、东风（日产）汽车、新科电子、华景地产、中港四航局、东风灵、东箭汽车配件、南方玻璃、……</w:t>
      </w:r>
    </w:p>
    <w:p>
      <w:pPr>
        <w:spacing w:before="50" w:after="50" w:line="400" w:lineRule="exact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的表现，并有人格的评价。这些都是方法的问题，通过情景演练，让谈话双方能够切实感受到，针对绩效差的人，切要指出存在的现实问题，同时也要顾及到对方的情绪，不能只是一味的指责，同时还要有期待和肯定，有效运用共情和同理心，激励对方投入到后续的工作中。</w:t>
      </w:r>
    </w:p>
    <w:p>
      <w:pPr>
        <w:spacing w:before="50" w:after="50" w:line="400" w:lineRule="exact"/>
        <w:jc w:val="lef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练习六：《沟通案例》</w:t>
      </w:r>
    </w:p>
    <w:p>
      <w:pPr>
        <w:pStyle w:val="20"/>
        <w:widowControl/>
        <w:spacing w:before="50" w:after="50" w:line="400" w:lineRule="exact"/>
        <w:jc w:val="left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/>
        </w:rPr>
        <w:t>运用角色扮演，通过演练，讲师点评，自我感受，使学员能够切身感受到，不同的语境、不同的共情反馈、不同的顺序，会有不同的效果，从而让学员对如何做好绩效面谈有了更加直观和全面的认知。</w:t>
      </w:r>
    </w:p>
    <w:p>
      <w:pPr>
        <w:spacing w:before="50" w:after="50" w:line="400" w:lineRule="exact"/>
        <w:rPr>
          <w:rFonts w:ascii="微软雅黑" w:hAnsi="微软雅黑" w:eastAsia="微软雅黑"/>
          <w:color w:val="000000"/>
          <w:szCs w:val="21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>
      <w:pPr>
        <w:spacing w:line="360" w:lineRule="auto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报  名  表</w:t>
      </w:r>
    </w:p>
    <w:tbl>
      <w:tblPr>
        <w:tblStyle w:val="9"/>
        <w:tblpPr w:leftFromText="180" w:rightFromText="180" w:vertAnchor="text" w:horzAnchor="page" w:tblpX="1041" w:tblpY="108"/>
        <w:tblOverlap w:val="never"/>
        <w:tblW w:w="0" w:type="auto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87"/>
        <w:gridCol w:w="1044"/>
        <w:gridCol w:w="424"/>
        <w:gridCol w:w="927"/>
        <w:gridCol w:w="255"/>
        <w:gridCol w:w="1024"/>
        <w:gridCol w:w="874"/>
        <w:gridCol w:w="291"/>
        <w:gridCol w:w="582"/>
        <w:gridCol w:w="677"/>
        <w:gridCol w:w="494"/>
        <w:gridCol w:w="242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</w:trPr>
        <w:tc>
          <w:tcPr>
            <w:tcW w:w="11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9016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</w:trPr>
        <w:tc>
          <w:tcPr>
            <w:tcW w:w="11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发票抬头</w:t>
            </w:r>
          </w:p>
        </w:tc>
        <w:tc>
          <w:tcPr>
            <w:tcW w:w="3674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税务号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1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公司地址</w:t>
            </w:r>
          </w:p>
        </w:tc>
        <w:tc>
          <w:tcPr>
            <w:tcW w:w="9016" w:type="dxa"/>
            <w:gridSpan w:val="11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</w:trPr>
        <w:tc>
          <w:tcPr>
            <w:tcW w:w="11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3026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1104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46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传  真</w:t>
            </w:r>
          </w:p>
        </w:tc>
        <w:tc>
          <w:tcPr>
            <w:tcW w:w="3026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91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2572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</w:t>
            </w:r>
            <w:r>
              <w:rPr>
                <w:rFonts w:ascii="宋体" w:hAnsi="宋体"/>
                <w:szCs w:val="21"/>
              </w:rPr>
              <w:t>费用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</w:rPr>
              <w:t>元</w:t>
            </w:r>
          </w:p>
        </w:tc>
        <w:tc>
          <w:tcPr>
            <w:tcW w:w="3953" w:type="dxa"/>
            <w:gridSpan w:val="6"/>
            <w:vAlign w:val="center"/>
          </w:tcPr>
          <w:p>
            <w:pPr>
              <w:spacing w:before="100" w:beforeAutospacing="1" w:after="100" w:afterAutospacing="1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/>
                <w:sz w:val="20"/>
              </w:rPr>
              <w:t>发票内容：</w:t>
            </w:r>
            <w:r>
              <w:rPr>
                <w:rFonts w:hint="eastAsia"/>
                <w:bCs/>
                <w:sz w:val="20"/>
              </w:rPr>
              <w:t>□</w:t>
            </w:r>
            <w:r>
              <w:rPr>
                <w:bCs/>
                <w:sz w:val="20"/>
              </w:rPr>
              <w:t>1</w:t>
            </w:r>
            <w:r>
              <w:rPr>
                <w:rFonts w:hint="eastAsia"/>
                <w:bCs/>
                <w:sz w:val="20"/>
              </w:rPr>
              <w:t>、培训费</w:t>
            </w:r>
            <w:r>
              <w:rPr>
                <w:bCs/>
                <w:sz w:val="20"/>
              </w:rPr>
              <w:t xml:space="preserve"> </w:t>
            </w:r>
            <w:r>
              <w:rPr>
                <w:rFonts w:hint="eastAsia"/>
                <w:bCs/>
                <w:sz w:val="20"/>
              </w:rPr>
              <w:t>□</w:t>
            </w:r>
            <w:r>
              <w:rPr>
                <w:bCs/>
                <w:sz w:val="20"/>
              </w:rPr>
              <w:t>2.信息服务费</w:t>
            </w:r>
          </w:p>
        </w:tc>
        <w:tc>
          <w:tcPr>
            <w:tcW w:w="3595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Style w:val="11"/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付款方式：□课前转帐   □</w:t>
            </w:r>
            <w:r>
              <w:rPr>
                <w:rFonts w:ascii="宋体" w:hAnsi="宋体"/>
                <w:bCs/>
                <w:szCs w:val="21"/>
              </w:rPr>
              <w:t>支票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2148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酒店预订委托</w:t>
            </w:r>
          </w:p>
        </w:tc>
        <w:tc>
          <w:tcPr>
            <w:tcW w:w="7972" w:type="dxa"/>
            <w:gridSpan w:val="10"/>
            <w:vAlign w:val="center"/>
          </w:tcPr>
          <w:p>
            <w:pPr>
              <w:spacing w:before="100" w:beforeAutospacing="1" w:after="100" w:afterAutospacing="1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标双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间    标单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exact"/>
        </w:trPr>
        <w:tc>
          <w:tcPr>
            <w:tcW w:w="2148" w:type="dxa"/>
            <w:gridSpan w:val="3"/>
            <w:vAlign w:val="center"/>
          </w:tcPr>
          <w:p>
            <w:pPr>
              <w:spacing w:before="100" w:beforeAutospacing="1" w:after="100" w:afterAutospacing="1"/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/>
                <w:szCs w:val="21"/>
              </w:rPr>
              <w:t>汇款账号</w:t>
            </w:r>
          </w:p>
        </w:tc>
        <w:tc>
          <w:tcPr>
            <w:tcW w:w="7972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  名：</w:t>
            </w:r>
            <w:r>
              <w:rPr>
                <w:color w:val="000000"/>
                <w:szCs w:val="21"/>
              </w:rPr>
              <w:t>企赢（深圳）企业管理咨询有限责任公司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 户 行：</w:t>
            </w:r>
            <w:r>
              <w:rPr>
                <w:color w:val="000000"/>
                <w:szCs w:val="21"/>
              </w:rPr>
              <w:t>中国工商银行股份有限公司深圳布吉支行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公司账号：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4000022309202049860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7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</w:t>
            </w:r>
          </w:p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名单</w:t>
            </w:r>
          </w:p>
        </w:tc>
        <w:tc>
          <w:tcPr>
            <w:tcW w:w="1431" w:type="dxa"/>
            <w:gridSpan w:val="2"/>
            <w:shd w:val="clear" w:color="auto" w:fill="E6E6E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606" w:type="dxa"/>
            <w:gridSpan w:val="3"/>
            <w:shd w:val="clear" w:color="auto" w:fill="E6E6E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898" w:type="dxa"/>
            <w:gridSpan w:val="2"/>
            <w:shd w:val="clear" w:color="auto" w:fill="E6E6E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shd w:val="clear" w:color="auto" w:fill="E6E6E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课程名称</w:t>
            </w:r>
          </w:p>
        </w:tc>
        <w:tc>
          <w:tcPr>
            <w:tcW w:w="2424" w:type="dxa"/>
            <w:shd w:val="clear" w:color="auto" w:fill="E6E6E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  <w:r>
              <w:rPr>
                <w:rStyle w:val="11"/>
                <w:rFonts w:ascii="宋体" w:hAnsi="宋体"/>
                <w:szCs w:val="21"/>
              </w:rPr>
              <w:t>培训时间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17"/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17"/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17"/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17"/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  <w:tc>
          <w:tcPr>
            <w:tcW w:w="242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Style w:val="11"/>
                <w:rFonts w:ascii="宋体" w:hAnsi="宋体"/>
                <w:szCs w:val="21"/>
              </w:rPr>
            </w:pPr>
          </w:p>
        </w:tc>
      </w:tr>
    </w:tbl>
    <w:p>
      <w:pPr>
        <w:ind w:left="420" w:leftChars="200"/>
        <w:rPr>
          <w:rFonts w:ascii="微软雅黑" w:hAnsi="微软雅黑" w:eastAsia="微软雅黑" w:cs="微软雅黑"/>
          <w:bCs/>
          <w:sz w:val="22"/>
          <w:szCs w:val="22"/>
        </w:rPr>
      </w:pPr>
      <w:r>
        <w:rPr>
          <w:rFonts w:hint="eastAsia" w:ascii="微软雅黑" w:hAnsi="微软雅黑" w:eastAsia="微软雅黑" w:cs="微软雅黑"/>
          <w:szCs w:val="22"/>
        </w:rPr>
        <w:t>备注：为确保您的名额和及时参加，请提前将《报名表》填好后回复发至邮箱：2437125184@qq.com，我们将有专人与您联系确认，并于开课前发出《开课邀请函》。培训时间、地点、住宿等详细信息请以《开课邀请函》书面通知为准，敬请留意。谢谢！详询热线：18820199517(彭老师)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-766"/>
      <w:jc w:val="both"/>
      <w:rPr>
        <w:color w:val="E36C09"/>
        <w:sz w:val="21"/>
        <w:szCs w:val="21"/>
      </w:rPr>
    </w:pPr>
    <w:r>
      <w:rPr>
        <w:rFonts w:hint="eastAsia"/>
        <w:color w:val="E36C09"/>
        <w:sz w:val="21"/>
        <w:szCs w:val="21"/>
      </w:rPr>
      <w:t>地址：</w:t>
    </w:r>
    <w:r>
      <w:rPr>
        <w:color w:val="E36C09"/>
        <w:sz w:val="21"/>
        <w:szCs w:val="21"/>
      </w:rPr>
      <w:t>深圳市龙岗区布吉街道吉信大厦</w:t>
    </w:r>
    <w:r>
      <w:rPr>
        <w:rFonts w:hint="eastAsia"/>
        <w:color w:val="E36C09"/>
        <w:sz w:val="21"/>
        <w:szCs w:val="21"/>
      </w:rPr>
      <w:t>17K</w:t>
    </w:r>
    <w:r>
      <w:rPr>
        <w:rFonts w:hint="eastAsia"/>
        <w:color w:val="E36C09"/>
        <w:sz w:val="28"/>
        <w:szCs w:val="28"/>
      </w:rPr>
      <w:t xml:space="preserve"> </w:t>
    </w:r>
    <w:r>
      <w:rPr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color w:val="E36C09"/>
        <w:sz w:val="21"/>
        <w:szCs w:val="21"/>
      </w:rPr>
      <w:t>：</w:t>
    </w:r>
    <w:r>
      <w:rPr>
        <w:color w:val="E36C09"/>
        <w:szCs w:val="21"/>
      </w:rPr>
      <w:t xml:space="preserve">18820199517   </w:t>
    </w:r>
    <w:r>
      <w:rPr>
        <w:rFonts w:eastAsia="新宋体"/>
        <w:color w:val="E36C09"/>
        <w:szCs w:val="21"/>
      </w:rPr>
      <w:t>QQ:</w:t>
    </w:r>
    <w:r>
      <w:t xml:space="preserve"> </w:t>
    </w:r>
    <w:r>
      <w:rPr>
        <w:rFonts w:eastAsia="新宋体"/>
        <w:color w:val="E36C09"/>
        <w:szCs w:val="21"/>
      </w:rPr>
      <w:t>2437125184</w:t>
    </w:r>
  </w:p>
  <w:p>
    <w:pPr>
      <w:pStyle w:val="6"/>
      <w:framePr w:wrap="around" w:vAnchor="text" w:hAnchor="page" w:x="10906" w:y="64"/>
      <w:pBdr>
        <w:between w:val="none" w:color="auto" w:sz="0" w:space="0"/>
      </w:pBdr>
      <w:rPr>
        <w:color w:val="9C2173"/>
        <w:sz w:val="21"/>
        <w:szCs w:val="21"/>
      </w:rPr>
    </w:pPr>
    <w:r>
      <w:rPr>
        <w:rFonts w:hint="eastAsia"/>
        <w:color w:val="9C2173"/>
        <w:sz w:val="21"/>
        <w:szCs w:val="21"/>
      </w:rPr>
      <w:fldChar w:fldCharType="begin"/>
    </w:r>
    <w:r>
      <w:rPr>
        <w:rStyle w:val="12"/>
        <w:rFonts w:hint="eastAsia"/>
        <w:color w:val="9C2173"/>
        <w:sz w:val="21"/>
        <w:szCs w:val="21"/>
      </w:rPr>
      <w:instrText xml:space="preserve"> PAGE  </w:instrText>
    </w:r>
    <w:r>
      <w:rPr>
        <w:rFonts w:hint="eastAsia"/>
        <w:color w:val="9C2173"/>
        <w:sz w:val="21"/>
        <w:szCs w:val="21"/>
      </w:rPr>
      <w:fldChar w:fldCharType="separate"/>
    </w:r>
    <w:r>
      <w:rPr>
        <w:rStyle w:val="12"/>
        <w:color w:val="9C2173"/>
        <w:sz w:val="21"/>
        <w:szCs w:val="21"/>
      </w:rPr>
      <w:t>- 2 -</w:t>
    </w:r>
    <w:r>
      <w:rPr>
        <w:rFonts w:hint="eastAsia"/>
        <w:color w:val="9C2173"/>
        <w:sz w:val="21"/>
        <w:szCs w:val="21"/>
      </w:rPr>
      <w:fldChar w:fldCharType="end"/>
    </w:r>
  </w:p>
  <w:p>
    <w:pPr>
      <w:pStyle w:val="6"/>
      <w:ind w:right="360"/>
      <w:rPr>
        <w:color w:val="9C2173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黑体" w:eastAsia="黑体"/>
        <w:b/>
        <w:color w:val="9C2173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-76835</wp:posOffset>
          </wp:positionV>
          <wp:extent cx="1892300" cy="421005"/>
          <wp:effectExtent l="19050" t="0" r="0" b="0"/>
          <wp:wrapNone/>
          <wp:docPr id="5" name="图片 5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横着的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hint="eastAsia" w:ascii="黑体" w:eastAsia="黑体"/>
        <w:b/>
        <w:color w:val="9C2173"/>
        <w:sz w:val="20"/>
        <w:szCs w:val="20"/>
      </w:rPr>
      <w:t xml:space="preserve">                                                          </w:t>
    </w:r>
  </w:p>
  <w:p>
    <w:pPr>
      <w:pStyle w:val="7"/>
      <w:rPr>
        <w:rFonts w:ascii="宋体" w:hAnsi="宋体"/>
        <w:color w:val="F79646"/>
        <w:sz w:val="20"/>
        <w:szCs w:val="20"/>
      </w:rPr>
    </w:pPr>
    <w:r>
      <w:rPr>
        <w:rFonts w:hint="eastAsia" w:ascii="黑体" w:eastAsia="黑体"/>
        <w:b/>
        <w:color w:val="9C2173"/>
        <w:sz w:val="20"/>
        <w:szCs w:val="20"/>
      </w:rPr>
      <w:t xml:space="preserve">         </w:t>
    </w:r>
    <w:r>
      <w:rPr>
        <w:rFonts w:hint="eastAsia" w:ascii="宋体" w:hAnsi="宋体" w:cs="宋体"/>
        <w:bCs/>
        <w:color w:val="9C2173"/>
        <w:sz w:val="20"/>
        <w:szCs w:val="20"/>
      </w:rPr>
      <w:t xml:space="preserve">                       </w:t>
    </w:r>
    <w:r>
      <w:rPr>
        <w:rFonts w:hint="eastAsia" w:ascii="黑体" w:eastAsia="黑体"/>
        <w:b/>
        <w:color w:val="9C2173"/>
        <w:sz w:val="20"/>
        <w:szCs w:val="20"/>
      </w:rPr>
      <w:t xml:space="preserve">                       </w:t>
    </w:r>
    <w:r>
      <w:rPr>
        <w:rFonts w:ascii="宋体" w:hAnsi="宋体"/>
        <w:sz w:val="22"/>
        <w:szCs w:val="22"/>
      </w:rPr>
      <w:t>帮助企业成长——助力共赢</w:t>
    </w:r>
  </w:p>
  <w:p>
    <w:pPr>
      <w:rPr>
        <w:rFonts w:ascii="宋体" w:hAnsi="宋体"/>
        <w:color w:val="9C217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AD0"/>
    <w:multiLevelType w:val="multilevel"/>
    <w:tmpl w:val="12A62AD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D850432"/>
    <w:multiLevelType w:val="multilevel"/>
    <w:tmpl w:val="5D85043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0070C0"/>
        <w:sz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AA0"/>
    <w:rsid w:val="0004127B"/>
    <w:rsid w:val="000667F5"/>
    <w:rsid w:val="000B4D93"/>
    <w:rsid w:val="00106E1F"/>
    <w:rsid w:val="00120EBD"/>
    <w:rsid w:val="001708AB"/>
    <w:rsid w:val="00172A27"/>
    <w:rsid w:val="00190A43"/>
    <w:rsid w:val="001F11A1"/>
    <w:rsid w:val="00335E66"/>
    <w:rsid w:val="003C17C7"/>
    <w:rsid w:val="003C3BAE"/>
    <w:rsid w:val="00462B5B"/>
    <w:rsid w:val="004740DC"/>
    <w:rsid w:val="00526AC7"/>
    <w:rsid w:val="005E5497"/>
    <w:rsid w:val="005F54A0"/>
    <w:rsid w:val="006264F2"/>
    <w:rsid w:val="00671C23"/>
    <w:rsid w:val="006B6E03"/>
    <w:rsid w:val="006D1CE0"/>
    <w:rsid w:val="00772B46"/>
    <w:rsid w:val="00787137"/>
    <w:rsid w:val="008427D3"/>
    <w:rsid w:val="00865558"/>
    <w:rsid w:val="00872850"/>
    <w:rsid w:val="009C68F6"/>
    <w:rsid w:val="00A51E3E"/>
    <w:rsid w:val="00A560D1"/>
    <w:rsid w:val="00A715FE"/>
    <w:rsid w:val="00A718E0"/>
    <w:rsid w:val="00AC21D5"/>
    <w:rsid w:val="00B90B6A"/>
    <w:rsid w:val="00C00247"/>
    <w:rsid w:val="00C3525A"/>
    <w:rsid w:val="00C70AF6"/>
    <w:rsid w:val="00C77513"/>
    <w:rsid w:val="00C77541"/>
    <w:rsid w:val="00CE24C3"/>
    <w:rsid w:val="00D22571"/>
    <w:rsid w:val="00D42623"/>
    <w:rsid w:val="00D624D4"/>
    <w:rsid w:val="00DA79F4"/>
    <w:rsid w:val="00DB3587"/>
    <w:rsid w:val="00EB5227"/>
    <w:rsid w:val="00F27754"/>
    <w:rsid w:val="00FA3D7B"/>
    <w:rsid w:val="00FD185A"/>
    <w:rsid w:val="00FE2EB5"/>
    <w:rsid w:val="1187476E"/>
    <w:rsid w:val="16752DC2"/>
    <w:rsid w:val="1C853094"/>
    <w:rsid w:val="275F406A"/>
    <w:rsid w:val="2F167991"/>
    <w:rsid w:val="30BC6CCF"/>
    <w:rsid w:val="421B4564"/>
    <w:rsid w:val="422D58C1"/>
    <w:rsid w:val="47A5268C"/>
    <w:rsid w:val="523D2E9D"/>
    <w:rsid w:val="5C9B4D52"/>
    <w:rsid w:val="5F109458"/>
    <w:rsid w:val="5FBF8FFC"/>
    <w:rsid w:val="648B173D"/>
    <w:rsid w:val="64F76652"/>
    <w:rsid w:val="6BC01A9A"/>
    <w:rsid w:val="6DAF78E9"/>
    <w:rsid w:val="6EBA35ED"/>
    <w:rsid w:val="7A2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left="411"/>
      <w:jc w:val="center"/>
      <w:outlineLvl w:val="0"/>
    </w:pPr>
    <w:rPr>
      <w:b/>
      <w:bCs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8"/>
    </w:rPr>
  </w:style>
  <w:style w:type="paragraph" w:styleId="4">
    <w:name w:val="Date"/>
    <w:basedOn w:val="1"/>
    <w:next w:val="1"/>
    <w:link w:val="21"/>
    <w:unhideWhenUsed/>
    <w:uiPriority w:val="99"/>
    <w:pPr>
      <w:ind w:left="100" w:leftChars="2500"/>
    </w:pPr>
    <w:rPr>
      <w:rFonts w:ascii="Calibri" w:hAnsi="Calibri"/>
      <w:szCs w:val="22"/>
    </w:rPr>
  </w:style>
  <w:style w:type="paragraph" w:styleId="5">
    <w:name w:val="Balloon Text"/>
    <w:basedOn w:val="1"/>
    <w:link w:val="16"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uiPriority w:val="0"/>
  </w:style>
  <w:style w:type="character" w:customStyle="1" w:styleId="13">
    <w:name w:val="页码1"/>
    <w:uiPriority w:val="0"/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页脚 Char"/>
    <w:basedOn w:val="10"/>
    <w:link w:val="6"/>
    <w:uiPriority w:val="0"/>
    <w:rPr>
      <w:kern w:val="2"/>
      <w:sz w:val="18"/>
      <w:szCs w:val="18"/>
    </w:rPr>
  </w:style>
  <w:style w:type="character" w:customStyle="1" w:styleId="16">
    <w:name w:val="批注框文本 Char"/>
    <w:basedOn w:val="10"/>
    <w:link w:val="5"/>
    <w:uiPriority w:val="0"/>
    <w:rPr>
      <w:kern w:val="2"/>
      <w:sz w:val="18"/>
      <w:szCs w:val="18"/>
    </w:rPr>
  </w:style>
  <w:style w:type="paragraph" w:customStyle="1" w:styleId="17">
    <w:name w:val="默认段落字体 Para Char Char Char Char"/>
    <w:basedOn w:val="1"/>
    <w:qFormat/>
    <w:uiPriority w:val="0"/>
  </w:style>
  <w:style w:type="paragraph" w:styleId="18">
    <w:name w:val="List Paragraph"/>
    <w:basedOn w:val="1"/>
    <w:qFormat/>
    <w:uiPriority w:val="34"/>
    <w:pPr>
      <w:ind w:firstLine="420"/>
    </w:pPr>
  </w:style>
  <w:style w:type="paragraph" w:customStyle="1" w:styleId="19">
    <w:name w:val="List Paragraph1"/>
    <w:qFormat/>
    <w:uiPriority w:val="0"/>
    <w:pPr>
      <w:widowControl w:val="0"/>
      <w:ind w:firstLine="42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0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1">
    <w:name w:val="日期 Char"/>
    <w:basedOn w:val="10"/>
    <w:link w:val="4"/>
    <w:qFormat/>
    <w:uiPriority w:val="99"/>
    <w:rPr>
      <w:rFonts w:ascii="Calibri" w:hAnsi="Calibri" w:eastAsia="宋体" w:cs="Times New Roman"/>
      <w:kern w:val="2"/>
      <w:sz w:val="21"/>
      <w:szCs w:val="22"/>
    </w:rPr>
  </w:style>
  <w:style w:type="paragraph" w:customStyle="1" w:styleId="22">
    <w:name w:val="表头样式"/>
    <w:basedOn w:val="1"/>
    <w:qFormat/>
    <w:uiPriority w:val="99"/>
    <w:pPr>
      <w:spacing w:line="300" w:lineRule="auto"/>
      <w:jc w:val="left"/>
    </w:pPr>
    <w:rPr>
      <w:rFonts w:eastAsia="黑体" w:cs="Calibri"/>
      <w:sz w:val="24"/>
      <w:lang w:eastAsia="zh-TW"/>
    </w:rPr>
  </w:style>
  <w:style w:type="paragraph" w:customStyle="1" w:styleId="23">
    <w:name w:val="正文楷体"/>
    <w:basedOn w:val="1"/>
    <w:uiPriority w:val="99"/>
    <w:pPr>
      <w:spacing w:line="300" w:lineRule="auto"/>
      <w:jc w:val="left"/>
    </w:pPr>
    <w:rPr>
      <w:rFonts w:ascii="Calibri" w:hAnsi="Calibri" w:eastAsia="PMingLiU" w:cs="Calibri"/>
      <w:sz w:val="24"/>
      <w:lang w:eastAsia="zh-TW"/>
    </w:rPr>
  </w:style>
  <w:style w:type="paragraph" w:customStyle="1" w:styleId="24">
    <w:name w:val="课程背景"/>
    <w:basedOn w:val="1"/>
    <w:qFormat/>
    <w:uiPriority w:val="99"/>
    <w:pPr>
      <w:tabs>
        <w:tab w:val="left" w:pos="360"/>
      </w:tabs>
      <w:spacing w:line="300" w:lineRule="exact"/>
      <w:ind w:left="340" w:hanging="340"/>
      <w:jc w:val="left"/>
    </w:pPr>
    <w:rPr>
      <w:rFonts w:eastAsia="PMingLiU" w:cs="Calibri"/>
      <w:sz w:val="24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www.xpxzlt.cn</Company>
  <Pages>7</Pages>
  <Words>492</Words>
  <Characters>2805</Characters>
  <Lines>23</Lines>
  <Paragraphs>6</Paragraphs>
  <TotalTime>9</TotalTime>
  <ScaleCrop>false</ScaleCrop>
  <LinksUpToDate>false</LinksUpToDate>
  <CharactersWithSpaces>3291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2019-11-15T04:24:00Z</dcterms:created>
  <dc:creator>999宝藏网</dc:creator>
  <cp:lastModifiedBy>Administrator</cp:lastModifiedBy>
  <dcterms:modified xsi:type="dcterms:W3CDTF">2019-12-13T04:36:38Z</dcterms:modified>
  <dc:title>内训需求查表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