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89" w:rsidRDefault="001B5289" w:rsidP="00BD5370">
      <w:pPr>
        <w:jc w:val="center"/>
        <w:rPr>
          <w:rFonts w:eastAsia="微软雅黑" w:cs="宋体"/>
          <w:b/>
          <w:bCs/>
          <w:color w:val="0070C0"/>
          <w:kern w:val="0"/>
          <w:sz w:val="32"/>
          <w:szCs w:val="32"/>
        </w:rPr>
      </w:pPr>
      <w:r w:rsidRPr="001B5289">
        <w:rPr>
          <w:rFonts w:eastAsia="微软雅黑" w:cs="宋体" w:hint="eastAsia"/>
          <w:b/>
          <w:bCs/>
          <w:color w:val="0070C0"/>
          <w:kern w:val="0"/>
          <w:sz w:val="32"/>
          <w:szCs w:val="32"/>
        </w:rPr>
        <w:t>采购招标实务与合同风险防范案例分析</w:t>
      </w:r>
    </w:p>
    <w:p w:rsidR="006E0F22" w:rsidRDefault="001B5289">
      <w:pPr>
        <w:jc w:val="center"/>
        <w:rPr>
          <w:rFonts w:eastAsia="微软雅黑" w:cs="宋体"/>
          <w:b/>
          <w:bCs/>
          <w:color w:val="0070C0"/>
          <w:kern w:val="0"/>
          <w:sz w:val="18"/>
          <w:szCs w:val="18"/>
        </w:rPr>
      </w:pPr>
      <w:r w:rsidRPr="001B5289">
        <w:rPr>
          <w:rFonts w:eastAsia="微软雅黑" w:cs="宋体"/>
          <w:b/>
          <w:bCs/>
          <w:color w:val="0070C0"/>
          <w:kern w:val="0"/>
          <w:sz w:val="18"/>
          <w:szCs w:val="18"/>
        </w:rPr>
        <w:t>Case Analysis of Procurement Bidding Practice and Contract Risk Prevention</w:t>
      </w:r>
    </w:p>
    <w:p w:rsidR="001B5289" w:rsidRDefault="001B5289">
      <w:pPr>
        <w:jc w:val="center"/>
        <w:rPr>
          <w:rFonts w:eastAsia="微软雅黑" w:cs="宋体"/>
          <w:b/>
          <w:bCs/>
          <w:color w:val="0070C0"/>
          <w:kern w:val="0"/>
          <w:sz w:val="18"/>
          <w:szCs w:val="18"/>
        </w:rPr>
      </w:pPr>
    </w:p>
    <w:p w:rsidR="00CE568F" w:rsidRPr="00CE568F" w:rsidRDefault="003C5087" w:rsidP="00CE568F">
      <w:pPr>
        <w:rPr>
          <w:rFonts w:eastAsia="微软雅黑" w:cs="宋体"/>
          <w:b/>
          <w:bCs/>
          <w:color w:val="0070C0"/>
          <w:kern w:val="0"/>
          <w:sz w:val="24"/>
          <w:szCs w:val="24"/>
        </w:rPr>
      </w:pPr>
      <w:bookmarkStart w:id="0" w:name="_GoBack"/>
      <w:bookmarkEnd w:id="0"/>
      <w:r w:rsidRPr="00CE568F">
        <w:rPr>
          <w:rFonts w:eastAsia="微软雅黑" w:cs="宋体" w:hint="eastAsia"/>
          <w:b/>
          <w:bCs/>
          <w:color w:val="0070C0"/>
          <w:kern w:val="0"/>
          <w:sz w:val="24"/>
          <w:szCs w:val="24"/>
        </w:rPr>
        <w:t>时间</w:t>
      </w:r>
      <w:r w:rsidRPr="00CE568F">
        <w:rPr>
          <w:rFonts w:eastAsia="微软雅黑" w:cs="宋体" w:hint="eastAsia"/>
          <w:b/>
          <w:bCs/>
          <w:color w:val="0070C0"/>
          <w:kern w:val="0"/>
          <w:sz w:val="24"/>
          <w:szCs w:val="24"/>
        </w:rPr>
        <w:t>/</w:t>
      </w:r>
      <w:r w:rsidRPr="00CE568F">
        <w:rPr>
          <w:rFonts w:eastAsia="微软雅黑" w:cs="宋体" w:hint="eastAsia"/>
          <w:b/>
          <w:bCs/>
          <w:color w:val="0070C0"/>
          <w:kern w:val="0"/>
          <w:sz w:val="24"/>
          <w:szCs w:val="24"/>
        </w:rPr>
        <w:t>地点：</w:t>
      </w:r>
    </w:p>
    <w:p w:rsidR="00CE568F" w:rsidRDefault="00CE568F" w:rsidP="00CE568F">
      <w:pPr>
        <w:spacing w:line="360" w:lineRule="auto"/>
        <w:rPr>
          <w:rFonts w:eastAsia="微软雅黑" w:cs="宋体"/>
          <w:bCs/>
          <w:kern w:val="0"/>
          <w:sz w:val="18"/>
          <w:szCs w:val="18"/>
        </w:rPr>
      </w:pPr>
      <w:r>
        <w:rPr>
          <w:rFonts w:eastAsia="微软雅黑" w:cs="宋体"/>
          <w:b/>
          <w:bCs/>
          <w:kern w:val="0"/>
          <w:sz w:val="18"/>
          <w:szCs w:val="18"/>
        </w:rPr>
        <w:t>上海</w:t>
      </w:r>
      <w:r>
        <w:rPr>
          <w:rFonts w:eastAsia="微软雅黑" w:cs="宋体" w:hint="eastAsia"/>
          <w:b/>
          <w:bCs/>
          <w:kern w:val="0"/>
          <w:sz w:val="18"/>
          <w:szCs w:val="18"/>
        </w:rPr>
        <w:t>：</w:t>
      </w:r>
      <w:r w:rsidRPr="00CE568F">
        <w:rPr>
          <w:rFonts w:eastAsia="微软雅黑" w:cs="宋体" w:hint="eastAsia"/>
          <w:bCs/>
          <w:kern w:val="0"/>
          <w:sz w:val="18"/>
          <w:szCs w:val="18"/>
        </w:rPr>
        <w:t>2</w:t>
      </w:r>
      <w:r w:rsidRPr="00CE568F">
        <w:rPr>
          <w:rFonts w:eastAsia="微软雅黑" w:cs="宋体"/>
          <w:bCs/>
          <w:kern w:val="0"/>
          <w:sz w:val="18"/>
          <w:szCs w:val="18"/>
        </w:rPr>
        <w:t>020</w:t>
      </w:r>
      <w:r w:rsidRPr="00CE568F">
        <w:rPr>
          <w:rFonts w:eastAsia="微软雅黑" w:cs="宋体"/>
          <w:bCs/>
          <w:kern w:val="0"/>
          <w:sz w:val="18"/>
          <w:szCs w:val="18"/>
        </w:rPr>
        <w:t>年</w:t>
      </w:r>
      <w:r w:rsidRPr="00CE568F">
        <w:rPr>
          <w:rFonts w:eastAsia="微软雅黑" w:cs="宋体" w:hint="eastAsia"/>
          <w:bCs/>
          <w:kern w:val="0"/>
          <w:sz w:val="18"/>
          <w:szCs w:val="18"/>
        </w:rPr>
        <w:t>4</w:t>
      </w:r>
      <w:r w:rsidRPr="00CE568F">
        <w:rPr>
          <w:rFonts w:eastAsia="微软雅黑" w:cs="宋体" w:hint="eastAsia"/>
          <w:bCs/>
          <w:kern w:val="0"/>
          <w:sz w:val="18"/>
          <w:szCs w:val="18"/>
        </w:rPr>
        <w:t>月</w:t>
      </w:r>
      <w:r w:rsidRPr="00CE568F">
        <w:rPr>
          <w:rFonts w:eastAsia="微软雅黑" w:cs="宋体" w:hint="eastAsia"/>
          <w:bCs/>
          <w:kern w:val="0"/>
          <w:sz w:val="18"/>
          <w:szCs w:val="18"/>
        </w:rPr>
        <w:t>1</w:t>
      </w:r>
      <w:r w:rsidRPr="00CE568F">
        <w:rPr>
          <w:rFonts w:eastAsia="微软雅黑" w:cs="宋体"/>
          <w:bCs/>
          <w:kern w:val="0"/>
          <w:sz w:val="18"/>
          <w:szCs w:val="18"/>
        </w:rPr>
        <w:t>6</w:t>
      </w:r>
      <w:r w:rsidRPr="00CE568F">
        <w:rPr>
          <w:rFonts w:eastAsia="微软雅黑" w:cs="宋体" w:hint="eastAsia"/>
          <w:bCs/>
          <w:kern w:val="0"/>
          <w:sz w:val="18"/>
          <w:szCs w:val="18"/>
        </w:rPr>
        <w:t>-</w:t>
      </w:r>
      <w:r w:rsidRPr="00CE568F">
        <w:rPr>
          <w:rFonts w:eastAsia="微软雅黑" w:cs="宋体"/>
          <w:bCs/>
          <w:kern w:val="0"/>
          <w:sz w:val="18"/>
          <w:szCs w:val="18"/>
        </w:rPr>
        <w:t>17</w:t>
      </w:r>
      <w:r w:rsidRPr="00CE568F">
        <w:rPr>
          <w:rFonts w:eastAsia="微软雅黑" w:cs="宋体"/>
          <w:bCs/>
          <w:kern w:val="0"/>
          <w:sz w:val="18"/>
          <w:szCs w:val="18"/>
        </w:rPr>
        <w:t>日</w:t>
      </w:r>
    </w:p>
    <w:p w:rsidR="003C5087" w:rsidRDefault="00CE568F" w:rsidP="00CE568F">
      <w:pPr>
        <w:spacing w:line="360" w:lineRule="auto"/>
        <w:rPr>
          <w:rFonts w:eastAsia="微软雅黑" w:cs="宋体"/>
          <w:bCs/>
          <w:kern w:val="0"/>
          <w:sz w:val="18"/>
          <w:szCs w:val="18"/>
        </w:rPr>
      </w:pPr>
      <w:r w:rsidRPr="00CE568F">
        <w:rPr>
          <w:rFonts w:eastAsia="微软雅黑" w:cs="宋体"/>
          <w:b/>
          <w:bCs/>
          <w:kern w:val="0"/>
          <w:sz w:val="18"/>
          <w:szCs w:val="18"/>
        </w:rPr>
        <w:t>北京</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bCs/>
          <w:kern w:val="0"/>
          <w:sz w:val="18"/>
          <w:szCs w:val="18"/>
        </w:rPr>
        <w:t>年</w:t>
      </w:r>
      <w:r>
        <w:rPr>
          <w:rFonts w:eastAsia="微软雅黑" w:cs="宋体" w:hint="eastAsia"/>
          <w:bCs/>
          <w:kern w:val="0"/>
          <w:sz w:val="18"/>
          <w:szCs w:val="18"/>
        </w:rPr>
        <w:t>7</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3</w:t>
      </w:r>
      <w:r>
        <w:rPr>
          <w:rFonts w:eastAsia="微软雅黑" w:cs="宋体" w:hint="eastAsia"/>
          <w:bCs/>
          <w:kern w:val="0"/>
          <w:sz w:val="18"/>
          <w:szCs w:val="18"/>
        </w:rPr>
        <w:t>-</w:t>
      </w:r>
      <w:r>
        <w:rPr>
          <w:rFonts w:eastAsia="微软雅黑" w:cs="宋体"/>
          <w:bCs/>
          <w:kern w:val="0"/>
          <w:sz w:val="18"/>
          <w:szCs w:val="18"/>
        </w:rPr>
        <w:t>24</w:t>
      </w:r>
      <w:r>
        <w:rPr>
          <w:rFonts w:eastAsia="微软雅黑" w:cs="宋体"/>
          <w:bCs/>
          <w:kern w:val="0"/>
          <w:sz w:val="18"/>
          <w:szCs w:val="18"/>
        </w:rPr>
        <w:t>日</w:t>
      </w:r>
      <w:r w:rsidR="003C5087">
        <w:rPr>
          <w:rFonts w:eastAsia="微软雅黑" w:cs="宋体" w:hint="eastAsia"/>
          <w:bCs/>
          <w:kern w:val="0"/>
          <w:sz w:val="18"/>
          <w:szCs w:val="18"/>
        </w:rPr>
        <w:t xml:space="preserve"> </w:t>
      </w:r>
      <w:r w:rsidR="003C5087">
        <w:rPr>
          <w:rFonts w:eastAsia="微软雅黑" w:cs="宋体"/>
          <w:bCs/>
          <w:kern w:val="0"/>
          <w:sz w:val="18"/>
          <w:szCs w:val="18"/>
        </w:rPr>
        <w:t xml:space="preserve">          </w:t>
      </w:r>
    </w:p>
    <w:p w:rsidR="007E3581" w:rsidRDefault="00CE568F" w:rsidP="00CE568F">
      <w:pPr>
        <w:spacing w:line="360" w:lineRule="auto"/>
        <w:rPr>
          <w:rFonts w:eastAsia="微软雅黑" w:cs="宋体"/>
          <w:bCs/>
          <w:kern w:val="0"/>
          <w:sz w:val="18"/>
          <w:szCs w:val="18"/>
        </w:rPr>
      </w:pPr>
      <w:r w:rsidRPr="00CE568F">
        <w:rPr>
          <w:rFonts w:eastAsia="微软雅黑" w:cs="宋体" w:hint="eastAsia"/>
          <w:b/>
          <w:bCs/>
          <w:kern w:val="0"/>
          <w:sz w:val="18"/>
          <w:szCs w:val="18"/>
        </w:rPr>
        <w:t>深圳</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bCs/>
          <w:kern w:val="0"/>
          <w:sz w:val="18"/>
          <w:szCs w:val="18"/>
        </w:rPr>
        <w:t>年</w:t>
      </w:r>
      <w:r>
        <w:rPr>
          <w:rFonts w:eastAsia="微软雅黑" w:cs="宋体" w:hint="eastAsia"/>
          <w:bCs/>
          <w:kern w:val="0"/>
          <w:sz w:val="18"/>
          <w:szCs w:val="18"/>
        </w:rPr>
        <w:t>9</w:t>
      </w:r>
      <w:r>
        <w:rPr>
          <w:rFonts w:eastAsia="微软雅黑" w:cs="宋体" w:hint="eastAsia"/>
          <w:bCs/>
          <w:kern w:val="0"/>
          <w:sz w:val="18"/>
          <w:szCs w:val="18"/>
        </w:rPr>
        <w:t>月</w:t>
      </w:r>
      <w:r>
        <w:rPr>
          <w:rFonts w:eastAsia="微软雅黑" w:cs="宋体" w:hint="eastAsia"/>
          <w:bCs/>
          <w:kern w:val="0"/>
          <w:sz w:val="18"/>
          <w:szCs w:val="18"/>
        </w:rPr>
        <w:t>1</w:t>
      </w:r>
      <w:r>
        <w:rPr>
          <w:rFonts w:eastAsia="微软雅黑" w:cs="宋体"/>
          <w:bCs/>
          <w:kern w:val="0"/>
          <w:sz w:val="18"/>
          <w:szCs w:val="18"/>
        </w:rPr>
        <w:t>0</w:t>
      </w:r>
      <w:r>
        <w:rPr>
          <w:rFonts w:eastAsia="微软雅黑" w:cs="宋体" w:hint="eastAsia"/>
          <w:bCs/>
          <w:kern w:val="0"/>
          <w:sz w:val="18"/>
          <w:szCs w:val="18"/>
        </w:rPr>
        <w:t>-</w:t>
      </w:r>
      <w:r>
        <w:rPr>
          <w:rFonts w:eastAsia="微软雅黑" w:cs="宋体"/>
          <w:bCs/>
          <w:kern w:val="0"/>
          <w:sz w:val="18"/>
          <w:szCs w:val="18"/>
        </w:rPr>
        <w:t>11</w:t>
      </w:r>
      <w:r>
        <w:rPr>
          <w:rFonts w:eastAsia="微软雅黑" w:cs="宋体"/>
          <w:bCs/>
          <w:kern w:val="0"/>
          <w:sz w:val="18"/>
          <w:szCs w:val="18"/>
        </w:rPr>
        <w:t>日</w:t>
      </w:r>
      <w:r w:rsidR="007E3581">
        <w:rPr>
          <w:rFonts w:eastAsia="微软雅黑" w:cs="宋体" w:hint="eastAsia"/>
          <w:bCs/>
          <w:kern w:val="0"/>
          <w:sz w:val="18"/>
          <w:szCs w:val="18"/>
        </w:rPr>
        <w:t xml:space="preserve"> </w:t>
      </w:r>
      <w:r w:rsidR="007E3581">
        <w:rPr>
          <w:rFonts w:eastAsia="微软雅黑" w:cs="宋体"/>
          <w:bCs/>
          <w:kern w:val="0"/>
          <w:sz w:val="18"/>
          <w:szCs w:val="18"/>
        </w:rPr>
        <w:t xml:space="preserve">      </w:t>
      </w:r>
      <w:r w:rsidR="001B5289">
        <w:rPr>
          <w:rFonts w:eastAsia="微软雅黑" w:cs="宋体"/>
          <w:bCs/>
          <w:kern w:val="0"/>
          <w:sz w:val="18"/>
          <w:szCs w:val="18"/>
        </w:rPr>
        <w:t xml:space="preserve">  </w:t>
      </w:r>
      <w:r w:rsidR="007E3581">
        <w:rPr>
          <w:rFonts w:eastAsia="微软雅黑" w:cs="宋体"/>
          <w:bCs/>
          <w:kern w:val="0"/>
          <w:sz w:val="18"/>
          <w:szCs w:val="18"/>
        </w:rPr>
        <w:t xml:space="preserve"> </w:t>
      </w:r>
    </w:p>
    <w:p w:rsidR="00CE568F" w:rsidRDefault="00FC6E5A">
      <w:pPr>
        <w:rPr>
          <w:rFonts w:eastAsia="微软雅黑" w:cs="宋体"/>
          <w:b/>
          <w:bCs/>
          <w:color w:val="0070C0"/>
          <w:kern w:val="0"/>
          <w:sz w:val="24"/>
          <w:szCs w:val="24"/>
        </w:rPr>
      </w:pPr>
      <w:r w:rsidRPr="00CE568F">
        <w:rPr>
          <w:rFonts w:eastAsia="微软雅黑" w:cs="宋体" w:hint="eastAsia"/>
          <w:b/>
          <w:bCs/>
          <w:color w:val="0070C0"/>
          <w:kern w:val="0"/>
          <w:sz w:val="24"/>
          <w:szCs w:val="24"/>
        </w:rPr>
        <w:t>费用</w:t>
      </w:r>
      <w:r w:rsidRPr="00CE568F">
        <w:rPr>
          <w:rFonts w:eastAsia="微软雅黑" w:cs="宋体"/>
          <w:b/>
          <w:bCs/>
          <w:color w:val="0070C0"/>
          <w:kern w:val="0"/>
          <w:sz w:val="24"/>
          <w:szCs w:val="24"/>
        </w:rPr>
        <w:t>/Fee</w:t>
      </w:r>
      <w:r w:rsidRPr="00CE568F">
        <w:rPr>
          <w:rFonts w:eastAsia="微软雅黑" w:cs="宋体" w:hint="eastAsia"/>
          <w:b/>
          <w:bCs/>
          <w:color w:val="0070C0"/>
          <w:kern w:val="0"/>
          <w:sz w:val="24"/>
          <w:szCs w:val="24"/>
        </w:rPr>
        <w:t>：</w:t>
      </w:r>
    </w:p>
    <w:p w:rsidR="00FC6E5A" w:rsidRPr="00CE568F" w:rsidRDefault="00B32099">
      <w:pPr>
        <w:rPr>
          <w:rFonts w:eastAsia="微软雅黑" w:cs="宋体"/>
          <w:b/>
          <w:bCs/>
          <w:color w:val="C00000"/>
          <w:kern w:val="0"/>
          <w:sz w:val="18"/>
          <w:szCs w:val="18"/>
        </w:rPr>
      </w:pPr>
      <w:r>
        <w:rPr>
          <w:rFonts w:eastAsia="微软雅黑" w:cs="宋体" w:hint="eastAsia"/>
          <w:b/>
          <w:bCs/>
          <w:color w:val="C00000"/>
          <w:kern w:val="0"/>
          <w:sz w:val="18"/>
          <w:szCs w:val="18"/>
        </w:rPr>
        <w:t>4580</w:t>
      </w:r>
      <w:r w:rsidR="00FC6E5A">
        <w:rPr>
          <w:rFonts w:eastAsia="微软雅黑" w:cs="宋体" w:hint="eastAsia"/>
          <w:b/>
          <w:bCs/>
          <w:color w:val="C00000"/>
          <w:kern w:val="0"/>
          <w:sz w:val="18"/>
          <w:szCs w:val="18"/>
        </w:rPr>
        <w:t>元</w:t>
      </w:r>
      <w:r w:rsidR="00FC6E5A">
        <w:rPr>
          <w:rFonts w:eastAsia="微软雅黑" w:cs="宋体"/>
          <w:b/>
          <w:bCs/>
          <w:color w:val="C00000"/>
          <w:kern w:val="0"/>
          <w:sz w:val="18"/>
          <w:szCs w:val="18"/>
        </w:rPr>
        <w:t>/</w:t>
      </w:r>
      <w:r w:rsidR="00FC6E5A">
        <w:rPr>
          <w:rFonts w:eastAsia="微软雅黑" w:cs="宋体" w:hint="eastAsia"/>
          <w:b/>
          <w:bCs/>
          <w:color w:val="C00000"/>
          <w:kern w:val="0"/>
          <w:sz w:val="18"/>
          <w:szCs w:val="18"/>
        </w:rPr>
        <w:t>人</w:t>
      </w:r>
      <w:r w:rsidR="00CE568F" w:rsidRPr="00CE568F">
        <w:rPr>
          <w:rFonts w:eastAsia="微软雅黑" w:cs="宋体" w:hint="eastAsia"/>
          <w:b/>
          <w:bCs/>
          <w:color w:val="C00000"/>
          <w:kern w:val="0"/>
          <w:sz w:val="18"/>
          <w:szCs w:val="18"/>
        </w:rPr>
        <w:t>（含午餐及茶歇）</w:t>
      </w: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AE7D2F">
              <w:rPr>
                <w:rFonts w:eastAsia="微软雅黑" w:cs="宋体"/>
                <w:bCs/>
                <w:kern w:val="0"/>
                <w:sz w:val="18"/>
                <w:szCs w:val="18"/>
              </w:rPr>
              <w:t>6</w:t>
            </w:r>
            <w:r>
              <w:rPr>
                <w:rFonts w:eastAsia="微软雅黑" w:cs="宋体"/>
                <w:bCs/>
                <w:kern w:val="0"/>
                <w:sz w:val="18"/>
                <w:szCs w:val="18"/>
              </w:rPr>
              <w:t>:</w:t>
            </w:r>
            <w:r w:rsidR="00AE7D2F">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94755E" w:rsidRDefault="0094755E" w:rsidP="0094755E">
      <w:pPr>
        <w:rPr>
          <w:rFonts w:eastAsia="微软雅黑"/>
          <w:b/>
          <w:kern w:val="0"/>
          <w:szCs w:val="20"/>
        </w:rPr>
      </w:pPr>
      <w:r>
        <w:rPr>
          <w:rFonts w:eastAsia="微软雅黑" w:hint="eastAsia"/>
          <w:b/>
          <w:kern w:val="0"/>
          <w:szCs w:val="20"/>
        </w:rPr>
        <w:t>课程</w:t>
      </w:r>
      <w:r w:rsidR="006E0F22">
        <w:rPr>
          <w:rFonts w:eastAsia="微软雅黑" w:hint="eastAsia"/>
          <w:b/>
          <w:kern w:val="0"/>
          <w:szCs w:val="20"/>
        </w:rPr>
        <w:t>背景</w:t>
      </w:r>
      <w:r>
        <w:rPr>
          <w:rFonts w:eastAsia="微软雅黑" w:hint="eastAsia"/>
          <w:b/>
          <w:kern w:val="0"/>
          <w:szCs w:val="20"/>
        </w:rPr>
        <w:t>：</w:t>
      </w:r>
    </w:p>
    <w:p w:rsidR="002271D1" w:rsidRDefault="001B5289" w:rsidP="006E0F22">
      <w:pPr>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如何在中国相应的法律法规框架下，有效地规范招投标相关的采购流程，提高采购工作效率，利用竞争降低成本， 并保障项目和供应质量，是摆在大部分采购人面前的课题。本课程结合国内外招标投标实践和，详细讲解招标投标法律法规、规范化招标流程，合同签署和管理，让从事相关采购管理工作的人员学会如何科学高效地管理整个流程和成本、规避风险，同时提升合</w:t>
      </w:r>
      <w:proofErr w:type="gramStart"/>
      <w:r w:rsidRPr="001B5289">
        <w:rPr>
          <w:rFonts w:ascii="微软雅黑" w:eastAsia="微软雅黑" w:hAnsi="微软雅黑" w:cs="宋体" w:hint="eastAsia"/>
          <w:bCs/>
          <w:kern w:val="0"/>
          <w:sz w:val="18"/>
          <w:szCs w:val="18"/>
        </w:rPr>
        <w:t>规</w:t>
      </w:r>
      <w:proofErr w:type="gramEnd"/>
      <w:r w:rsidRPr="001B5289">
        <w:rPr>
          <w:rFonts w:ascii="微软雅黑" w:eastAsia="微软雅黑" w:hAnsi="微软雅黑" w:cs="宋体" w:hint="eastAsia"/>
          <w:bCs/>
          <w:kern w:val="0"/>
          <w:sz w:val="18"/>
          <w:szCs w:val="18"/>
        </w:rPr>
        <w:t>性</w:t>
      </w:r>
      <w:r w:rsidR="0094755E" w:rsidRPr="0094755E">
        <w:rPr>
          <w:rFonts w:ascii="微软雅黑" w:eastAsia="微软雅黑" w:hAnsi="微软雅黑" w:cs="宋体" w:hint="eastAsia"/>
          <w:bCs/>
          <w:kern w:val="0"/>
          <w:sz w:val="18"/>
          <w:szCs w:val="18"/>
        </w:rPr>
        <w:t>。</w:t>
      </w:r>
    </w:p>
    <w:p w:rsidR="0094755E" w:rsidRDefault="0094755E" w:rsidP="0094755E">
      <w:pPr>
        <w:rPr>
          <w:rFonts w:ascii="微软雅黑" w:eastAsia="微软雅黑" w:hAnsi="微软雅黑" w:cs="宋体"/>
          <w:bCs/>
          <w:kern w:val="0"/>
          <w:sz w:val="18"/>
          <w:szCs w:val="18"/>
        </w:rPr>
      </w:pPr>
    </w:p>
    <w:p w:rsidR="0094755E" w:rsidRPr="0094755E" w:rsidRDefault="001B5289" w:rsidP="0094755E">
      <w:pPr>
        <w:rPr>
          <w:rFonts w:eastAsia="微软雅黑"/>
          <w:b/>
          <w:kern w:val="0"/>
          <w:szCs w:val="20"/>
        </w:rPr>
      </w:pPr>
      <w:r>
        <w:rPr>
          <w:rFonts w:eastAsia="微软雅黑" w:hint="eastAsia"/>
          <w:b/>
          <w:kern w:val="0"/>
          <w:szCs w:val="20"/>
        </w:rPr>
        <w:t>课程</w:t>
      </w:r>
      <w:r w:rsidR="006E0F22">
        <w:rPr>
          <w:rFonts w:eastAsia="微软雅黑" w:hint="eastAsia"/>
          <w:b/>
          <w:kern w:val="0"/>
          <w:szCs w:val="20"/>
        </w:rPr>
        <w:t>收益</w:t>
      </w:r>
      <w:r w:rsidR="0094755E" w:rsidRPr="0094755E">
        <w:rPr>
          <w:rFonts w:eastAsia="微软雅黑" w:hint="eastAsia"/>
          <w:b/>
          <w:kern w:val="0"/>
          <w:szCs w:val="20"/>
        </w:rPr>
        <w:t>：</w:t>
      </w:r>
    </w:p>
    <w:p w:rsidR="001B5289" w:rsidRPr="001B5289" w:rsidRDefault="001B5289" w:rsidP="001B5289">
      <w:pPr>
        <w:pStyle w:val="a9"/>
        <w:numPr>
          <w:ilvl w:val="0"/>
          <w:numId w:val="36"/>
        </w:numPr>
        <w:ind w:firstLineChars="0"/>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掌握中国相应的招标投标法律法规</w:t>
      </w:r>
    </w:p>
    <w:p w:rsidR="001B5289" w:rsidRPr="001B5289" w:rsidRDefault="001B5289" w:rsidP="001B5289">
      <w:pPr>
        <w:pStyle w:val="a9"/>
        <w:numPr>
          <w:ilvl w:val="0"/>
          <w:numId w:val="36"/>
        </w:numPr>
        <w:ind w:firstLineChars="0"/>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学会如何科学高效地管理好招标的整个流程</w:t>
      </w:r>
    </w:p>
    <w:p w:rsidR="001B5289" w:rsidRPr="001B5289" w:rsidRDefault="001B5289" w:rsidP="001B5289">
      <w:pPr>
        <w:pStyle w:val="a9"/>
        <w:numPr>
          <w:ilvl w:val="0"/>
          <w:numId w:val="36"/>
        </w:numPr>
        <w:ind w:firstLineChars="0"/>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知道可能出现在各个环节的风险以及规避的方法</w:t>
      </w:r>
    </w:p>
    <w:p w:rsidR="001B5289" w:rsidRPr="001B5289" w:rsidRDefault="001B5289" w:rsidP="001B5289">
      <w:pPr>
        <w:pStyle w:val="a9"/>
        <w:numPr>
          <w:ilvl w:val="0"/>
          <w:numId w:val="36"/>
        </w:numPr>
        <w:ind w:firstLineChars="0"/>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提高对合同这种法律文件的认识</w:t>
      </w:r>
    </w:p>
    <w:p w:rsidR="006E0F22" w:rsidRPr="001B5289" w:rsidRDefault="001B5289" w:rsidP="001B5289">
      <w:pPr>
        <w:pStyle w:val="a9"/>
        <w:numPr>
          <w:ilvl w:val="0"/>
          <w:numId w:val="36"/>
        </w:numPr>
        <w:ind w:firstLineChars="0"/>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学习合同签署、风险处理以及合同后期的管理</w:t>
      </w:r>
    </w:p>
    <w:p w:rsidR="001B5289" w:rsidRPr="0094755E" w:rsidRDefault="001B5289" w:rsidP="001B5289">
      <w:pPr>
        <w:rPr>
          <w:rFonts w:ascii="微软雅黑" w:eastAsia="微软雅黑" w:hAnsi="微软雅黑" w:cs="宋体"/>
          <w:bCs/>
          <w:kern w:val="0"/>
          <w:sz w:val="18"/>
          <w:szCs w:val="18"/>
        </w:rPr>
      </w:pPr>
    </w:p>
    <w:p w:rsidR="0094755E" w:rsidRDefault="0094755E" w:rsidP="0094755E">
      <w:pPr>
        <w:rPr>
          <w:rFonts w:eastAsia="微软雅黑"/>
          <w:b/>
          <w:kern w:val="0"/>
          <w:szCs w:val="20"/>
        </w:rPr>
      </w:pPr>
      <w:r w:rsidRPr="0094755E">
        <w:rPr>
          <w:rFonts w:eastAsia="微软雅黑" w:hint="eastAsia"/>
          <w:b/>
          <w:kern w:val="0"/>
          <w:szCs w:val="20"/>
        </w:rPr>
        <w:t>授课对象：</w:t>
      </w:r>
    </w:p>
    <w:p w:rsidR="002271D1" w:rsidRPr="006E0F22" w:rsidRDefault="001B5289" w:rsidP="0094755E">
      <w:pPr>
        <w:rPr>
          <w:rFonts w:ascii="微软雅黑" w:eastAsia="微软雅黑" w:hAnsi="微软雅黑" w:cs="宋体"/>
          <w:bCs/>
          <w:kern w:val="0"/>
          <w:sz w:val="18"/>
          <w:szCs w:val="18"/>
        </w:rPr>
      </w:pPr>
      <w:r w:rsidRPr="001B5289">
        <w:rPr>
          <w:rFonts w:ascii="微软雅黑" w:eastAsia="微软雅黑" w:hAnsi="微软雅黑" w:cs="宋体" w:hint="eastAsia"/>
          <w:bCs/>
          <w:kern w:val="0"/>
          <w:sz w:val="18"/>
          <w:szCs w:val="18"/>
        </w:rPr>
        <w:t>工作中涉及到招标和合同管理人员，包括但不限于采购部、合</w:t>
      </w:r>
      <w:proofErr w:type="gramStart"/>
      <w:r w:rsidRPr="001B5289">
        <w:rPr>
          <w:rFonts w:ascii="微软雅黑" w:eastAsia="微软雅黑" w:hAnsi="微软雅黑" w:cs="宋体" w:hint="eastAsia"/>
          <w:bCs/>
          <w:kern w:val="0"/>
          <w:sz w:val="18"/>
          <w:szCs w:val="18"/>
        </w:rPr>
        <w:t>规</w:t>
      </w:r>
      <w:proofErr w:type="gramEnd"/>
      <w:r w:rsidRPr="001B5289">
        <w:rPr>
          <w:rFonts w:ascii="微软雅黑" w:eastAsia="微软雅黑" w:hAnsi="微软雅黑" w:cs="宋体" w:hint="eastAsia"/>
          <w:bCs/>
          <w:kern w:val="0"/>
          <w:sz w:val="18"/>
          <w:szCs w:val="18"/>
        </w:rPr>
        <w:t>部员工、公司管理层和其他部门员工</w:t>
      </w:r>
      <w:r w:rsidR="0094755E">
        <w:rPr>
          <w:rFonts w:ascii="微软雅黑" w:eastAsia="微软雅黑" w:hAnsi="微软雅黑" w:cs="宋体"/>
          <w:bCs/>
          <w:kern w:val="0"/>
          <w:sz w:val="18"/>
          <w:szCs w:val="18"/>
        </w:rPr>
        <w:br/>
      </w: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1B5289" w:rsidRPr="001B5289" w:rsidRDefault="001B5289" w:rsidP="001B5289">
            <w:pPr>
              <w:pStyle w:val="p0"/>
              <w:snapToGrid w:val="0"/>
              <w:rPr>
                <w:rFonts w:eastAsia="微软雅黑"/>
                <w:b/>
                <w:sz w:val="20"/>
                <w:szCs w:val="18"/>
              </w:rPr>
            </w:pPr>
            <w:r w:rsidRPr="001B5289">
              <w:rPr>
                <w:rFonts w:eastAsia="微软雅黑" w:hint="eastAsia"/>
                <w:b/>
                <w:sz w:val="20"/>
                <w:szCs w:val="18"/>
              </w:rPr>
              <w:t>一、招投标法规的基本内容及招投标的要求</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1</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《中华人民共和国招标投标法》及其适用范围</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2</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招标前的准备</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3</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招标的方式和选择的基本原则</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4</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投标的基本要求</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lastRenderedPageBreak/>
              <w:t>5</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开标、评标和中标</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6</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法律责任</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7</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可以不招标的情况</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8</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招标师及招标代理资质的政策已经终结</w:t>
            </w:r>
          </w:p>
          <w:p w:rsidR="001B5289" w:rsidRPr="001B5289" w:rsidRDefault="001B5289" w:rsidP="001B5289">
            <w:pPr>
              <w:pStyle w:val="p0"/>
              <w:snapToGrid w:val="0"/>
              <w:rPr>
                <w:rFonts w:eastAsia="微软雅黑"/>
                <w:bCs/>
                <w:sz w:val="18"/>
                <w:szCs w:val="16"/>
              </w:rPr>
            </w:pPr>
          </w:p>
          <w:p w:rsidR="001B5289" w:rsidRPr="001B5289" w:rsidRDefault="001B5289" w:rsidP="001B5289">
            <w:pPr>
              <w:pStyle w:val="p0"/>
              <w:snapToGrid w:val="0"/>
              <w:rPr>
                <w:rFonts w:eastAsia="微软雅黑"/>
                <w:b/>
                <w:sz w:val="20"/>
                <w:szCs w:val="18"/>
              </w:rPr>
            </w:pPr>
            <w:r w:rsidRPr="001B5289">
              <w:rPr>
                <w:rFonts w:eastAsia="微软雅黑" w:hint="eastAsia"/>
                <w:b/>
                <w:sz w:val="20"/>
                <w:szCs w:val="18"/>
              </w:rPr>
              <w:t>二、招标的公告和资格审核</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1</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公开招标</w:t>
            </w:r>
            <w:proofErr w:type="gramStart"/>
            <w:r w:rsidRPr="001B5289">
              <w:rPr>
                <w:rFonts w:eastAsia="微软雅黑" w:hint="eastAsia"/>
                <w:bCs/>
                <w:sz w:val="18"/>
                <w:szCs w:val="16"/>
              </w:rPr>
              <w:t>与邀请</w:t>
            </w:r>
            <w:proofErr w:type="gramEnd"/>
            <w:r w:rsidRPr="001B5289">
              <w:rPr>
                <w:rFonts w:eastAsia="微软雅黑" w:hint="eastAsia"/>
                <w:bCs/>
                <w:sz w:val="18"/>
                <w:szCs w:val="16"/>
              </w:rPr>
              <w:t>招标</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2</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招标公告的媒体选择</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3</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资格审核的方式</w:t>
            </w:r>
            <w:r w:rsidRPr="001B5289">
              <w:rPr>
                <w:rFonts w:eastAsia="微软雅黑" w:hint="eastAsia"/>
                <w:bCs/>
                <w:sz w:val="18"/>
                <w:szCs w:val="16"/>
              </w:rPr>
              <w:t>:</w:t>
            </w:r>
            <w:r w:rsidRPr="001B5289">
              <w:rPr>
                <w:rFonts w:eastAsia="微软雅黑" w:hint="eastAsia"/>
                <w:bCs/>
                <w:sz w:val="18"/>
                <w:szCs w:val="16"/>
              </w:rPr>
              <w:t>预审和后审</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4</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资格审核的基本原则</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5</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时间要求</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6</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数量要求</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7</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投标保证金</w:t>
            </w:r>
          </w:p>
          <w:p w:rsidR="001B5289" w:rsidRPr="001B5289" w:rsidRDefault="001B5289" w:rsidP="001B5289">
            <w:pPr>
              <w:pStyle w:val="p0"/>
              <w:snapToGrid w:val="0"/>
              <w:rPr>
                <w:rFonts w:eastAsia="微软雅黑"/>
                <w:bCs/>
                <w:sz w:val="18"/>
                <w:szCs w:val="16"/>
              </w:rPr>
            </w:pPr>
          </w:p>
          <w:p w:rsidR="001B5289" w:rsidRPr="001B5289" w:rsidRDefault="001B5289" w:rsidP="001B5289">
            <w:pPr>
              <w:pStyle w:val="p0"/>
              <w:snapToGrid w:val="0"/>
              <w:rPr>
                <w:rFonts w:eastAsia="微软雅黑"/>
                <w:b/>
                <w:sz w:val="20"/>
                <w:szCs w:val="18"/>
              </w:rPr>
            </w:pPr>
            <w:r w:rsidRPr="001B5289">
              <w:rPr>
                <w:rFonts w:eastAsia="微软雅黑" w:hint="eastAsia"/>
                <w:b/>
                <w:sz w:val="20"/>
                <w:szCs w:val="18"/>
              </w:rPr>
              <w:t>三、招标文件的编制和评标办法的设计</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1</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招标文件包</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2</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评标原则的设计</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3</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评标委员会的组成</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4</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招标文件的发售</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5</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招标文件的审核或备案</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6</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招标文件的澄清与修改</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7</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投标回执</w:t>
            </w:r>
          </w:p>
          <w:p w:rsidR="001B5289" w:rsidRPr="001B5289" w:rsidRDefault="001B5289" w:rsidP="001B5289">
            <w:pPr>
              <w:pStyle w:val="p0"/>
              <w:snapToGrid w:val="0"/>
              <w:rPr>
                <w:rFonts w:eastAsia="微软雅黑"/>
                <w:bCs/>
                <w:sz w:val="18"/>
                <w:szCs w:val="16"/>
              </w:rPr>
            </w:pPr>
          </w:p>
          <w:p w:rsidR="001B5289" w:rsidRPr="001B5289" w:rsidRDefault="001B5289" w:rsidP="001B5289">
            <w:pPr>
              <w:pStyle w:val="p0"/>
              <w:snapToGrid w:val="0"/>
              <w:rPr>
                <w:rFonts w:eastAsia="微软雅黑"/>
                <w:b/>
                <w:sz w:val="20"/>
                <w:szCs w:val="18"/>
              </w:rPr>
            </w:pPr>
            <w:r w:rsidRPr="001B5289">
              <w:rPr>
                <w:rFonts w:eastAsia="微软雅黑" w:hint="eastAsia"/>
                <w:b/>
                <w:sz w:val="20"/>
                <w:szCs w:val="18"/>
              </w:rPr>
              <w:t>四、开标和评标</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1</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开标的流程和规则</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2</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开标过程中特殊事件的处理</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3</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评标专家组的组成</w:t>
            </w:r>
          </w:p>
          <w:p w:rsidR="001B5289" w:rsidRPr="001B5289" w:rsidRDefault="001B5289" w:rsidP="001B5289">
            <w:pPr>
              <w:pStyle w:val="p0"/>
              <w:snapToGrid w:val="0"/>
              <w:rPr>
                <w:rFonts w:eastAsia="微软雅黑"/>
                <w:bCs/>
                <w:sz w:val="18"/>
                <w:szCs w:val="16"/>
              </w:rPr>
            </w:pPr>
            <w:r w:rsidRPr="001B5289">
              <w:rPr>
                <w:rFonts w:eastAsia="微软雅黑" w:hint="eastAsia"/>
                <w:bCs/>
                <w:sz w:val="18"/>
                <w:szCs w:val="16"/>
              </w:rPr>
              <w:t>4</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招标争议与招标的监管</w:t>
            </w:r>
          </w:p>
          <w:p w:rsidR="00C11E75" w:rsidRDefault="001B5289" w:rsidP="001B5289">
            <w:pPr>
              <w:pStyle w:val="p0"/>
              <w:snapToGrid w:val="0"/>
              <w:rPr>
                <w:rFonts w:eastAsia="微软雅黑"/>
                <w:sz w:val="18"/>
                <w:szCs w:val="20"/>
              </w:rPr>
            </w:pPr>
            <w:r w:rsidRPr="001B5289">
              <w:rPr>
                <w:rFonts w:eastAsia="微软雅黑" w:hint="eastAsia"/>
                <w:bCs/>
                <w:sz w:val="18"/>
                <w:szCs w:val="16"/>
              </w:rPr>
              <w:t>5</w:t>
            </w:r>
            <w:r w:rsidRPr="001B5289">
              <w:rPr>
                <w:rFonts w:eastAsia="微软雅黑" w:hint="eastAsia"/>
                <w:bCs/>
                <w:sz w:val="18"/>
                <w:szCs w:val="16"/>
              </w:rPr>
              <w:t>、</w:t>
            </w:r>
            <w:r w:rsidRPr="001B5289">
              <w:rPr>
                <w:rFonts w:eastAsia="微软雅黑" w:hint="eastAsia"/>
                <w:bCs/>
                <w:sz w:val="18"/>
                <w:szCs w:val="16"/>
              </w:rPr>
              <w:tab/>
            </w:r>
            <w:r w:rsidRPr="001B5289">
              <w:rPr>
                <w:rFonts w:eastAsia="微软雅黑" w:hint="eastAsia"/>
                <w:bCs/>
                <w:sz w:val="18"/>
                <w:szCs w:val="16"/>
              </w:rPr>
              <w:t>招标中的违法行为</w:t>
            </w:r>
          </w:p>
        </w:tc>
        <w:tc>
          <w:tcPr>
            <w:tcW w:w="5341" w:type="dxa"/>
            <w:tcBorders>
              <w:top w:val="single" w:sz="4" w:space="0" w:color="A6A6A6"/>
              <w:bottom w:val="single" w:sz="4" w:space="0" w:color="A6A6A6"/>
            </w:tcBorders>
            <w:shd w:val="clear" w:color="auto" w:fill="F2F2F2"/>
          </w:tcPr>
          <w:p w:rsidR="001B5289" w:rsidRPr="001B5289" w:rsidRDefault="001B5289" w:rsidP="001B5289">
            <w:pPr>
              <w:pStyle w:val="p0"/>
              <w:snapToGrid w:val="0"/>
              <w:rPr>
                <w:rFonts w:eastAsia="微软雅黑"/>
                <w:b/>
                <w:bCs/>
                <w:sz w:val="20"/>
              </w:rPr>
            </w:pPr>
            <w:r w:rsidRPr="001B5289">
              <w:rPr>
                <w:rFonts w:eastAsia="微软雅黑" w:hint="eastAsia"/>
                <w:b/>
                <w:bCs/>
                <w:sz w:val="20"/>
              </w:rPr>
              <w:lastRenderedPageBreak/>
              <w:t>五、中标与签约</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1</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确定中标人的流程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2</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合同文件的组成与优先解释顺序</w:t>
            </w:r>
          </w:p>
          <w:p w:rsidR="001B5289" w:rsidRPr="001B5289" w:rsidRDefault="001B5289" w:rsidP="001B5289">
            <w:pPr>
              <w:pStyle w:val="p0"/>
              <w:snapToGrid w:val="0"/>
              <w:rPr>
                <w:rFonts w:eastAsia="微软雅黑"/>
                <w:sz w:val="18"/>
                <w:szCs w:val="20"/>
              </w:rPr>
            </w:pPr>
            <w:r w:rsidRPr="001B5289">
              <w:rPr>
                <w:rFonts w:eastAsia="微软雅黑"/>
                <w:sz w:val="18"/>
                <w:szCs w:val="20"/>
              </w:rPr>
              <w:t>3</w:t>
            </w:r>
            <w:r w:rsidRPr="001B5289">
              <w:rPr>
                <w:rFonts w:eastAsia="微软雅黑" w:hint="eastAsia"/>
                <w:sz w:val="18"/>
                <w:szCs w:val="20"/>
              </w:rPr>
              <w:t>、</w:t>
            </w:r>
            <w:r w:rsidRPr="001B5289">
              <w:rPr>
                <w:rFonts w:eastAsia="微软雅黑"/>
                <w:sz w:val="18"/>
                <w:szCs w:val="20"/>
              </w:rPr>
              <w:tab/>
            </w:r>
            <w:r w:rsidRPr="001B5289">
              <w:rPr>
                <w:rFonts w:eastAsia="微软雅黑" w:hint="eastAsia"/>
                <w:sz w:val="18"/>
                <w:szCs w:val="20"/>
              </w:rPr>
              <w:t>中标与谈判</w:t>
            </w:r>
            <w:r w:rsidRPr="001B5289">
              <w:rPr>
                <w:rFonts w:eastAsia="微软雅黑"/>
                <w:sz w:val="18"/>
                <w:szCs w:val="20"/>
              </w:rPr>
              <w:t xml:space="preserve">  </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4</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告知未中标人的方式</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lastRenderedPageBreak/>
              <w:t>5</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第一中标人弃标</w:t>
            </w:r>
          </w:p>
          <w:p w:rsidR="001B5289" w:rsidRPr="001B5289" w:rsidRDefault="001B5289" w:rsidP="001B5289">
            <w:pPr>
              <w:pStyle w:val="p0"/>
              <w:snapToGrid w:val="0"/>
              <w:rPr>
                <w:rFonts w:eastAsia="微软雅黑"/>
                <w:sz w:val="18"/>
                <w:szCs w:val="20"/>
              </w:rPr>
            </w:pPr>
            <w:r w:rsidRPr="001B5289">
              <w:rPr>
                <w:rFonts w:eastAsia="微软雅黑"/>
                <w:sz w:val="18"/>
                <w:szCs w:val="20"/>
              </w:rPr>
              <w:t xml:space="preserve">         </w:t>
            </w:r>
          </w:p>
          <w:p w:rsidR="001B5289" w:rsidRPr="001B5289" w:rsidRDefault="001B5289" w:rsidP="001B5289">
            <w:pPr>
              <w:pStyle w:val="p0"/>
              <w:snapToGrid w:val="0"/>
              <w:rPr>
                <w:rFonts w:eastAsia="微软雅黑"/>
                <w:b/>
                <w:bCs/>
                <w:sz w:val="20"/>
              </w:rPr>
            </w:pPr>
            <w:r w:rsidRPr="001B5289">
              <w:rPr>
                <w:rFonts w:eastAsia="微软雅黑" w:hint="eastAsia"/>
                <w:b/>
                <w:bCs/>
                <w:sz w:val="20"/>
              </w:rPr>
              <w:t>六、合同管理能力</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1</w:t>
            </w:r>
            <w:r w:rsidRPr="001B5289">
              <w:rPr>
                <w:rFonts w:eastAsia="微软雅黑" w:hint="eastAsia"/>
                <w:sz w:val="18"/>
                <w:szCs w:val="20"/>
              </w:rPr>
              <w:t>、合同法基本原则</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2</w:t>
            </w:r>
            <w:r w:rsidRPr="001B5289">
              <w:rPr>
                <w:rFonts w:eastAsia="微软雅黑" w:hint="eastAsia"/>
                <w:sz w:val="18"/>
                <w:szCs w:val="20"/>
              </w:rPr>
              <w:t>、一份好合同由什么构成</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3</w:t>
            </w:r>
            <w:r w:rsidRPr="001B5289">
              <w:rPr>
                <w:rFonts w:eastAsia="微软雅黑" w:hint="eastAsia"/>
                <w:sz w:val="18"/>
                <w:szCs w:val="20"/>
              </w:rPr>
              <w:t>、合同的主要条款</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4</w:t>
            </w:r>
            <w:r w:rsidRPr="001B5289">
              <w:rPr>
                <w:rFonts w:eastAsia="微软雅黑" w:hint="eastAsia"/>
                <w:sz w:val="18"/>
                <w:szCs w:val="20"/>
              </w:rPr>
              <w:t>、订立合同时存在的问题</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5</w:t>
            </w:r>
            <w:r w:rsidRPr="001B5289">
              <w:rPr>
                <w:rFonts w:eastAsia="微软雅黑" w:hint="eastAsia"/>
                <w:sz w:val="18"/>
                <w:szCs w:val="20"/>
              </w:rPr>
              <w:t>、付款条件与财务的关系</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6</w:t>
            </w:r>
            <w:r w:rsidRPr="001B5289">
              <w:rPr>
                <w:rFonts w:eastAsia="微软雅黑" w:hint="eastAsia"/>
                <w:sz w:val="18"/>
                <w:szCs w:val="20"/>
              </w:rPr>
              <w:t>、如何避免汇率波动所带来的影响</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7</w:t>
            </w:r>
            <w:r w:rsidRPr="001B5289">
              <w:rPr>
                <w:rFonts w:eastAsia="微软雅黑" w:hint="eastAsia"/>
                <w:sz w:val="18"/>
                <w:szCs w:val="20"/>
              </w:rPr>
              <w:t>、交货和验货标准</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8</w:t>
            </w:r>
            <w:r w:rsidRPr="001B5289">
              <w:rPr>
                <w:rFonts w:eastAsia="微软雅黑" w:hint="eastAsia"/>
                <w:sz w:val="18"/>
                <w:szCs w:val="20"/>
              </w:rPr>
              <w:t>、执行采购合同中存在的问题</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9</w:t>
            </w:r>
            <w:r w:rsidRPr="001B5289">
              <w:rPr>
                <w:rFonts w:eastAsia="微软雅黑" w:hint="eastAsia"/>
                <w:sz w:val="18"/>
                <w:szCs w:val="20"/>
              </w:rPr>
              <w:t>、合同的变更</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10</w:t>
            </w:r>
            <w:r w:rsidRPr="001B5289">
              <w:rPr>
                <w:rFonts w:eastAsia="微软雅黑" w:hint="eastAsia"/>
                <w:sz w:val="18"/>
                <w:szCs w:val="20"/>
              </w:rPr>
              <w:t>、违约和退出条款</w:t>
            </w:r>
          </w:p>
          <w:p w:rsidR="001B5289" w:rsidRPr="001B5289" w:rsidRDefault="001B5289" w:rsidP="001B5289">
            <w:pPr>
              <w:pStyle w:val="p0"/>
              <w:snapToGrid w:val="0"/>
              <w:rPr>
                <w:rFonts w:eastAsia="微软雅黑"/>
                <w:sz w:val="18"/>
                <w:szCs w:val="20"/>
              </w:rPr>
            </w:pPr>
          </w:p>
          <w:p w:rsidR="001B5289" w:rsidRPr="001B5289" w:rsidRDefault="001B5289" w:rsidP="001B5289">
            <w:pPr>
              <w:pStyle w:val="p0"/>
              <w:snapToGrid w:val="0"/>
              <w:rPr>
                <w:rFonts w:eastAsia="微软雅黑"/>
                <w:b/>
                <w:bCs/>
                <w:sz w:val="18"/>
                <w:szCs w:val="20"/>
              </w:rPr>
            </w:pPr>
            <w:r>
              <w:rPr>
                <w:rFonts w:eastAsia="微软雅黑" w:hint="eastAsia"/>
                <w:b/>
                <w:bCs/>
                <w:sz w:val="20"/>
              </w:rPr>
              <w:t>七</w:t>
            </w:r>
            <w:r w:rsidRPr="001B5289">
              <w:rPr>
                <w:rFonts w:eastAsia="微软雅黑" w:hint="eastAsia"/>
                <w:b/>
                <w:bCs/>
                <w:sz w:val="20"/>
              </w:rPr>
              <w:t>、采购风险识别和控制能力</w:t>
            </w:r>
            <w:r w:rsidRPr="001B5289">
              <w:rPr>
                <w:rFonts w:eastAsia="微软雅黑" w:hint="eastAsia"/>
                <w:b/>
                <w:bCs/>
                <w:sz w:val="18"/>
                <w:szCs w:val="20"/>
              </w:rPr>
              <w:t xml:space="preserve"> </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1</w:t>
            </w:r>
            <w:r w:rsidRPr="001B5289">
              <w:rPr>
                <w:rFonts w:eastAsia="微软雅黑" w:hint="eastAsia"/>
                <w:sz w:val="18"/>
                <w:szCs w:val="20"/>
              </w:rPr>
              <w:t>、采购中的风险</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2</w:t>
            </w:r>
            <w:r w:rsidRPr="001B5289">
              <w:rPr>
                <w:rFonts w:eastAsia="微软雅黑" w:hint="eastAsia"/>
                <w:sz w:val="18"/>
                <w:szCs w:val="20"/>
              </w:rPr>
              <w:t>、风险识别分析和风险评估的过程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3</w:t>
            </w:r>
            <w:r w:rsidRPr="001B5289">
              <w:rPr>
                <w:rFonts w:eastAsia="微软雅黑" w:hint="eastAsia"/>
                <w:sz w:val="18"/>
                <w:szCs w:val="20"/>
              </w:rPr>
              <w:t>、风险评估的常用办法</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4</w:t>
            </w:r>
            <w:r w:rsidRPr="001B5289">
              <w:rPr>
                <w:rFonts w:eastAsia="微软雅黑" w:hint="eastAsia"/>
                <w:sz w:val="18"/>
                <w:szCs w:val="20"/>
              </w:rPr>
              <w:t>、风险管理的策略</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5</w:t>
            </w:r>
            <w:r w:rsidRPr="001B5289">
              <w:rPr>
                <w:rFonts w:eastAsia="微软雅黑" w:hint="eastAsia"/>
                <w:sz w:val="18"/>
                <w:szCs w:val="20"/>
              </w:rPr>
              <w:t>、采购风险的内部管理</w:t>
            </w:r>
            <w:r w:rsidRPr="001B5289">
              <w:rPr>
                <w:rFonts w:eastAsia="微软雅黑" w:hint="eastAsia"/>
                <w:sz w:val="18"/>
                <w:szCs w:val="20"/>
              </w:rPr>
              <w:t>---</w:t>
            </w:r>
            <w:r w:rsidRPr="001B5289">
              <w:rPr>
                <w:rFonts w:eastAsia="微软雅黑" w:hint="eastAsia"/>
                <w:sz w:val="18"/>
                <w:szCs w:val="20"/>
              </w:rPr>
              <w:t>控制和审计</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6</w:t>
            </w:r>
            <w:r w:rsidRPr="001B5289">
              <w:rPr>
                <w:rFonts w:eastAsia="微软雅黑" w:hint="eastAsia"/>
                <w:sz w:val="18"/>
                <w:szCs w:val="20"/>
              </w:rPr>
              <w:t>、采购人员的职业操守</w:t>
            </w:r>
          </w:p>
          <w:p w:rsidR="001B5289" w:rsidRPr="001B5289" w:rsidRDefault="001B5289" w:rsidP="001B5289">
            <w:pPr>
              <w:pStyle w:val="p0"/>
              <w:snapToGrid w:val="0"/>
              <w:rPr>
                <w:rFonts w:eastAsia="微软雅黑"/>
                <w:sz w:val="18"/>
                <w:szCs w:val="20"/>
              </w:rPr>
            </w:pPr>
          </w:p>
          <w:p w:rsidR="001B5289" w:rsidRPr="001B5289" w:rsidRDefault="001B5289" w:rsidP="001B5289">
            <w:pPr>
              <w:pStyle w:val="p0"/>
              <w:snapToGrid w:val="0"/>
              <w:rPr>
                <w:rFonts w:eastAsia="微软雅黑"/>
                <w:b/>
                <w:bCs/>
                <w:sz w:val="20"/>
              </w:rPr>
            </w:pPr>
            <w:r>
              <w:rPr>
                <w:rFonts w:eastAsia="微软雅黑" w:hint="eastAsia"/>
                <w:b/>
                <w:bCs/>
                <w:sz w:val="20"/>
              </w:rPr>
              <w:t>八</w:t>
            </w:r>
            <w:r>
              <w:rPr>
                <w:rFonts w:eastAsia="微软雅黑" w:hint="eastAsia"/>
                <w:b/>
                <w:bCs/>
                <w:sz w:val="20"/>
              </w:rPr>
              <w:t xml:space="preserve"> </w:t>
            </w:r>
            <w:r w:rsidRPr="001B5289">
              <w:rPr>
                <w:rFonts w:eastAsia="微软雅黑" w:hint="eastAsia"/>
                <w:b/>
                <w:bCs/>
                <w:sz w:val="20"/>
              </w:rPr>
              <w:t>、企业采购行为风险实例分析</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1</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建筑工程案例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2</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国外设备采购案例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3</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对</w:t>
            </w:r>
            <w:r w:rsidRPr="001B5289">
              <w:rPr>
                <w:rFonts w:eastAsia="微软雅黑" w:hint="eastAsia"/>
                <w:sz w:val="18"/>
                <w:szCs w:val="20"/>
              </w:rPr>
              <w:t>Incoterms</w:t>
            </w:r>
            <w:r w:rsidRPr="001B5289">
              <w:rPr>
                <w:rFonts w:eastAsia="微软雅黑" w:hint="eastAsia"/>
                <w:sz w:val="18"/>
                <w:szCs w:val="20"/>
              </w:rPr>
              <w:t>贸易术语使用的案例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4</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合同标的约定的案例</w:t>
            </w:r>
          </w:p>
          <w:p w:rsidR="001B5289" w:rsidRPr="001B5289" w:rsidRDefault="001B5289" w:rsidP="001B5289">
            <w:pPr>
              <w:pStyle w:val="p0"/>
              <w:snapToGrid w:val="0"/>
              <w:rPr>
                <w:rFonts w:eastAsia="微软雅黑"/>
                <w:sz w:val="18"/>
                <w:szCs w:val="20"/>
              </w:rPr>
            </w:pPr>
            <w:r w:rsidRPr="001B5289">
              <w:rPr>
                <w:rFonts w:eastAsia="微软雅黑" w:hint="eastAsia"/>
                <w:sz w:val="18"/>
                <w:szCs w:val="20"/>
              </w:rPr>
              <w:t>5</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合同条款变更的案例</w:t>
            </w:r>
          </w:p>
          <w:p w:rsidR="00C11E75" w:rsidRPr="006E0F22" w:rsidRDefault="001B5289" w:rsidP="001B5289">
            <w:pPr>
              <w:pStyle w:val="p0"/>
              <w:snapToGrid w:val="0"/>
              <w:rPr>
                <w:rFonts w:ascii="微软雅黑" w:eastAsia="微软雅黑" w:hAnsi="微软雅黑"/>
                <w:sz w:val="18"/>
                <w:szCs w:val="18"/>
              </w:rPr>
            </w:pPr>
            <w:r w:rsidRPr="001B5289">
              <w:rPr>
                <w:rFonts w:eastAsia="微软雅黑" w:hint="eastAsia"/>
                <w:sz w:val="18"/>
                <w:szCs w:val="20"/>
              </w:rPr>
              <w:t>6</w:t>
            </w:r>
            <w:r w:rsidRPr="001B5289">
              <w:rPr>
                <w:rFonts w:eastAsia="微软雅黑" w:hint="eastAsia"/>
                <w:sz w:val="18"/>
                <w:szCs w:val="20"/>
              </w:rPr>
              <w:t>、</w:t>
            </w:r>
            <w:r w:rsidRPr="001B5289">
              <w:rPr>
                <w:rFonts w:eastAsia="微软雅黑" w:hint="eastAsia"/>
                <w:sz w:val="18"/>
                <w:szCs w:val="20"/>
              </w:rPr>
              <w:tab/>
            </w:r>
            <w:r w:rsidRPr="001B5289">
              <w:rPr>
                <w:rFonts w:eastAsia="微软雅黑" w:hint="eastAsia"/>
                <w:sz w:val="18"/>
                <w:szCs w:val="20"/>
              </w:rPr>
              <w:t>口头合同的案例</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F926A2" w:rsidRPr="00C11E75" w:rsidRDefault="001B5289">
      <w:pPr>
        <w:rPr>
          <w:rFonts w:ascii="微软雅黑" w:eastAsia="微软雅黑" w:hAnsi="微软雅黑" w:cs="微软雅黑"/>
          <w:sz w:val="20"/>
          <w:szCs w:val="20"/>
          <w:shd w:val="clear" w:color="auto" w:fill="FFFFFF"/>
        </w:rPr>
      </w:pPr>
      <w:r>
        <w:rPr>
          <w:rFonts w:eastAsia="微软雅黑" w:cs="微软雅黑" w:hint="eastAsia"/>
          <w:b/>
          <w:bCs/>
          <w:szCs w:val="32"/>
          <w:shd w:val="clear" w:color="auto" w:fill="FFFFFF"/>
        </w:rPr>
        <w:t>姚</w:t>
      </w:r>
      <w:r w:rsidR="00F926A2" w:rsidRPr="00C11E75">
        <w:rPr>
          <w:rFonts w:eastAsia="微软雅黑" w:cs="微软雅黑" w:hint="eastAsia"/>
          <w:b/>
          <w:bCs/>
          <w:szCs w:val="32"/>
          <w:shd w:val="clear" w:color="auto" w:fill="FFFFFF"/>
        </w:rPr>
        <w:t>老师</w:t>
      </w:r>
      <w:r>
        <w:rPr>
          <w:rFonts w:eastAsia="微软雅黑" w:cs="微软雅黑" w:hint="eastAsia"/>
          <w:b/>
          <w:bCs/>
          <w:szCs w:val="32"/>
          <w:shd w:val="clear" w:color="auto" w:fill="FFFFFF"/>
        </w:rPr>
        <w:t>——</w:t>
      </w:r>
      <w:r w:rsidRPr="001B5289">
        <w:rPr>
          <w:rFonts w:eastAsia="微软雅黑" w:cs="微软雅黑" w:hint="eastAsia"/>
          <w:b/>
          <w:bCs/>
          <w:szCs w:val="32"/>
          <w:shd w:val="clear" w:color="auto" w:fill="FFFFFF"/>
        </w:rPr>
        <w:t>采购和供应链管理专家</w:t>
      </w:r>
    </w:p>
    <w:p w:rsidR="001B5289" w:rsidRPr="001B5289" w:rsidRDefault="001B5289" w:rsidP="001B5289">
      <w:pPr>
        <w:rPr>
          <w:rFonts w:ascii="微软雅黑" w:eastAsia="微软雅黑" w:hAnsi="微软雅黑" w:cs="微软雅黑"/>
          <w:sz w:val="18"/>
          <w:szCs w:val="18"/>
          <w:shd w:val="clear" w:color="auto" w:fill="FFFFFF"/>
        </w:rPr>
      </w:pPr>
      <w:r w:rsidRPr="001B5289">
        <w:rPr>
          <w:rFonts w:ascii="微软雅黑" w:eastAsia="微软雅黑" w:hAnsi="微软雅黑" w:cs="微软雅黑" w:hint="eastAsia"/>
          <w:sz w:val="18"/>
          <w:szCs w:val="18"/>
          <w:shd w:val="clear" w:color="auto" w:fill="FFFFFF"/>
        </w:rPr>
        <w:t>曾任欧洲知名咨询公司中国区董事、国际顶尖电梯公司全球采购经理，欧洲著名高科技公司中国区采购总监等职务。在多年的工作中，曾多次接受过全世界最先进的采购和供应</w:t>
      </w:r>
      <w:proofErr w:type="gramStart"/>
      <w:r w:rsidRPr="001B5289">
        <w:rPr>
          <w:rFonts w:ascii="微软雅黑" w:eastAsia="微软雅黑" w:hAnsi="微软雅黑" w:cs="微软雅黑" w:hint="eastAsia"/>
          <w:sz w:val="18"/>
          <w:szCs w:val="18"/>
          <w:shd w:val="clear" w:color="auto" w:fill="FFFFFF"/>
        </w:rPr>
        <w:t>商管理</w:t>
      </w:r>
      <w:proofErr w:type="gramEnd"/>
      <w:r w:rsidRPr="001B5289">
        <w:rPr>
          <w:rFonts w:ascii="微软雅黑" w:eastAsia="微软雅黑" w:hAnsi="微软雅黑" w:cs="微软雅黑" w:hint="eastAsia"/>
          <w:sz w:val="18"/>
          <w:szCs w:val="18"/>
          <w:shd w:val="clear" w:color="auto" w:fill="FFFFFF"/>
        </w:rPr>
        <w:t>训练，在企业采购流程设计、平台搭建、供应商开发、选择、评估、风险管控、谈判、团队建设、内外部沟通和关系管理等方面都具有非常丰富的实战经验。</w:t>
      </w:r>
    </w:p>
    <w:p w:rsidR="001B5289" w:rsidRPr="001B5289" w:rsidRDefault="001B5289" w:rsidP="001B5289">
      <w:pPr>
        <w:rPr>
          <w:rFonts w:ascii="微软雅黑" w:eastAsia="微软雅黑" w:hAnsi="微软雅黑" w:cs="微软雅黑"/>
          <w:sz w:val="18"/>
          <w:szCs w:val="18"/>
          <w:shd w:val="clear" w:color="auto" w:fill="FFFFFF"/>
        </w:rPr>
      </w:pPr>
    </w:p>
    <w:p w:rsidR="00C11E75" w:rsidRDefault="001B5289" w:rsidP="001B5289">
      <w:pPr>
        <w:rPr>
          <w:rFonts w:ascii="微软雅黑" w:eastAsia="微软雅黑" w:hAnsi="微软雅黑" w:cs="微软雅黑"/>
          <w:sz w:val="18"/>
          <w:szCs w:val="18"/>
          <w:shd w:val="clear" w:color="auto" w:fill="FFFFFF"/>
        </w:rPr>
      </w:pPr>
      <w:r w:rsidRPr="001B5289">
        <w:rPr>
          <w:rFonts w:ascii="微软雅黑" w:eastAsia="微软雅黑" w:hAnsi="微软雅黑" w:cs="微软雅黑" w:hint="eastAsia"/>
          <w:sz w:val="18"/>
          <w:szCs w:val="18"/>
          <w:shd w:val="clear" w:color="auto" w:fill="FFFFFF"/>
        </w:rPr>
        <w:t>同时，还担任国内多个采购及供应</w:t>
      </w:r>
      <w:proofErr w:type="gramStart"/>
      <w:r w:rsidRPr="001B5289">
        <w:rPr>
          <w:rFonts w:ascii="微软雅黑" w:eastAsia="微软雅黑" w:hAnsi="微软雅黑" w:cs="微软雅黑" w:hint="eastAsia"/>
          <w:sz w:val="18"/>
          <w:szCs w:val="18"/>
          <w:shd w:val="clear" w:color="auto" w:fill="FFFFFF"/>
        </w:rPr>
        <w:t>链培训</w:t>
      </w:r>
      <w:proofErr w:type="gramEnd"/>
      <w:r w:rsidRPr="001B5289">
        <w:rPr>
          <w:rFonts w:ascii="微软雅黑" w:eastAsia="微软雅黑" w:hAnsi="微软雅黑" w:cs="微软雅黑" w:hint="eastAsia"/>
          <w:sz w:val="18"/>
          <w:szCs w:val="18"/>
          <w:shd w:val="clear" w:color="auto" w:fill="FFFFFF"/>
        </w:rPr>
        <w:t>组织中国区特聘讲师，有十多年的培训经验。在培训过程中，他不但关注知识的传承，更希望能拓宽学员的视野，培养学员独立思考和解决实际问题的能力，而且特别注重学员职业生涯以及道德的教育。互动式的授课形式，轻松活泼，强调学员参与，配有案例研讨、角色演练、小组讨论、实战模拟等形式，深受学员的喜爱。</w:t>
      </w:r>
    </w:p>
    <w:p w:rsidR="00F926A2" w:rsidRPr="00C11E75" w:rsidRDefault="001B5289" w:rsidP="00F926A2">
      <w:pPr>
        <w:rPr>
          <w:rFonts w:eastAsia="微软雅黑" w:cs="宋体"/>
          <w:b/>
          <w:bCs/>
          <w:kern w:val="0"/>
          <w:szCs w:val="21"/>
        </w:rPr>
      </w:pPr>
      <w:r>
        <w:rPr>
          <w:rFonts w:eastAsia="微软雅黑" w:cs="宋体" w:hint="eastAsia"/>
          <w:b/>
          <w:bCs/>
          <w:kern w:val="0"/>
          <w:szCs w:val="21"/>
        </w:rPr>
        <w:t>经典课程</w:t>
      </w:r>
      <w:r w:rsidR="00F926A2" w:rsidRPr="00C11E75">
        <w:rPr>
          <w:rFonts w:eastAsia="微软雅黑" w:cs="宋体" w:hint="eastAsia"/>
          <w:b/>
          <w:bCs/>
          <w:kern w:val="0"/>
          <w:szCs w:val="21"/>
        </w:rPr>
        <w:t>：</w:t>
      </w:r>
    </w:p>
    <w:p w:rsidR="00F926A2" w:rsidRDefault="001B5289" w:rsidP="00F926A2">
      <w:pPr>
        <w:rPr>
          <w:rFonts w:eastAsia="微软雅黑" w:cs="宋体"/>
          <w:bCs/>
          <w:kern w:val="0"/>
          <w:sz w:val="18"/>
          <w:szCs w:val="18"/>
        </w:rPr>
      </w:pPr>
      <w:r w:rsidRPr="001B5289">
        <w:rPr>
          <w:rFonts w:eastAsia="微软雅黑" w:cs="宋体" w:hint="eastAsia"/>
          <w:bCs/>
          <w:kern w:val="0"/>
          <w:sz w:val="18"/>
          <w:szCs w:val="18"/>
        </w:rPr>
        <w:t>《采购人员核心能力综合训练》、《成本估算与供应商谈判》、《让谈判成为采购的必杀技》、《非生产性物料采购管理和数字化转型》，《快速提高采购的沟通和演讲能力》、《销售与采购，相爱相杀》、《全球采购及其风险和管理》等</w:t>
      </w:r>
    </w:p>
    <w:p w:rsidR="00C11E75" w:rsidRPr="00F926A2" w:rsidRDefault="00C11E75" w:rsidP="00C11E75">
      <w:pPr>
        <w:rPr>
          <w:rFonts w:eastAsia="微软雅黑" w:cs="宋体"/>
          <w:bCs/>
          <w:kern w:val="0"/>
          <w:sz w:val="18"/>
          <w:szCs w:val="18"/>
        </w:rPr>
      </w:pPr>
    </w:p>
    <w:p w:rsidR="00F926A2" w:rsidRPr="00C11E75" w:rsidRDefault="00F926A2" w:rsidP="00F926A2">
      <w:pPr>
        <w:rPr>
          <w:rFonts w:eastAsia="微软雅黑" w:cs="宋体"/>
          <w:b/>
          <w:bCs/>
          <w:kern w:val="0"/>
          <w:szCs w:val="21"/>
        </w:rPr>
      </w:pPr>
      <w:r w:rsidRPr="00C11E75">
        <w:rPr>
          <w:rFonts w:eastAsia="微软雅黑" w:cs="宋体" w:hint="eastAsia"/>
          <w:b/>
          <w:bCs/>
          <w:kern w:val="0"/>
          <w:szCs w:val="21"/>
        </w:rPr>
        <w:t>服务客户：</w:t>
      </w:r>
    </w:p>
    <w:p w:rsidR="00D84112" w:rsidRDefault="001B5289" w:rsidP="00F926A2">
      <w:pPr>
        <w:rPr>
          <w:rFonts w:eastAsia="微软雅黑" w:cs="宋体"/>
          <w:bCs/>
          <w:kern w:val="0"/>
          <w:sz w:val="18"/>
          <w:szCs w:val="18"/>
        </w:rPr>
      </w:pPr>
      <w:r w:rsidRPr="001B5289">
        <w:rPr>
          <w:rFonts w:eastAsia="微软雅黑" w:cs="宋体" w:hint="eastAsia"/>
          <w:bCs/>
          <w:kern w:val="0"/>
          <w:sz w:val="18"/>
          <w:szCs w:val="18"/>
        </w:rPr>
        <w:lastRenderedPageBreak/>
        <w:t>西门子、爱默生、杜邦、大金空调、</w:t>
      </w:r>
      <w:r w:rsidRPr="001B5289">
        <w:rPr>
          <w:rFonts w:eastAsia="微软雅黑" w:cs="宋体" w:hint="eastAsia"/>
          <w:bCs/>
          <w:kern w:val="0"/>
          <w:sz w:val="18"/>
          <w:szCs w:val="18"/>
        </w:rPr>
        <w:t>Nidec</w:t>
      </w:r>
      <w:r w:rsidRPr="001B5289">
        <w:rPr>
          <w:rFonts w:eastAsia="微软雅黑" w:cs="宋体" w:hint="eastAsia"/>
          <w:bCs/>
          <w:kern w:val="0"/>
          <w:sz w:val="18"/>
          <w:szCs w:val="18"/>
        </w:rPr>
        <w:t>、迅达电梯、库卡机器人、飞利浦、卡尔迈耶、上汽集团、腾讯、中广核、中车集团、无锡尚德、隆基新能源、公牛开关、东陶、东鹏集团等国内外著名公司</w:t>
      </w:r>
    </w:p>
    <w:sectPr w:rsidR="00D84112">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62" w:rsidRDefault="00A13862">
      <w:r>
        <w:separator/>
      </w:r>
    </w:p>
  </w:endnote>
  <w:endnote w:type="continuationSeparator" w:id="0">
    <w:p w:rsidR="00A13862" w:rsidRDefault="00A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D1" w:rsidRDefault="00D06018">
    <w:pPr>
      <w:pStyle w:val="a4"/>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62" w:rsidRDefault="00A13862">
      <w:r>
        <w:separator/>
      </w:r>
    </w:p>
  </w:footnote>
  <w:footnote w:type="continuationSeparator" w:id="0">
    <w:p w:rsidR="00A13862" w:rsidRDefault="00A13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818"/>
    <w:multiLevelType w:val="hybridMultilevel"/>
    <w:tmpl w:val="393AC2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BDF1F9D"/>
    <w:multiLevelType w:val="hybridMultilevel"/>
    <w:tmpl w:val="1A520C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68761CA"/>
    <w:multiLevelType w:val="hybridMultilevel"/>
    <w:tmpl w:val="A558C7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605784"/>
    <w:multiLevelType w:val="hybridMultilevel"/>
    <w:tmpl w:val="7A9E6C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C2A200E"/>
    <w:multiLevelType w:val="hybridMultilevel"/>
    <w:tmpl w:val="E06E6D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6832B0"/>
    <w:multiLevelType w:val="hybridMultilevel"/>
    <w:tmpl w:val="79A8B5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075598C"/>
    <w:multiLevelType w:val="hybridMultilevel"/>
    <w:tmpl w:val="1C426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656EFE"/>
    <w:multiLevelType w:val="hybridMultilevel"/>
    <w:tmpl w:val="4BE61BB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ED4A12"/>
    <w:multiLevelType w:val="hybridMultilevel"/>
    <w:tmpl w:val="CD0CE500"/>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F1150CD"/>
    <w:multiLevelType w:val="hybridMultilevel"/>
    <w:tmpl w:val="004A8A3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9E533F"/>
    <w:multiLevelType w:val="hybridMultilevel"/>
    <w:tmpl w:val="2C32F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BE3689"/>
    <w:multiLevelType w:val="hybridMultilevel"/>
    <w:tmpl w:val="A70E6A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FE0407F"/>
    <w:multiLevelType w:val="hybridMultilevel"/>
    <w:tmpl w:val="1B04B2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BC28B5"/>
    <w:multiLevelType w:val="hybridMultilevel"/>
    <w:tmpl w:val="D4AA10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2366022"/>
    <w:multiLevelType w:val="hybridMultilevel"/>
    <w:tmpl w:val="9C004116"/>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45132D8C"/>
    <w:multiLevelType w:val="hybridMultilevel"/>
    <w:tmpl w:val="1B3C1AE8"/>
    <w:lvl w:ilvl="0" w:tplc="B562117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CB42A4"/>
    <w:multiLevelType w:val="hybridMultilevel"/>
    <w:tmpl w:val="8012D9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DF1DE2"/>
    <w:multiLevelType w:val="hybridMultilevel"/>
    <w:tmpl w:val="5AA258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95042F7"/>
    <w:multiLevelType w:val="hybridMultilevel"/>
    <w:tmpl w:val="98B4D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E42663"/>
    <w:multiLevelType w:val="hybridMultilevel"/>
    <w:tmpl w:val="67EE924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DD278D"/>
    <w:multiLevelType w:val="hybridMultilevel"/>
    <w:tmpl w:val="C0CAB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6E24647"/>
    <w:multiLevelType w:val="hybridMultilevel"/>
    <w:tmpl w:val="97FAD4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7771A7E"/>
    <w:multiLevelType w:val="hybridMultilevel"/>
    <w:tmpl w:val="F1BEA6E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981962"/>
    <w:multiLevelType w:val="hybridMultilevel"/>
    <w:tmpl w:val="D96EE09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C442A50"/>
    <w:multiLevelType w:val="hybridMultilevel"/>
    <w:tmpl w:val="FA90EB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3C63A67"/>
    <w:multiLevelType w:val="hybridMultilevel"/>
    <w:tmpl w:val="9C62C9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7D7BCE"/>
    <w:multiLevelType w:val="hybridMultilevel"/>
    <w:tmpl w:val="AE928E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E3C0AFA"/>
    <w:multiLevelType w:val="hybridMultilevel"/>
    <w:tmpl w:val="7DE406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9"/>
  </w:num>
  <w:num w:numId="3">
    <w:abstractNumId w:val="24"/>
  </w:num>
  <w:num w:numId="4">
    <w:abstractNumId w:val="25"/>
  </w:num>
  <w:num w:numId="5">
    <w:abstractNumId w:val="22"/>
  </w:num>
  <w:num w:numId="6">
    <w:abstractNumId w:val="28"/>
  </w:num>
  <w:num w:numId="7">
    <w:abstractNumId w:val="32"/>
  </w:num>
  <w:num w:numId="8">
    <w:abstractNumId w:val="23"/>
  </w:num>
  <w:num w:numId="9">
    <w:abstractNumId w:val="13"/>
  </w:num>
  <w:num w:numId="10">
    <w:abstractNumId w:val="10"/>
  </w:num>
  <w:num w:numId="11">
    <w:abstractNumId w:val="3"/>
  </w:num>
  <w:num w:numId="12">
    <w:abstractNumId w:val="17"/>
  </w:num>
  <w:num w:numId="13">
    <w:abstractNumId w:val="27"/>
  </w:num>
  <w:num w:numId="14">
    <w:abstractNumId w:val="11"/>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12"/>
  </w:num>
  <w:num w:numId="21">
    <w:abstractNumId w:val="4"/>
  </w:num>
  <w:num w:numId="22">
    <w:abstractNumId w:val="8"/>
  </w:num>
  <w:num w:numId="23">
    <w:abstractNumId w:val="14"/>
  </w:num>
  <w:num w:numId="24">
    <w:abstractNumId w:val="26"/>
  </w:num>
  <w:num w:numId="25">
    <w:abstractNumId w:val="18"/>
  </w:num>
  <w:num w:numId="26">
    <w:abstractNumId w:val="31"/>
  </w:num>
  <w:num w:numId="27">
    <w:abstractNumId w:val="20"/>
  </w:num>
  <w:num w:numId="28">
    <w:abstractNumId w:val="6"/>
  </w:num>
  <w:num w:numId="29">
    <w:abstractNumId w:val="35"/>
  </w:num>
  <w:num w:numId="30">
    <w:abstractNumId w:val="2"/>
  </w:num>
  <w:num w:numId="31">
    <w:abstractNumId w:val="16"/>
  </w:num>
  <w:num w:numId="32">
    <w:abstractNumId w:val="0"/>
  </w:num>
  <w:num w:numId="33">
    <w:abstractNumId w:val="19"/>
  </w:num>
  <w:num w:numId="34">
    <w:abstractNumId w:val="5"/>
  </w:num>
  <w:num w:numId="35">
    <w:abstractNumId w:val="34"/>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0702"/>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B4CF3"/>
    <w:rsid w:val="001B5289"/>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D0891"/>
    <w:rsid w:val="002E2A69"/>
    <w:rsid w:val="002E5F74"/>
    <w:rsid w:val="002E63D5"/>
    <w:rsid w:val="00311240"/>
    <w:rsid w:val="00316644"/>
    <w:rsid w:val="0032463D"/>
    <w:rsid w:val="00327362"/>
    <w:rsid w:val="00327F0A"/>
    <w:rsid w:val="003328A5"/>
    <w:rsid w:val="00335810"/>
    <w:rsid w:val="0033606C"/>
    <w:rsid w:val="00337259"/>
    <w:rsid w:val="00341C11"/>
    <w:rsid w:val="0034227A"/>
    <w:rsid w:val="003425AB"/>
    <w:rsid w:val="003439BD"/>
    <w:rsid w:val="0034531B"/>
    <w:rsid w:val="0034577B"/>
    <w:rsid w:val="00345F51"/>
    <w:rsid w:val="003522FC"/>
    <w:rsid w:val="00360FC4"/>
    <w:rsid w:val="00365240"/>
    <w:rsid w:val="00375D87"/>
    <w:rsid w:val="003769DC"/>
    <w:rsid w:val="003773D7"/>
    <w:rsid w:val="00385BE9"/>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714D7"/>
    <w:rsid w:val="00483359"/>
    <w:rsid w:val="00484F15"/>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36AEA"/>
    <w:rsid w:val="005539C5"/>
    <w:rsid w:val="00560909"/>
    <w:rsid w:val="00570890"/>
    <w:rsid w:val="00572CB0"/>
    <w:rsid w:val="00581A42"/>
    <w:rsid w:val="00590085"/>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78B2"/>
    <w:rsid w:val="00685285"/>
    <w:rsid w:val="00691AF4"/>
    <w:rsid w:val="00696E85"/>
    <w:rsid w:val="006A3D8B"/>
    <w:rsid w:val="006B5B26"/>
    <w:rsid w:val="006C397E"/>
    <w:rsid w:val="006D3445"/>
    <w:rsid w:val="006E0F22"/>
    <w:rsid w:val="006E6297"/>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E3581"/>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53B5"/>
    <w:rsid w:val="00886110"/>
    <w:rsid w:val="008865F3"/>
    <w:rsid w:val="00887A73"/>
    <w:rsid w:val="008A5780"/>
    <w:rsid w:val="008B18FC"/>
    <w:rsid w:val="008C0B19"/>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47D10"/>
    <w:rsid w:val="00951C3E"/>
    <w:rsid w:val="00953666"/>
    <w:rsid w:val="0098499F"/>
    <w:rsid w:val="00996E09"/>
    <w:rsid w:val="009B0514"/>
    <w:rsid w:val="009B6001"/>
    <w:rsid w:val="009B620F"/>
    <w:rsid w:val="009C24C4"/>
    <w:rsid w:val="009C407D"/>
    <w:rsid w:val="009C436A"/>
    <w:rsid w:val="009C56E3"/>
    <w:rsid w:val="009D27F5"/>
    <w:rsid w:val="009E28ED"/>
    <w:rsid w:val="009F2E38"/>
    <w:rsid w:val="009F4C1D"/>
    <w:rsid w:val="009F605A"/>
    <w:rsid w:val="00A06778"/>
    <w:rsid w:val="00A13833"/>
    <w:rsid w:val="00A13862"/>
    <w:rsid w:val="00A24E89"/>
    <w:rsid w:val="00A27268"/>
    <w:rsid w:val="00A3467C"/>
    <w:rsid w:val="00A40D8C"/>
    <w:rsid w:val="00A43B7A"/>
    <w:rsid w:val="00A50C7C"/>
    <w:rsid w:val="00A50ED1"/>
    <w:rsid w:val="00A62E6C"/>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2099"/>
    <w:rsid w:val="00B36B4E"/>
    <w:rsid w:val="00B37064"/>
    <w:rsid w:val="00B37CB2"/>
    <w:rsid w:val="00B43566"/>
    <w:rsid w:val="00B44A18"/>
    <w:rsid w:val="00B50007"/>
    <w:rsid w:val="00B666F3"/>
    <w:rsid w:val="00B730B1"/>
    <w:rsid w:val="00B73391"/>
    <w:rsid w:val="00B762BD"/>
    <w:rsid w:val="00B77FEE"/>
    <w:rsid w:val="00B83B9B"/>
    <w:rsid w:val="00BA008F"/>
    <w:rsid w:val="00BD07A0"/>
    <w:rsid w:val="00BD1B31"/>
    <w:rsid w:val="00BD1D12"/>
    <w:rsid w:val="00BD5370"/>
    <w:rsid w:val="00BE4AB5"/>
    <w:rsid w:val="00BE574C"/>
    <w:rsid w:val="00C05256"/>
    <w:rsid w:val="00C07C74"/>
    <w:rsid w:val="00C107FB"/>
    <w:rsid w:val="00C10A94"/>
    <w:rsid w:val="00C11E75"/>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E568F"/>
    <w:rsid w:val="00CF2A1F"/>
    <w:rsid w:val="00D04A8D"/>
    <w:rsid w:val="00D06018"/>
    <w:rsid w:val="00D27506"/>
    <w:rsid w:val="00D41556"/>
    <w:rsid w:val="00D532D2"/>
    <w:rsid w:val="00D623E7"/>
    <w:rsid w:val="00D6629B"/>
    <w:rsid w:val="00D75728"/>
    <w:rsid w:val="00D834D4"/>
    <w:rsid w:val="00D84112"/>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2CC0"/>
    <w:rsid w:val="00DE7AEA"/>
    <w:rsid w:val="00DF0BCF"/>
    <w:rsid w:val="00DF2209"/>
    <w:rsid w:val="00E020C6"/>
    <w:rsid w:val="00E05F78"/>
    <w:rsid w:val="00E11155"/>
    <w:rsid w:val="00E12E96"/>
    <w:rsid w:val="00E33185"/>
    <w:rsid w:val="00E34BF2"/>
    <w:rsid w:val="00E41F23"/>
    <w:rsid w:val="00E54196"/>
    <w:rsid w:val="00E64ECD"/>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CA7073A-D474-4239-B9EA-A054A10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Pr>
      <w:rFonts w:ascii="Times New Roman" w:hAnsi="Times New Roman"/>
      <w:sz w:val="24"/>
      <w:szCs w:val="24"/>
    </w:rPr>
  </w:style>
  <w:style w:type="character" w:styleId="a7">
    <w:name w:val="Hyperlink"/>
    <w:uiPriority w:val="99"/>
    <w:qFormat/>
    <w:rPr>
      <w:rFonts w:cs="Times New Roman"/>
      <w:color w:val="0000FF"/>
      <w:u w:val="single"/>
    </w:rPr>
  </w:style>
  <w:style w:type="table" w:styleId="a8">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Char">
    <w:name w:val="标题 2 Char"/>
    <w:link w:val="2"/>
    <w:uiPriority w:val="99"/>
    <w:locked/>
    <w:rPr>
      <w:rFonts w:ascii="微软雅黑" w:eastAsia="微软雅黑" w:hAnsi="微软雅黑" w:cs="Times New Roman"/>
      <w:b/>
      <w:bCs/>
      <w:color w:val="0070C0"/>
      <w:sz w:val="32"/>
      <w:szCs w:val="32"/>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Char">
    <w:name w:val="批注框文本 Char"/>
    <w:link w:val="a3"/>
    <w:uiPriority w:val="99"/>
    <w:semiHidden/>
    <w:qFormat/>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5"/>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9">
    <w:name w:val="List Paragraph"/>
    <w:basedOn w:val="a"/>
    <w:uiPriority w:val="99"/>
    <w:rsid w:val="00947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318</Words>
  <Characters>1819</Characters>
  <Application>Microsoft Office Word</Application>
  <DocSecurity>0</DocSecurity>
  <Lines>15</Lines>
  <Paragraphs>4</Paragraphs>
  <ScaleCrop>false</ScaleCrop>
  <Company>Sky123.Org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周佳莹 </cp:lastModifiedBy>
  <cp:revision>69</cp:revision>
  <cp:lastPrinted>2016-01-21T13:15:00Z</cp:lastPrinted>
  <dcterms:created xsi:type="dcterms:W3CDTF">2016-04-18T01:48:00Z</dcterms:created>
  <dcterms:modified xsi:type="dcterms:W3CDTF">2019-12-11T12:42:00Z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