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b/>
          <w:sz w:val="24"/>
          <w:szCs w:val="30"/>
        </w:rPr>
      </w:pPr>
      <w:r>
        <w:rPr>
          <w:rFonts w:hint="eastAsia" w:ascii="仿宋" w:hAnsi="仿宋" w:eastAsia="微软雅黑"/>
          <w:b/>
          <w:sz w:val="24"/>
          <w:szCs w:val="30"/>
        </w:rPr>
        <w:t>前  言</w:t>
      </w:r>
    </w:p>
    <w:p>
      <w:pPr>
        <w:jc w:val="center"/>
        <w:rPr>
          <w:rFonts w:hint="eastAsia" w:eastAsia="微软雅黑"/>
          <w:b/>
          <w:sz w:val="24"/>
          <w:szCs w:val="36"/>
        </w:rPr>
      </w:pPr>
      <w:r>
        <w:rPr>
          <w:rFonts w:hint="eastAsia" w:eastAsia="微软雅黑"/>
          <w:b/>
          <w:sz w:val="24"/>
          <w:szCs w:val="36"/>
        </w:rPr>
        <w:t>卓越营销</w:t>
      </w:r>
      <w:r>
        <w:rPr>
          <w:rFonts w:hint="eastAsia" w:eastAsia="微软雅黑"/>
          <w:b/>
          <w:sz w:val="24"/>
          <w:szCs w:val="36"/>
          <w:lang w:eastAsia="zh-CN"/>
        </w:rPr>
        <w:t>策划</w:t>
      </w:r>
      <w:r>
        <w:rPr>
          <w:rFonts w:hint="eastAsia" w:eastAsia="微软雅黑"/>
          <w:b/>
          <w:sz w:val="24"/>
          <w:szCs w:val="36"/>
        </w:rPr>
        <w:t>实战－企业成功源于成功的营销策划</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sz w:val="24"/>
          <w:szCs w:val="24"/>
        </w:rPr>
        <w:t>club”</w:t>
      </w:r>
      <w:r>
        <w:rPr>
          <w:rFonts w:hint="eastAsia" w:eastAsia="微软雅黑" w:cs="微软雅黑"/>
          <w:sz w:val="24"/>
          <w:szCs w:val="24"/>
        </w:rPr>
        <w:t>会员的学员，报名参加另外蓝草举办的培训课程的，可以享受该培训课程多种优惠。</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2020《卓越营销策划实战－企业成功源于成功的营销策划》课程大纲及开课计划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 xml:space="preserve"> 3月9-10  4月18-19  5月30-31  6月27-28  7月30-31  8月1-2  9月2-3  10月30-31  11月23-24  12月30-31</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北京</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5月20-21  9月7-8   10月28-29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苏州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5月30-31</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深圳</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3月11-12   5月25-26 8月1-2  9月5-6 11月25-26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大连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5月27-28 7月27-28   9月7-8</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重庆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9月2-3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宁波</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3月30-31</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郑州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5月30-31</w:t>
      </w:r>
    </w:p>
    <w:p>
      <w:pPr>
        <w:rPr>
          <w:rFonts w:hint="eastAsia" w:eastAsia="微软雅黑"/>
          <w:b/>
          <w:sz w:val="24"/>
        </w:rPr>
      </w:pPr>
      <w:bookmarkStart w:id="0" w:name="_GoBack"/>
      <w:bookmarkEnd w:id="0"/>
      <w:r>
        <w:rPr>
          <w:rFonts w:hint="eastAsia" w:eastAsia="微软雅黑"/>
          <w:b/>
          <w:sz w:val="24"/>
        </w:rPr>
        <w:t>培训受众：</w:t>
      </w:r>
    </w:p>
    <w:p>
      <w:pPr>
        <w:rPr>
          <w:rFonts w:hint="eastAsia" w:eastAsia="微软雅黑"/>
          <w:sz w:val="24"/>
        </w:rPr>
      </w:pPr>
      <w:r>
        <w:rPr>
          <w:rFonts w:hint="eastAsia" w:eastAsia="微软雅黑"/>
          <w:sz w:val="24"/>
        </w:rPr>
        <w:t>营销总经理、营销部门高级管理人员、市场部人员、销售部人员、产品研发部人员、设计部人员、财务部主管等</w:t>
      </w:r>
    </w:p>
    <w:p>
      <w:pPr>
        <w:rPr>
          <w:rFonts w:hint="eastAsia" w:eastAsia="微软雅黑"/>
          <w:sz w:val="24"/>
        </w:rPr>
      </w:pPr>
    </w:p>
    <w:p>
      <w:pPr>
        <w:rPr>
          <w:rFonts w:hint="eastAsia" w:eastAsia="微软雅黑"/>
          <w:b/>
          <w:sz w:val="24"/>
        </w:rPr>
      </w:pPr>
      <w:r>
        <w:rPr>
          <w:rFonts w:hint="eastAsia" w:eastAsia="微软雅黑"/>
          <w:b/>
          <w:sz w:val="24"/>
        </w:rPr>
        <w:t>课程收益：</w:t>
      </w:r>
    </w:p>
    <w:p>
      <w:pPr>
        <w:widowControl/>
        <w:jc w:val="left"/>
        <w:rPr>
          <w:rFonts w:hint="eastAsia" w:eastAsia="微软雅黑"/>
          <w:sz w:val="24"/>
        </w:rPr>
      </w:pPr>
      <w:r>
        <w:rPr>
          <w:rFonts w:hint="eastAsia" w:eastAsia="微软雅黑"/>
          <w:sz w:val="24"/>
        </w:rPr>
        <w:t>学员终端客户推出“快乐培训快乐礼惠”政策</w:t>
      </w:r>
      <w:r>
        <w:rPr>
          <w:rFonts w:hint="eastAsia" w:eastAsia="微软雅黑"/>
          <w:sz w:val="24"/>
          <w:lang w:val="en-US" w:eastAsia="zh-CN"/>
        </w:rPr>
        <w:t>;</w:t>
      </w:r>
      <w:r>
        <w:rPr>
          <w:rFonts w:hint="eastAsia" w:eastAsia="微软雅黑"/>
          <w:sz w:val="24"/>
        </w:rPr>
        <w:t>营</w:t>
      </w:r>
      <w:r>
        <w:rPr>
          <w:rFonts w:eastAsia="微软雅黑"/>
          <w:sz w:val="24"/>
        </w:rPr>
        <w:t>销策划是一种运用智慧与策略的</w:t>
      </w:r>
      <w:r>
        <w:rPr>
          <w:rFonts w:eastAsia="微软雅黑"/>
          <w:sz w:val="24"/>
        </w:rPr>
        <w:fldChar w:fldCharType="begin"/>
      </w:r>
      <w:r>
        <w:rPr>
          <w:rFonts w:eastAsia="微软雅黑"/>
          <w:sz w:val="24"/>
        </w:rPr>
        <w:instrText xml:space="preserve">HYPERLINK "http://wiki.mbalib.com/wiki/è¥é" \o "营销" </w:instrText>
      </w:r>
      <w:r>
        <w:rPr>
          <w:rFonts w:eastAsia="微软雅黑"/>
          <w:sz w:val="24"/>
        </w:rPr>
        <w:fldChar w:fldCharType="separate"/>
      </w:r>
      <w:r>
        <w:rPr>
          <w:rFonts w:eastAsia="微软雅黑"/>
          <w:sz w:val="24"/>
        </w:rPr>
        <w:t>营销</w:t>
      </w:r>
      <w:r>
        <w:rPr>
          <w:rFonts w:eastAsia="微软雅黑"/>
          <w:sz w:val="24"/>
        </w:rPr>
        <w:fldChar w:fldCharType="end"/>
      </w:r>
      <w:r>
        <w:rPr>
          <w:rFonts w:eastAsia="微软雅黑"/>
          <w:sz w:val="24"/>
        </w:rPr>
        <w:t>活动与理性行为，营销策划是为了改变企业现状，达到理想目标，借助科学方法与</w:t>
      </w:r>
      <w:r>
        <w:rPr>
          <w:rFonts w:eastAsia="微软雅黑"/>
          <w:sz w:val="24"/>
        </w:rPr>
        <w:fldChar w:fldCharType="begin"/>
      </w:r>
      <w:r>
        <w:rPr>
          <w:rFonts w:eastAsia="微软雅黑"/>
          <w:sz w:val="24"/>
        </w:rPr>
        <w:instrText xml:space="preserve">HYPERLINK "http://wiki.mbalib.com/wiki/åæ°æç»´" \o "创新思维" </w:instrText>
      </w:r>
      <w:r>
        <w:rPr>
          <w:rFonts w:eastAsia="微软雅黑"/>
          <w:sz w:val="24"/>
        </w:rPr>
        <w:fldChar w:fldCharType="separate"/>
      </w:r>
      <w:r>
        <w:rPr>
          <w:rFonts w:eastAsia="微软雅黑"/>
          <w:sz w:val="24"/>
        </w:rPr>
        <w:t>创新思维</w:t>
      </w:r>
      <w:r>
        <w:rPr>
          <w:rFonts w:eastAsia="微软雅黑"/>
          <w:sz w:val="24"/>
        </w:rPr>
        <w:fldChar w:fldCharType="end"/>
      </w:r>
      <w:r>
        <w:rPr>
          <w:rFonts w:eastAsia="微软雅黑"/>
          <w:sz w:val="24"/>
        </w:rPr>
        <w:t>，分析研究</w:t>
      </w:r>
      <w:r>
        <w:rPr>
          <w:rFonts w:eastAsia="微软雅黑"/>
          <w:sz w:val="24"/>
        </w:rPr>
        <w:fldChar w:fldCharType="begin"/>
      </w:r>
      <w:r>
        <w:rPr>
          <w:rFonts w:eastAsia="微软雅黑"/>
          <w:sz w:val="24"/>
        </w:rPr>
        <w:instrText xml:space="preserve">HYPERLINK "http://wiki.mbalib.com/wiki/åæ°" \o "创新" </w:instrText>
      </w:r>
      <w:r>
        <w:rPr>
          <w:rFonts w:eastAsia="微软雅黑"/>
          <w:sz w:val="24"/>
        </w:rPr>
        <w:fldChar w:fldCharType="separate"/>
      </w:r>
      <w:r>
        <w:rPr>
          <w:rFonts w:eastAsia="微软雅黑"/>
          <w:sz w:val="24"/>
        </w:rPr>
        <w:t>创新</w:t>
      </w:r>
      <w:r>
        <w:rPr>
          <w:rFonts w:eastAsia="微软雅黑"/>
          <w:sz w:val="24"/>
        </w:rPr>
        <w:fldChar w:fldCharType="end"/>
      </w:r>
      <w:r>
        <w:rPr>
          <w:rFonts w:eastAsia="微软雅黑"/>
          <w:sz w:val="24"/>
        </w:rPr>
        <w:t>设计并制定</w:t>
      </w:r>
      <w:r>
        <w:rPr>
          <w:rFonts w:eastAsia="微软雅黑"/>
          <w:sz w:val="24"/>
        </w:rPr>
        <w:fldChar w:fldCharType="begin"/>
      </w:r>
      <w:r>
        <w:rPr>
          <w:rFonts w:eastAsia="微软雅黑"/>
          <w:sz w:val="24"/>
        </w:rPr>
        <w:instrText xml:space="preserve">HYPERLINK "http://wiki.mbalib.com/wiki/è¥éæ¹æ¡" \o "营销方案" </w:instrText>
      </w:r>
      <w:r>
        <w:rPr>
          <w:rFonts w:eastAsia="微软雅黑"/>
          <w:sz w:val="24"/>
        </w:rPr>
        <w:fldChar w:fldCharType="separate"/>
      </w:r>
      <w:r>
        <w:rPr>
          <w:rFonts w:eastAsia="微软雅黑"/>
          <w:sz w:val="24"/>
        </w:rPr>
        <w:t>营销方案</w:t>
      </w:r>
      <w:r>
        <w:rPr>
          <w:rFonts w:eastAsia="微软雅黑"/>
          <w:sz w:val="24"/>
        </w:rPr>
        <w:fldChar w:fldCharType="end"/>
      </w:r>
      <w:r>
        <w:rPr>
          <w:rFonts w:eastAsia="微软雅黑"/>
          <w:sz w:val="24"/>
        </w:rPr>
        <w:t>的理性</w:t>
      </w:r>
      <w:r>
        <w:rPr>
          <w:rFonts w:eastAsia="微软雅黑"/>
          <w:sz w:val="24"/>
        </w:rPr>
        <w:fldChar w:fldCharType="begin"/>
      </w:r>
      <w:r>
        <w:rPr>
          <w:rFonts w:eastAsia="微软雅黑"/>
          <w:sz w:val="24"/>
        </w:rPr>
        <w:instrText xml:space="preserve">HYPERLINK "http://wiki.mbalib.com/wiki/æç»´" \o "思维" </w:instrText>
      </w:r>
      <w:r>
        <w:rPr>
          <w:rFonts w:eastAsia="微软雅黑"/>
          <w:sz w:val="24"/>
        </w:rPr>
        <w:fldChar w:fldCharType="separate"/>
      </w:r>
      <w:r>
        <w:rPr>
          <w:rFonts w:eastAsia="微软雅黑"/>
          <w:sz w:val="24"/>
        </w:rPr>
        <w:t>思维</w:t>
      </w:r>
      <w:r>
        <w:rPr>
          <w:rFonts w:eastAsia="微软雅黑"/>
          <w:sz w:val="24"/>
        </w:rPr>
        <w:fldChar w:fldCharType="end"/>
      </w:r>
      <w:r>
        <w:rPr>
          <w:rFonts w:eastAsia="微软雅黑"/>
          <w:sz w:val="24"/>
        </w:rPr>
        <w:t>活动。但是如何在企业经营活动中组织并实施</w:t>
      </w:r>
      <w:r>
        <w:rPr>
          <w:rFonts w:hint="eastAsia" w:eastAsia="微软雅黑"/>
          <w:sz w:val="24"/>
        </w:rPr>
        <w:t>“</w:t>
      </w:r>
      <w:r>
        <w:rPr>
          <w:rFonts w:eastAsia="微软雅黑"/>
          <w:sz w:val="24"/>
        </w:rPr>
        <w:t>成功的</w:t>
      </w:r>
      <w:r>
        <w:rPr>
          <w:rFonts w:hint="eastAsia" w:eastAsia="微软雅黑"/>
          <w:sz w:val="24"/>
        </w:rPr>
        <w:t>”</w:t>
      </w:r>
      <w:r>
        <w:rPr>
          <w:rFonts w:eastAsia="微软雅黑"/>
          <w:sz w:val="24"/>
        </w:rPr>
        <w:t>营销策划</w:t>
      </w:r>
      <w:r>
        <w:rPr>
          <w:rFonts w:hint="eastAsia" w:eastAsia="微软雅黑"/>
          <w:sz w:val="24"/>
        </w:rPr>
        <w:t>是当今企业必须面对并亟须解决好的难题；特别是当前处于新营销环境下，成功的营销策划是企业实现成功的根源之一。本课程依据实战经验结合最新的营销理论和实践，坚持以案例教学、情景化的培训方法，帮助学员充分了解“成功的”营销策划的原理和技巧，为企业的全面成功提供帮助。</w:t>
      </w:r>
    </w:p>
    <w:p>
      <w:pPr>
        <w:rPr>
          <w:rFonts w:hint="eastAsia" w:eastAsia="微软雅黑"/>
          <w:sz w:val="24"/>
        </w:rPr>
      </w:pPr>
    </w:p>
    <w:p>
      <w:pPr>
        <w:rPr>
          <w:rFonts w:hint="eastAsia" w:eastAsia="微软雅黑"/>
          <w:b/>
          <w:sz w:val="24"/>
        </w:rPr>
      </w:pPr>
      <w:r>
        <w:rPr>
          <w:rFonts w:hint="eastAsia" w:eastAsia="微软雅黑"/>
          <w:b/>
          <w:sz w:val="24"/>
        </w:rPr>
        <w:t>课程时间：大约12小时</w:t>
      </w:r>
    </w:p>
    <w:p>
      <w:pPr>
        <w:rPr>
          <w:rFonts w:hint="eastAsia" w:eastAsia="微软雅黑"/>
          <w:sz w:val="24"/>
        </w:rPr>
      </w:pPr>
    </w:p>
    <w:p>
      <w:pPr>
        <w:rPr>
          <w:rFonts w:eastAsia="微软雅黑"/>
          <w:b/>
          <w:sz w:val="24"/>
        </w:rPr>
      </w:pPr>
      <w:r>
        <w:rPr>
          <w:rFonts w:hint="eastAsia" w:eastAsia="微软雅黑"/>
          <w:b/>
          <w:sz w:val="24"/>
        </w:rPr>
        <w:t>课程大纲</w:t>
      </w:r>
    </w:p>
    <w:p>
      <w:pPr>
        <w:rPr>
          <w:rFonts w:eastAsia="微软雅黑"/>
          <w:sz w:val="24"/>
        </w:rPr>
      </w:pPr>
      <w:r>
        <w:rPr>
          <w:rFonts w:hint="eastAsia" w:eastAsia="微软雅黑"/>
          <w:sz w:val="24"/>
        </w:rPr>
        <w:t>一、何为成功的营销策划？成功的营销策划的目标和特征</w:t>
      </w:r>
    </w:p>
    <w:p>
      <w:pPr>
        <w:rPr>
          <w:rFonts w:eastAsia="微软雅黑"/>
          <w:sz w:val="24"/>
        </w:rPr>
      </w:pPr>
      <w:r>
        <w:rPr>
          <w:rFonts w:hint="eastAsia" w:eastAsia="微软雅黑"/>
          <w:sz w:val="24"/>
        </w:rPr>
        <w:t>二、成功的营销策划路线图</w:t>
      </w:r>
    </w:p>
    <w:p>
      <w:pPr>
        <w:rPr>
          <w:rFonts w:eastAsia="微软雅黑"/>
          <w:sz w:val="24"/>
        </w:rPr>
      </w:pPr>
      <w:r>
        <w:rPr>
          <w:rFonts w:hint="eastAsia" w:eastAsia="微软雅黑"/>
          <w:sz w:val="24"/>
        </w:rPr>
        <w:t>三、成功的营销策划案例分析</w:t>
      </w:r>
    </w:p>
    <w:p>
      <w:pPr>
        <w:rPr>
          <w:rFonts w:eastAsia="微软雅黑"/>
          <w:sz w:val="24"/>
        </w:rPr>
      </w:pPr>
      <w:r>
        <w:rPr>
          <w:rFonts w:hint="eastAsia" w:eastAsia="微软雅黑"/>
          <w:sz w:val="24"/>
        </w:rPr>
        <w:t>四、企业组织结构与队伍如何保证实现成功的营销策划</w:t>
      </w:r>
    </w:p>
    <w:p>
      <w:pPr>
        <w:rPr>
          <w:rFonts w:eastAsia="微软雅黑"/>
          <w:sz w:val="24"/>
        </w:rPr>
      </w:pPr>
      <w:r>
        <w:rPr>
          <w:rFonts w:hint="eastAsia" w:eastAsia="微软雅黑"/>
          <w:sz w:val="24"/>
        </w:rPr>
        <w:t>五、破除营销策划误区和思维错误</w:t>
      </w:r>
    </w:p>
    <w:p>
      <w:pPr>
        <w:rPr>
          <w:rFonts w:eastAsia="微软雅黑"/>
          <w:sz w:val="24"/>
        </w:rPr>
      </w:pPr>
      <w:r>
        <w:rPr>
          <w:rFonts w:hint="eastAsia" w:eastAsia="微软雅黑"/>
          <w:sz w:val="24"/>
        </w:rPr>
        <w:t>六、成功的营销策划的组织与人员准备</w:t>
      </w:r>
    </w:p>
    <w:p>
      <w:pPr>
        <w:rPr>
          <w:rFonts w:eastAsia="微软雅黑"/>
          <w:sz w:val="24"/>
        </w:rPr>
      </w:pPr>
      <w:r>
        <w:rPr>
          <w:rFonts w:hint="eastAsia" w:eastAsia="微软雅黑"/>
          <w:sz w:val="24"/>
        </w:rPr>
        <w:t>七、实施成功的营销策划准备</w:t>
      </w:r>
    </w:p>
    <w:p>
      <w:pPr>
        <w:rPr>
          <w:rFonts w:eastAsia="微软雅黑"/>
          <w:sz w:val="24"/>
        </w:rPr>
      </w:pPr>
      <w:r>
        <w:rPr>
          <w:rFonts w:hint="eastAsia" w:eastAsia="微软雅黑"/>
          <w:sz w:val="24"/>
        </w:rPr>
        <w:t>八、如何对成功的营销策划实施、评估、调整</w:t>
      </w:r>
    </w:p>
    <w:p>
      <w:pPr>
        <w:rPr>
          <w:rFonts w:eastAsia="微软雅黑"/>
          <w:sz w:val="24"/>
        </w:rPr>
      </w:pPr>
      <w:r>
        <w:rPr>
          <w:rFonts w:hint="eastAsia" w:eastAsia="微软雅黑"/>
          <w:sz w:val="24"/>
        </w:rPr>
        <w:t>九、成功的营销策划中创意和创新体现</w:t>
      </w:r>
    </w:p>
    <w:p>
      <w:pPr>
        <w:rPr>
          <w:rFonts w:eastAsia="微软雅黑"/>
          <w:sz w:val="24"/>
        </w:rPr>
      </w:pPr>
      <w:r>
        <w:rPr>
          <w:rFonts w:hint="eastAsia" w:eastAsia="微软雅黑"/>
          <w:sz w:val="24"/>
        </w:rPr>
        <w:t>十、成功的营销策划与营销战略、年度营销计划的有机关系</w:t>
      </w:r>
    </w:p>
    <w:p>
      <w:pPr>
        <w:rPr>
          <w:rFonts w:eastAsia="微软雅黑"/>
          <w:sz w:val="24"/>
        </w:rPr>
      </w:pPr>
      <w:r>
        <w:rPr>
          <w:rFonts w:hint="eastAsia" w:eastAsia="微软雅黑"/>
          <w:sz w:val="24"/>
        </w:rPr>
        <w:t>十一、成功的营销策划与细分市场、目标人群的实战方法</w:t>
      </w:r>
    </w:p>
    <w:p>
      <w:pPr>
        <w:rPr>
          <w:rFonts w:eastAsia="微软雅黑"/>
          <w:sz w:val="24"/>
        </w:rPr>
      </w:pPr>
      <w:r>
        <w:rPr>
          <w:rFonts w:hint="eastAsia" w:eastAsia="微软雅黑"/>
          <w:sz w:val="24"/>
        </w:rPr>
        <w:t>十二、成功的营销策划与成功的产品开发实战分析</w:t>
      </w:r>
    </w:p>
    <w:p>
      <w:pPr>
        <w:rPr>
          <w:rFonts w:hint="eastAsia" w:eastAsia="微软雅黑"/>
          <w:sz w:val="24"/>
        </w:rPr>
      </w:pPr>
      <w:r>
        <w:rPr>
          <w:rFonts w:hint="eastAsia" w:eastAsia="微软雅黑"/>
          <w:sz w:val="24"/>
        </w:rPr>
        <w:t>十三、成功的营销策划与营销组合</w:t>
      </w:r>
    </w:p>
    <w:p>
      <w:pPr>
        <w:rPr>
          <w:rFonts w:hint="eastAsia" w:eastAsia="微软雅黑"/>
          <w:sz w:val="24"/>
        </w:rPr>
      </w:pPr>
      <w:r>
        <w:rPr>
          <w:rFonts w:hint="eastAsia" w:eastAsia="微软雅黑"/>
          <w:sz w:val="24"/>
        </w:rPr>
        <w:t>十四、成功的营销策划与渠道建设</w:t>
      </w:r>
    </w:p>
    <w:p>
      <w:pPr>
        <w:rPr>
          <w:rFonts w:hint="eastAsia" w:eastAsia="微软雅黑"/>
          <w:sz w:val="24"/>
        </w:rPr>
      </w:pPr>
      <w:r>
        <w:rPr>
          <w:rFonts w:hint="eastAsia" w:eastAsia="微软雅黑"/>
          <w:sz w:val="24"/>
        </w:rPr>
        <w:t>十五、成功的营销策划与促销管理</w:t>
      </w:r>
    </w:p>
    <w:p>
      <w:pPr>
        <w:rPr>
          <w:rFonts w:hint="eastAsia" w:eastAsia="微软雅黑"/>
          <w:sz w:val="24"/>
        </w:rPr>
      </w:pPr>
      <w:r>
        <w:rPr>
          <w:rFonts w:hint="eastAsia" w:eastAsia="微软雅黑"/>
          <w:sz w:val="24"/>
        </w:rPr>
        <w:t>十六、成功的营销策划与价格管理</w:t>
      </w:r>
    </w:p>
    <w:p>
      <w:pPr>
        <w:rPr>
          <w:rFonts w:hint="eastAsia" w:eastAsia="微软雅黑"/>
          <w:sz w:val="24"/>
        </w:rPr>
      </w:pPr>
      <w:r>
        <w:rPr>
          <w:rFonts w:hint="eastAsia" w:eastAsia="微软雅黑"/>
          <w:sz w:val="24"/>
        </w:rPr>
        <w:t>十七、成功的营销策划与网络营销</w:t>
      </w:r>
    </w:p>
    <w:p>
      <w:pPr>
        <w:rPr>
          <w:rFonts w:hint="eastAsia" w:eastAsia="微软雅黑"/>
          <w:sz w:val="24"/>
        </w:rPr>
      </w:pPr>
      <w:r>
        <w:rPr>
          <w:rFonts w:hint="eastAsia" w:eastAsia="微软雅黑"/>
          <w:sz w:val="24"/>
        </w:rPr>
        <w:t>十八、成功的营销策划与新媒体营销</w:t>
      </w:r>
    </w:p>
    <w:p>
      <w:pPr>
        <w:rPr>
          <w:rFonts w:hint="eastAsia" w:eastAsia="微软雅黑"/>
          <w:sz w:val="24"/>
        </w:rPr>
      </w:pPr>
      <w:r>
        <w:rPr>
          <w:rFonts w:hint="eastAsia" w:eastAsia="微软雅黑"/>
          <w:sz w:val="24"/>
        </w:rPr>
        <w:t>实战型能落地营销/管理专家-黄俭老师简介：</w:t>
      </w:r>
    </w:p>
    <w:p>
      <w:pPr>
        <w:rPr>
          <w:rFonts w:hint="eastAsia" w:eastAsia="微软雅黑"/>
          <w:sz w:val="24"/>
        </w:rPr>
      </w:pPr>
      <w:r>
        <w:rPr>
          <w:rFonts w:hint="eastAsia" w:eastAsia="微软雅黑"/>
          <w:sz w:val="24"/>
        </w:rPr>
        <w:t>滨江双创联盟荣誉理事长；上海蓝草企业管理咨询有限公司首席讲师；多家知名企业特聘高级管理顾问。</w:t>
      </w:r>
    </w:p>
    <w:p>
      <w:pPr>
        <w:rPr>
          <w:rFonts w:hint="eastAsia" w:eastAsia="微软雅黑"/>
          <w:sz w:val="24"/>
        </w:rPr>
      </w:pPr>
      <w:r>
        <w:rPr>
          <w:rFonts w:hint="eastAsia" w:eastAsia="微软雅黑"/>
          <w:sz w:val="24"/>
        </w:rPr>
        <w:t>黄老师多年在企业管理、公司战略规划、市场营销、品牌建设、员工管理、绩效考核、上市公司等等方面有着丰富的实践经验；深刻理解了东西方管理精髓。进入培训教育行业，作为资深培训讲师，在企业内训课、公开课、CEO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销售案例剖析点评，使销售管理人员掌握一些管理先进理念，分析技巧、提高解决问题的能力。黄老师近期培训的东风汽车-商用车公司，华东医药公司的销售团队在培训后，销售业绩有了20%提升。</w:t>
      </w:r>
    </w:p>
    <w:p>
      <w:pPr>
        <w:rPr>
          <w:rFonts w:hint="eastAsia" w:eastAsia="微软雅黑"/>
          <w:sz w:val="24"/>
        </w:rPr>
      </w:pPr>
      <w:r>
        <w:rPr>
          <w:rFonts w:hint="eastAsia" w:eastAsia="微软雅黑"/>
          <w:sz w:val="24"/>
        </w:rPr>
        <w:t>擅长领域：战略管理 /领导力系列 / 经典营销 /新营销 /大数据营销</w:t>
      </w:r>
    </w:p>
    <w:p>
      <w:pPr>
        <w:rPr>
          <w:rFonts w:hint="eastAsia" w:eastAsia="微软雅黑"/>
          <w:sz w:val="24"/>
        </w:rPr>
      </w:pPr>
      <w:r>
        <w:rPr>
          <w:rFonts w:hint="eastAsia" w:eastAsia="微软雅黑"/>
          <w:sz w:val="24"/>
        </w:rPr>
        <w:t>授课风格： 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hint="eastAsia" w:eastAsia="微软雅黑"/>
          <w:sz w:val="24"/>
        </w:rPr>
      </w:pPr>
      <w:r>
        <w:rPr>
          <w:rFonts w:hint="eastAsia" w:eastAsia="微软雅黑"/>
          <w:sz w:val="24"/>
        </w:rPr>
        <w:t>主讲课程：</w:t>
      </w:r>
    </w:p>
    <w:p>
      <w:pPr>
        <w:rPr>
          <w:rFonts w:hint="eastAsia" w:eastAsia="微软雅黑"/>
          <w:sz w:val="24"/>
        </w:rPr>
      </w:pPr>
      <w:r>
        <w:rPr>
          <w:rFonts w:hint="eastAsia" w:eastAsia="微软雅黑"/>
          <w:sz w:val="24"/>
        </w:rPr>
        <w:t>《电话营销技巧》《杰出的房地产销售》《如何做好一流的客户服务》</w:t>
      </w:r>
    </w:p>
    <w:p>
      <w:pPr>
        <w:rPr>
          <w:rFonts w:hint="eastAsia" w:eastAsia="微软雅黑"/>
          <w:sz w:val="24"/>
        </w:rPr>
      </w:pPr>
      <w:r>
        <w:rPr>
          <w:rFonts w:hint="eastAsia" w:eastAsia="微软雅黑"/>
          <w:sz w:val="24"/>
        </w:rPr>
        <w:t>《电子商务与网络营销》、 《销售流程与技巧》、 《大客户营销》、《顾问式销售》、《如何成为成功的房产销售员》、《总经理视角下的营销管理》、《非营销人员的营销管理》、《如何塑造成功的电子商务品牌》，《精准数据营销实战》、《卓越营销的营销策划》、《打造双赢关系营销》、《卓越客户服务及实战》、《海外市场客服及实务》</w:t>
      </w:r>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eastAsia="微软雅黑"/>
          <w:sz w:val="24"/>
        </w:rPr>
      </w:pPr>
    </w:p>
    <w:p>
      <w:pPr>
        <w:rPr>
          <w:rFonts w:hint="eastAsia" w:eastAsia="微软雅黑"/>
          <w:sz w:val="24"/>
        </w:rPr>
      </w:pPr>
    </w:p>
    <w:p>
      <w:pPr>
        <w:rPr>
          <w:rFonts w:hint="eastAsia" w:eastAsia="宋体"/>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9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6384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rPr>
                  <w:t xml:space="preserve">  </w:t>
                </w: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1"/>
                    <w:rFonts w:hint="eastAsia" w:ascii="Calibri" w:hAnsi="Calibri" w:eastAsia="微软雅黑" w:cs="Brush Script MT"/>
                    <w:b/>
                    <w:caps w:val="0"/>
                    <w:color w:val="FFFFFF"/>
                    <w:sz w:val="28"/>
                    <w:u w:val="none"/>
                  </w:rPr>
                  <w:t>http://www.bgwahaha.cn</w:t>
                </w:r>
                <w:r>
                  <w:rPr>
                    <w:rStyle w:val="11"/>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pPr>
                  <w:pStyle w:val="6"/>
                  <w:jc w:val="center"/>
                  <w:rPr>
                    <w:rFonts w:hint="eastAsia" w:ascii="Calibri" w:hAnsi="Calibri" w:eastAsia="微软雅黑" w:cs="Brush Script MT"/>
                    <w:b/>
                    <w:caps w:val="0"/>
                    <w:color w:val="FFFFFF"/>
                    <w:sz w:val="28"/>
                    <w:lang w:eastAsia="zh-CN"/>
                  </w:rPr>
                </w:pPr>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66E58"/>
    <w:rsid w:val="00FA3F21"/>
    <w:rsid w:val="03013F78"/>
    <w:rsid w:val="03455BDB"/>
    <w:rsid w:val="0487611D"/>
    <w:rsid w:val="080512B6"/>
    <w:rsid w:val="08402760"/>
    <w:rsid w:val="09497C15"/>
    <w:rsid w:val="0D29619B"/>
    <w:rsid w:val="0E477BB0"/>
    <w:rsid w:val="120C5579"/>
    <w:rsid w:val="180839B6"/>
    <w:rsid w:val="18AA49CE"/>
    <w:rsid w:val="1A7A3D30"/>
    <w:rsid w:val="1AA15CEF"/>
    <w:rsid w:val="1E0846AD"/>
    <w:rsid w:val="1E9513D1"/>
    <w:rsid w:val="24FE1C1A"/>
    <w:rsid w:val="27516C16"/>
    <w:rsid w:val="27C4019B"/>
    <w:rsid w:val="2F20473C"/>
    <w:rsid w:val="2F9E7B52"/>
    <w:rsid w:val="359F2EF3"/>
    <w:rsid w:val="387A45AE"/>
    <w:rsid w:val="3EC641CB"/>
    <w:rsid w:val="40426D95"/>
    <w:rsid w:val="40F15D15"/>
    <w:rsid w:val="41092CF9"/>
    <w:rsid w:val="411A5B6E"/>
    <w:rsid w:val="41FA4F75"/>
    <w:rsid w:val="4289324C"/>
    <w:rsid w:val="482D4304"/>
    <w:rsid w:val="4ABE0178"/>
    <w:rsid w:val="4B9A0D61"/>
    <w:rsid w:val="4D1C300C"/>
    <w:rsid w:val="50E94570"/>
    <w:rsid w:val="51A37B35"/>
    <w:rsid w:val="526117B6"/>
    <w:rsid w:val="528637C2"/>
    <w:rsid w:val="530B7833"/>
    <w:rsid w:val="54485059"/>
    <w:rsid w:val="566E1240"/>
    <w:rsid w:val="57E5732F"/>
    <w:rsid w:val="592D7C22"/>
    <w:rsid w:val="5B5A09E0"/>
    <w:rsid w:val="5CCB3D17"/>
    <w:rsid w:val="5D2A4135"/>
    <w:rsid w:val="5E985476"/>
    <w:rsid w:val="62394726"/>
    <w:rsid w:val="63352E4C"/>
    <w:rsid w:val="645A42B3"/>
    <w:rsid w:val="64CB7612"/>
    <w:rsid w:val="656F550D"/>
    <w:rsid w:val="6AA221E0"/>
    <w:rsid w:val="6BBA456B"/>
    <w:rsid w:val="6C890631"/>
    <w:rsid w:val="6FA974C0"/>
    <w:rsid w:val="713E5EB9"/>
    <w:rsid w:val="735E2787"/>
    <w:rsid w:val="749B5A6C"/>
    <w:rsid w:val="79802B96"/>
    <w:rsid w:val="7A725560"/>
    <w:rsid w:val="7B44464B"/>
    <w:rsid w:val="7B6528E3"/>
    <w:rsid w:val="7D001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37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2019-12-29T15:17:21Z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