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before="0" w:beforeAutospacing="0" w:after="0" w:afterAutospacing="0"/>
        <w:ind w:left="0" w:right="0" w:firstLine="3602" w:firstLineChars="1500"/>
        <w:jc w:val="both"/>
        <w:rPr>
          <w:rFonts w:hint="eastAsia" w:ascii="仿宋" w:hAnsi="仿宋" w:eastAsia="微软雅黑"/>
          <w:b/>
          <w:sz w:val="24"/>
          <w:szCs w:val="30"/>
        </w:rPr>
      </w:pPr>
      <w:r>
        <w:rPr>
          <w:rFonts w:hint="eastAsia" w:ascii="仿宋" w:hAnsi="仿宋" w:eastAsia="微软雅黑"/>
          <w:b/>
          <w:sz w:val="24"/>
          <w:szCs w:val="30"/>
        </w:rPr>
        <w:t>前  言</w:t>
      </w:r>
    </w:p>
    <w:p>
      <w:pPr>
        <w:rPr>
          <w:rFonts w:hint="eastAsia" w:eastAsia="微软雅黑" w:cs="微软雅黑"/>
          <w:b w:val="0"/>
          <w:bCs w:val="0"/>
          <w:sz w:val="24"/>
          <w:szCs w:val="24"/>
        </w:rPr>
      </w:pPr>
      <w:r>
        <w:rPr>
          <w:rFonts w:hint="eastAsia" w:eastAsia="微软雅黑" w:cs="微软雅黑"/>
          <w:b/>
          <w:bCs/>
          <w:sz w:val="24"/>
          <w:szCs w:val="24"/>
        </w:rPr>
        <w:t>蓝草咨询的目标：</w:t>
      </w:r>
      <w:r>
        <w:rPr>
          <w:rFonts w:hint="eastAsia" w:eastAsia="微软雅黑" w:cs="微软雅黑"/>
          <w:b w:val="0"/>
          <w:bCs w:val="0"/>
          <w:sz w:val="24"/>
          <w:szCs w:val="24"/>
        </w:rPr>
        <w:t>为用户提升工作业绩优异而努力，为用户明天事业腾飞以蓄能！</w:t>
      </w:r>
      <w:r>
        <w:rPr>
          <w:rFonts w:hint="eastAsia" w:eastAsia="微软雅黑" w:cs="微软雅黑"/>
          <w:b/>
          <w:bCs/>
          <w:sz w:val="24"/>
          <w:szCs w:val="24"/>
        </w:rPr>
        <w:t>蓝草咨询的老师：</w:t>
      </w:r>
      <w:r>
        <w:rPr>
          <w:rFonts w:hint="eastAsia" w:eastAsia="微软雅黑" w:cs="微软雅黑"/>
          <w:b w:val="0"/>
          <w:bCs w:val="0"/>
          <w:sz w:val="24"/>
          <w:szCs w:val="24"/>
        </w:rPr>
        <w:t>都有多年实战经验，拒绝传统的说教，以案例分析，讲故事为核心，化繁为简，互动体验场景，把学员当成真诚的朋友！</w:t>
      </w:r>
    </w:p>
    <w:p>
      <w:pPr>
        <w:rPr>
          <w:rFonts w:hint="eastAsia" w:eastAsia="微软雅黑" w:cs="微软雅黑"/>
          <w:b w:val="0"/>
          <w:bCs w:val="0"/>
          <w:sz w:val="24"/>
          <w:szCs w:val="24"/>
        </w:rPr>
      </w:pPr>
      <w:r>
        <w:rPr>
          <w:rFonts w:hint="eastAsia" w:eastAsia="微软雅黑" w:cs="微软雅黑"/>
          <w:b/>
          <w:bCs/>
          <w:sz w:val="24"/>
          <w:szCs w:val="24"/>
        </w:rPr>
        <w:t>蓝草咨询的课程：</w:t>
      </w:r>
      <w:r>
        <w:rPr>
          <w:rFonts w:hint="eastAsia" w:eastAsia="微软雅黑" w:cs="微软雅黑"/>
          <w:b w:val="0"/>
          <w:bCs w:val="0"/>
          <w:sz w:val="24"/>
          <w:szCs w:val="24"/>
        </w:rPr>
        <w:t>以满足初级、中级、中高级的学员的个性化培训为出发点，通过学习达成不仅当前岗位知识与技能，同时为晋升岗位所需知识与技能做准备。 课程设计不仅注意突出落地性、实战性、技能型，而且特别关注新技术、新渠道、新知识、创新型在实践中运用。</w:t>
      </w:r>
    </w:p>
    <w:p>
      <w:pPr>
        <w:rPr>
          <w:rFonts w:eastAsia="微软雅黑" w:cs="Times New Roman"/>
          <w:sz w:val="24"/>
          <w:szCs w:val="24"/>
        </w:rPr>
      </w:pPr>
      <w:r>
        <w:rPr>
          <w:rFonts w:hint="eastAsia" w:eastAsia="微软雅黑" w:cs="微软雅黑"/>
          <w:b/>
          <w:bCs/>
          <w:color w:val="000000"/>
          <w:sz w:val="24"/>
          <w:szCs w:val="24"/>
        </w:rPr>
        <w:t>蓝草咨询的愿景</w:t>
      </w:r>
      <w:r>
        <w:rPr>
          <w:rFonts w:hint="eastAsia" w:eastAsia="微软雅黑" w:cs="微软雅黑"/>
          <w:color w:val="000000"/>
          <w:sz w:val="24"/>
          <w:szCs w:val="24"/>
        </w:rPr>
        <w:t>：卓越的培训是获得知识的绝佳路径，同时是学员快乐的旅程，为快乐而培训</w:t>
      </w:r>
      <w:r>
        <w:rPr>
          <w:rFonts w:eastAsia="微软雅黑" w:cs="Calibri"/>
          <w:color w:val="000000"/>
          <w:sz w:val="24"/>
          <w:szCs w:val="24"/>
        </w:rPr>
        <w:t xml:space="preserve"> </w:t>
      </w:r>
      <w:r>
        <w:rPr>
          <w:rFonts w:hint="eastAsia" w:eastAsia="微软雅黑" w:cs="微软雅黑"/>
          <w:color w:val="000000"/>
          <w:sz w:val="24"/>
          <w:szCs w:val="24"/>
        </w:rPr>
        <w:t>为培训更快乐！</w:t>
      </w:r>
    </w:p>
    <w:p>
      <w:pPr>
        <w:rPr>
          <w:rFonts w:hint="eastAsia" w:eastAsia="微软雅黑" w:cs="微软雅黑"/>
          <w:b w:val="0"/>
          <w:bCs w:val="0"/>
          <w:sz w:val="24"/>
          <w:szCs w:val="24"/>
        </w:rPr>
      </w:pPr>
      <w:r>
        <w:rPr>
          <w:rFonts w:hint="eastAsia" w:eastAsia="微软雅黑" w:cs="微软雅黑"/>
          <w:b/>
          <w:bCs/>
          <w:sz w:val="24"/>
          <w:szCs w:val="24"/>
        </w:rPr>
        <w:t>蓝草咨询的增值服务</w:t>
      </w:r>
      <w:r>
        <w:rPr>
          <w:rFonts w:hint="eastAsia" w:eastAsia="微软雅黑" w:cs="微软雅黑"/>
          <w:sz w:val="24"/>
          <w:szCs w:val="24"/>
        </w:rPr>
        <w:t>：</w:t>
      </w:r>
      <w:r>
        <w:rPr>
          <w:rFonts w:hint="eastAsia" w:eastAsia="微软雅黑" w:cs="微软雅黑"/>
          <w:b w:val="0"/>
          <w:bCs w:val="0"/>
          <w:sz w:val="24"/>
          <w:szCs w:val="24"/>
        </w:rPr>
        <w:t>培训成绩合格的学员获颁培训结业证书，某些课程可以获得证书权威机构认证证书（学员仅仅承担成本费用）。</w:t>
      </w:r>
    </w:p>
    <w:p>
      <w:pPr>
        <w:rPr>
          <w:rFonts w:hint="eastAsia" w:eastAsia="微软雅黑" w:cs="微软雅黑"/>
          <w:b w:val="0"/>
          <w:bCs w:val="0"/>
          <w:sz w:val="24"/>
          <w:szCs w:val="24"/>
        </w:rPr>
      </w:pPr>
      <w:r>
        <w:rPr>
          <w:rFonts w:hint="eastAsia" w:eastAsia="微软雅黑" w:cs="微软雅黑"/>
          <w:b w:val="0"/>
          <w:bCs w:val="0"/>
          <w:sz w:val="24"/>
          <w:szCs w:val="24"/>
        </w:rPr>
        <w:t>目前合作权威机构：中国管理科学研究院</w:t>
      </w:r>
    </w:p>
    <w:p>
      <w:pPr>
        <w:rPr>
          <w:rFonts w:hint="eastAsia" w:eastAsia="微软雅黑" w:cs="微软雅黑"/>
          <w:b w:val="0"/>
          <w:bCs w:val="0"/>
          <w:sz w:val="24"/>
          <w:szCs w:val="24"/>
        </w:rPr>
      </w:pPr>
      <w:r>
        <w:rPr>
          <w:rFonts w:hint="eastAsia" w:eastAsia="微软雅黑" w:cs="微软雅黑"/>
          <w:b w:val="0"/>
          <w:bCs w:val="0"/>
          <w:sz w:val="24"/>
          <w:szCs w:val="24"/>
        </w:rPr>
        <w:t>（中央编办成立的国家事业单位，登记号：210000005343）</w:t>
      </w:r>
    </w:p>
    <w:p>
      <w:pPr>
        <w:rPr>
          <w:rFonts w:hint="eastAsia" w:eastAsia="微软雅黑" w:cs="微软雅黑"/>
          <w:b w:val="0"/>
          <w:bCs w:val="0"/>
          <w:sz w:val="24"/>
          <w:szCs w:val="24"/>
        </w:rPr>
      </w:pPr>
      <w:r>
        <w:rPr>
          <w:rFonts w:hint="eastAsia" w:eastAsia="微软雅黑" w:cs="微软雅黑"/>
          <w:b w:val="0"/>
          <w:bCs w:val="0"/>
          <w:sz w:val="24"/>
          <w:szCs w:val="24"/>
        </w:rPr>
        <w:t>根据《职业教育法》的相关规定，该证书是对劳动者岗前培训，在职培训，能力提升培训，继续教育和创业培训的证明。持证者，说明其通过了职业能力培训考核与测评，具备了相应的专业知识和能力，可作为学员能力评价，考核，聘用和从业的重要凭证。</w:t>
      </w:r>
    </w:p>
    <w:p>
      <w:pPr>
        <w:rPr>
          <w:rFonts w:hint="eastAsia" w:eastAsia="微软雅黑" w:cs="微软雅黑"/>
          <w:b/>
          <w:bCs/>
          <w:sz w:val="24"/>
          <w:szCs w:val="24"/>
        </w:rPr>
      </w:pPr>
    </w:p>
    <w:p>
      <w:pPr>
        <w:rPr>
          <w:rFonts w:eastAsia="微软雅黑" w:cs="Times New Roman"/>
          <w:sz w:val="24"/>
          <w:szCs w:val="24"/>
        </w:rPr>
      </w:pPr>
      <w:r>
        <w:rPr>
          <w:rFonts w:hint="eastAsia" w:eastAsia="微软雅黑" w:cs="微软雅黑"/>
          <w:sz w:val="24"/>
          <w:szCs w:val="24"/>
        </w:rPr>
        <w:t>成为“蓝草</w:t>
      </w:r>
      <w:r>
        <w:rPr>
          <w:rFonts w:eastAsia="微软雅黑" w:cs="Calibri"/>
          <w:sz w:val="24"/>
          <w:szCs w:val="24"/>
        </w:rPr>
        <w:t>club”</w:t>
      </w:r>
      <w:r>
        <w:rPr>
          <w:rFonts w:hint="eastAsia" w:eastAsia="微软雅黑" w:cs="微软雅黑"/>
          <w:sz w:val="24"/>
          <w:szCs w:val="24"/>
        </w:rPr>
        <w:t>会员的学员，报名参加另外蓝草举办的培训课程的，可以享受该培训课程多种优惠。</w:t>
      </w:r>
    </w:p>
    <w:p>
      <w:pPr>
        <w:rPr>
          <w:rFonts w:hint="eastAsia" w:ascii="微软雅黑" w:hAnsi="微软雅黑" w:eastAsia="微软雅黑" w:cs="微软雅黑"/>
          <w:b/>
          <w:bCs/>
          <w:sz w:val="24"/>
          <w:szCs w:val="24"/>
          <w:lang w:val="en-US" w:eastAsia="zh-CN"/>
        </w:rPr>
      </w:pPr>
    </w:p>
    <w:p>
      <w:pPr>
        <w:rPr>
          <w:rFonts w:hint="eastAsia" w:ascii="微软雅黑" w:hAnsi="微软雅黑" w:eastAsia="微软雅黑" w:cs="微软雅黑"/>
          <w:b/>
          <w:bCs/>
          <w:sz w:val="24"/>
          <w:szCs w:val="24"/>
          <w:lang w:val="en-US" w:eastAsia="zh-CN"/>
        </w:rPr>
      </w:pPr>
    </w:p>
    <w:p>
      <w:pPr>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2020《互联网思维课程》大纲及开课计划</w:t>
      </w:r>
    </w:p>
    <w:p>
      <w:pPr>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2020年课程计划：</w:t>
      </w:r>
    </w:p>
    <w:p>
      <w:pPr>
        <w:spacing w:beforeLines="0" w:after="200" w:afterLines="0" w:line="276" w:lineRule="auto"/>
        <w:jc w:val="left"/>
        <w:rPr>
          <w:rFonts w:hint="eastAsia" w:eastAsia="微软雅黑" w:cs="微软雅黑"/>
          <w:b/>
          <w:bCs/>
          <w:kern w:val="2"/>
          <w:sz w:val="24"/>
          <w:szCs w:val="24"/>
          <w:lang w:val="en-US" w:eastAsia="zh-CN" w:bidi="ar-SA"/>
        </w:rPr>
      </w:pPr>
      <w:r>
        <w:rPr>
          <w:rFonts w:hint="eastAsia" w:ascii="仿宋" w:hAnsi="仿宋" w:eastAsia="微软雅黑"/>
          <w:b/>
          <w:sz w:val="24"/>
          <w:szCs w:val="30"/>
          <w:lang w:eastAsia="zh-CN"/>
        </w:rPr>
        <w:t>课程</w:t>
      </w:r>
      <w:r>
        <w:rPr>
          <w:rFonts w:hint="eastAsia" w:eastAsia="微软雅黑" w:cs="微软雅黑"/>
          <w:b/>
          <w:bCs/>
          <w:kern w:val="2"/>
          <w:sz w:val="24"/>
          <w:szCs w:val="24"/>
          <w:lang w:val="en-US" w:eastAsia="zh-CN" w:bidi="ar-SA"/>
        </w:rPr>
        <w:t>价格：4800（</w:t>
      </w:r>
      <w:r>
        <w:rPr>
          <w:rFonts w:hint="eastAsia" w:ascii="微软雅黑" w:hAnsi="微软雅黑" w:eastAsia="微软雅黑"/>
          <w:b/>
          <w:bCs/>
          <w:sz w:val="24"/>
          <w:szCs w:val="24"/>
          <w:lang w:val="zh-CN"/>
        </w:rPr>
        <w:t>含授课费、资料费、午餐费</w:t>
      </w:r>
      <w:r>
        <w:rPr>
          <w:rFonts w:hint="eastAsia" w:eastAsia="微软雅黑" w:cs="微软雅黑"/>
          <w:b/>
          <w:bCs/>
          <w:kern w:val="2"/>
          <w:sz w:val="24"/>
          <w:szCs w:val="24"/>
          <w:lang w:val="en-US" w:eastAsia="zh-CN" w:bidi="ar-SA"/>
        </w:rPr>
        <w:t>）</w:t>
      </w:r>
    </w:p>
    <w:p>
      <w:pPr>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上海：3月2-3 4月2-3  5月7-8  7月1-2  9月1-2  11月3-4 12月2-3</w:t>
      </w:r>
    </w:p>
    <w:p>
      <w:pPr>
        <w:rPr>
          <w:rFonts w:hint="eastAsia" w:ascii="微软雅黑" w:hAnsi="微软雅黑" w:eastAsia="微软雅黑" w:cs="微软雅黑"/>
          <w:sz w:val="24"/>
          <w:szCs w:val="24"/>
        </w:rPr>
      </w:pPr>
      <w:bookmarkStart w:id="0" w:name="_GoBack"/>
      <w:bookmarkEnd w:id="0"/>
      <w:r>
        <w:rPr>
          <w:rFonts w:hint="eastAsia" w:ascii="微软雅黑" w:hAnsi="微软雅黑" w:eastAsia="微软雅黑" w:cs="微软雅黑"/>
          <w:sz w:val="24"/>
          <w:szCs w:val="24"/>
        </w:rPr>
        <w:t>课程背景:</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互联网思维是目前比较火爆的话题，不论是互联网巨头和传统行业的大佬都在谈论互联网思维；但每个人都是立足与自己的企业来思考问题。这就给一般的企业家一种盲人摸象的感觉，本课程通过归纳的方法，取各家之长，为企业系统性地讲解互联网思维如何在传统企业中应用。</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课程收益:</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1全面认识互联网思维</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2.传统企业如何与互联网融合</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3.如何利用互联网工具来进行创新</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课程大纲:</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第一章：传统企业转型中的互联网思维 </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 互联网的商业模式</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2.互联网转型</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3.互联网思维精髓</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第二章：用户思维 </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案例：苹果音乐商店如何取胜</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案例：农业银行：e时代 赢精彩</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案例：三只松鼠</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第三章：简约思维</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1.大道至简，互联网时代的产品战略</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2.品牌定位：用户喜欢你只需要一个理由 </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3.简约即是美</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案例：Roseonly一生只爱一人</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案例：苹果的产品线</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第四章：极致思维 </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1.“渠道为王”到“产品为王” </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2.极致就是匠人精神 </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3.好产品会说话 </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4.打造让用户尖叫的产品 </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5.服务即营销 </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第五章：迭代思维 </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1.天下武功，唯快不破 </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2.怎样做到快速迭代</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案例：小米的橙色星期五</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第六章：流量思维 </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1.免费是为了更好地收费 </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案例：360让羊毛出在狗身上</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2. 网络推广的七种武器</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3.流量的价格和多样性</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平安：欢乐平安夜 粉丝嘉年华 </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第七章:社会化思维 </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 社会化媒体环境下，消费者消费模式发生变化</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2.互联网推广的4I原则</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3.推广前的计划</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4.众包协作</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案例：比特币</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第八章:大数据思维 </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1.数据资产成为核心竞争力 </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2.一切皆可数据化 </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3.大数据的价值不在大，而在于挖掘能力 </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4.大数据带来的商业思维变革</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5.利用大数据思维解决业界难题</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案例：传染病疫情监控</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案例：谷歌翻译系统</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6.大数据思维的核心是理解数据的价值 </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案例：苹果和诺基亚的兴衰对比</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7.大数据驱动运营管理 </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8.精准化营销：大数据+物联网 </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9.大数据的应用创新</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案例：薄荷网——个人网络理财的案例</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案例：互联网金融模式——大数据金融</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案例：ZestFinance大数据承销</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第九章：平台思维 </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1.平台是互联网时代的驱动力 </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2.构建多方共赢的平台生态圈</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案例：供应链金融和蚂蚁金服 </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3.善用现有平台 </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4.传统企业“触网”，慎做平台 </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5.互联网时代企业组织的重构 </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6.从“金字塔”走向“扁平化” </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7.企业文化：创新驱动的人本主义</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案例：谷歌的工程师时间</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第十章:跨界思维 </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1.行业外的 “野蛮人”入侵，重塑产业格局 </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案例：余额宝</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2.寻找低效点，打破利益分配格局 </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3.挟“用户”以令诸侯 </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4.敢于自我颠覆，主动跨界 </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5.内部培育颠覆性业务 </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案例：微信革了手机QQ的命</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6.这些年，已经被互联网颠覆的行业</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2018年该课程排课计划：</w:t>
      </w:r>
    </w:p>
    <w:p>
      <w:pPr>
        <w:rPr>
          <w:rFonts w:hint="eastAsia" w:ascii="微软雅黑" w:hAnsi="微软雅黑" w:eastAsia="微软雅黑" w:cs="微软雅黑"/>
          <w:sz w:val="24"/>
          <w:szCs w:val="24"/>
        </w:rPr>
      </w:pP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老师简介</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武老师，互联网专家.武老师毕业于西安交通大学。具多年互联网企业高管的工作经验，先后在神州数码(中国)公司、汇通天下（G7）、中国配货网等在多家大中型国企与外资企业任职，先后任产品总监、运营总监等职务。</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授课风格：</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武老师凭借多年的企业工作经历以及丰富的人生阅历，将企业管理经验和国际上最前沿的行业发展趋势结合。授课注重案例分析、互动问答、分组讨论等，并针对学员所属的企业实际业务情况，指导学员进行管理方案设计，同时为学员解答实际工作中遇到的问题。</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武老师是最早在中国实践移动互联网的专家，曾担任中国联通物流新时空项目总策划和推广总负责人，获得联通科技进步一等奖、物流采购与联合会二等奖。老师曾为工商银行、建设银行、中国移动、中国电信、中国联通等众多知名公司做过互联网领域的培训。</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老师是目前国内最资深的互联网领域专家，具有十多年互联网平台建设与运营的实战经验和10年的企业培训经验。在互联网、人工智能、物联网、大数据、大连接、移动互联网等领域都有过创新性的成就。</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武老师一直引领着互联网领域培训的潮流，永远站在时代科技发展的最前沿，创造了很多培训行业的第一。第一个讲授互联网+、物联网、人工智能和车联网课程。</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主研方向：互联网、人工智能、物联网、大数据、大连接。</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主要讲授课程：</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人工智能、万物互联的智能时代、物联网、移动大连接战略、大数据、互联网+时代传统企业如何转型、互联网思维、互联网金融、移动互联网、新一代互联网——区块链在金融中的应用、互联网新技术发展趋势及其应用。</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培训经历：</w:t>
      </w:r>
    </w:p>
    <w:p>
      <w:pPr>
        <w:rPr>
          <w:rFonts w:hint="eastAsia" w:ascii="微软雅黑" w:hAnsi="微软雅黑" w:eastAsia="微软雅黑" w:cs="微软雅黑"/>
          <w:sz w:val="24"/>
          <w:szCs w:val="24"/>
        </w:rPr>
      </w:pPr>
      <w:r>
        <w:rPr>
          <w:rFonts w:hint="eastAsia" w:ascii="微软雅黑" w:hAnsi="微软雅黑" w:eastAsia="微软雅黑" w:cs="微软雅黑"/>
          <w:sz w:val="24"/>
          <w:szCs w:val="24"/>
        </w:rPr>
        <w:t>近期培训的部分客户有：工商银行、农业银行、中国银行、建设银行、中信银行、邮政储蓄银行、中国移动、中国联通、中国电信、中国邮政、国家电网、南方电网、、中国石化、中化国际、中国烟草、顺丰速递、上海大众、攀枝花钢铁公司、南车集团、九阳小家电、NEC、中原地产等。</w:t>
      </w:r>
    </w:p>
    <w:p>
      <w:pPr>
        <w:pStyle w:val="17"/>
        <w:spacing w:line="360" w:lineRule="auto"/>
        <w:jc w:val="center"/>
        <w:rPr>
          <w:rFonts w:hint="eastAsia" w:ascii="黑体" w:hAnsi="黑体" w:eastAsia="黑体" w:cs="黑体"/>
          <w:kern w:val="2"/>
        </w:rPr>
      </w:pPr>
      <w:r>
        <w:rPr>
          <w:rFonts w:hint="eastAsia" w:ascii="黑体" w:hAnsi="黑体" w:eastAsia="黑体" w:cs="黑体"/>
          <w:b/>
          <w:bCs/>
          <w:kern w:val="2"/>
        </w:rPr>
        <w:t>报名回执表</w:t>
      </w:r>
    </w:p>
    <w:p>
      <w:pPr>
        <w:spacing w:line="360" w:lineRule="auto"/>
        <w:ind w:firstLine="422" w:firstLineChars="200"/>
        <w:jc w:val="center"/>
        <w:rPr>
          <w:rFonts w:hint="eastAsia" w:ascii="黑体" w:hAnsi="黑体" w:eastAsia="黑体" w:cs="黑体"/>
          <w:b/>
          <w:szCs w:val="21"/>
        </w:rPr>
      </w:pPr>
    </w:p>
    <w:tbl>
      <w:tblPr>
        <w:tblStyle w:val="8"/>
        <w:tblW w:w="9316" w:type="dxa"/>
        <w:jc w:val="cente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CellMar>
          <w:top w:w="0" w:type="dxa"/>
          <w:left w:w="108" w:type="dxa"/>
          <w:bottom w:w="0" w:type="dxa"/>
          <w:right w:w="108" w:type="dxa"/>
        </w:tblCellMar>
      </w:tblPr>
      <w:tblGrid>
        <w:gridCol w:w="1723"/>
        <w:gridCol w:w="603"/>
        <w:gridCol w:w="535"/>
        <w:gridCol w:w="93"/>
        <w:gridCol w:w="1843"/>
        <w:gridCol w:w="1984"/>
        <w:gridCol w:w="891"/>
        <w:gridCol w:w="1644"/>
      </w:tblGrid>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单位名称</w:t>
            </w:r>
          </w:p>
        </w:tc>
        <w:tc>
          <w:tcPr>
            <w:tcW w:w="7533" w:type="dxa"/>
            <w:gridSpan w:val="7"/>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通讯地址</w:t>
            </w:r>
          </w:p>
        </w:tc>
        <w:tc>
          <w:tcPr>
            <w:tcW w:w="5018" w:type="dxa"/>
            <w:gridSpan w:val="5"/>
            <w:noWrap w:val="0"/>
            <w:vAlign w:val="center"/>
          </w:tcPr>
          <w:p>
            <w:pPr>
              <w:widowControl/>
              <w:spacing w:line="360" w:lineRule="auto"/>
              <w:outlineLvl w:val="0"/>
              <w:rPr>
                <w:rFonts w:hint="eastAsia" w:ascii="黑体" w:hAnsi="黑体" w:eastAsia="黑体" w:cs="黑体"/>
                <w:kern w:val="0"/>
                <w:szCs w:val="21"/>
              </w:rPr>
            </w:pPr>
          </w:p>
        </w:tc>
        <w:tc>
          <w:tcPr>
            <w:tcW w:w="851"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邮编</w:t>
            </w:r>
          </w:p>
        </w:tc>
        <w:tc>
          <w:tcPr>
            <w:tcW w:w="1584" w:type="dxa"/>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联系人</w:t>
            </w:r>
          </w:p>
        </w:tc>
        <w:tc>
          <w:tcPr>
            <w:tcW w:w="1191" w:type="dxa"/>
            <w:gridSpan w:val="3"/>
            <w:noWrap w:val="0"/>
            <w:vAlign w:val="center"/>
          </w:tcPr>
          <w:p>
            <w:pPr>
              <w:widowControl/>
              <w:spacing w:line="360" w:lineRule="auto"/>
              <w:outlineLvl w:val="0"/>
              <w:rPr>
                <w:rFonts w:hint="eastAsia" w:ascii="黑体" w:hAnsi="黑体" w:eastAsia="黑体" w:cs="黑体"/>
                <w:kern w:val="0"/>
                <w:szCs w:val="21"/>
              </w:rPr>
            </w:pPr>
          </w:p>
        </w:tc>
        <w:tc>
          <w:tcPr>
            <w:tcW w:w="180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联系电话</w:t>
            </w:r>
          </w:p>
        </w:tc>
        <w:tc>
          <w:tcPr>
            <w:tcW w:w="1944" w:type="dxa"/>
            <w:noWrap w:val="0"/>
            <w:vAlign w:val="center"/>
          </w:tcPr>
          <w:p>
            <w:pPr>
              <w:widowControl/>
              <w:spacing w:line="360" w:lineRule="auto"/>
              <w:outlineLvl w:val="0"/>
              <w:rPr>
                <w:rFonts w:hint="eastAsia" w:ascii="黑体" w:hAnsi="黑体" w:eastAsia="黑体" w:cs="黑体"/>
                <w:kern w:val="0"/>
                <w:szCs w:val="21"/>
              </w:rPr>
            </w:pPr>
          </w:p>
        </w:tc>
        <w:tc>
          <w:tcPr>
            <w:tcW w:w="851"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传真</w:t>
            </w:r>
          </w:p>
        </w:tc>
        <w:tc>
          <w:tcPr>
            <w:tcW w:w="1584" w:type="dxa"/>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QQ</w:t>
            </w:r>
          </w:p>
        </w:tc>
        <w:tc>
          <w:tcPr>
            <w:tcW w:w="3034" w:type="dxa"/>
            <w:gridSpan w:val="4"/>
            <w:noWrap w:val="0"/>
            <w:vAlign w:val="center"/>
          </w:tcPr>
          <w:p>
            <w:pPr>
              <w:widowControl/>
              <w:spacing w:line="360" w:lineRule="auto"/>
              <w:outlineLvl w:val="0"/>
              <w:rPr>
                <w:rFonts w:hint="eastAsia" w:ascii="黑体" w:hAnsi="黑体" w:eastAsia="黑体" w:cs="黑体"/>
                <w:kern w:val="0"/>
                <w:szCs w:val="21"/>
              </w:rPr>
            </w:pPr>
          </w:p>
        </w:tc>
        <w:tc>
          <w:tcPr>
            <w:tcW w:w="1944"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邮箱</w:t>
            </w:r>
          </w:p>
        </w:tc>
        <w:tc>
          <w:tcPr>
            <w:tcW w:w="2475" w:type="dxa"/>
            <w:gridSpan w:val="2"/>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学员姓名</w:t>
            </w: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性别</w:t>
            </w: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职务</w:t>
            </w: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手机</w:t>
            </w: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邮箱</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2266" w:type="dxa"/>
            <w:gridSpan w:val="2"/>
            <w:vMerge w:val="restart"/>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打款账号</w:t>
            </w:r>
          </w:p>
        </w:tc>
        <w:tc>
          <w:tcPr>
            <w:tcW w:w="2431" w:type="dxa"/>
            <w:gridSpan w:val="3"/>
            <w:noWrap w:val="0"/>
            <w:vAlign w:val="center"/>
          </w:tcPr>
          <w:p>
            <w:pPr>
              <w:widowControl/>
              <w:spacing w:line="360" w:lineRule="auto"/>
              <w:jc w:val="left"/>
              <w:outlineLvl w:val="0"/>
              <w:rPr>
                <w:rFonts w:hint="eastAsia" w:ascii="黑体" w:hAnsi="黑体" w:eastAsia="黑体" w:cs="黑体"/>
                <w:kern w:val="0"/>
                <w:szCs w:val="21"/>
              </w:rPr>
            </w:pPr>
            <w:r>
              <w:rPr>
                <w:rFonts w:hint="eastAsia" w:ascii="黑体" w:hAnsi="黑体" w:eastAsia="黑体" w:cs="黑体"/>
                <w:kern w:val="0"/>
                <w:szCs w:val="21"/>
              </w:rPr>
              <w:t>单位名称：</w:t>
            </w:r>
          </w:p>
        </w:tc>
        <w:tc>
          <w:tcPr>
            <w:tcW w:w="4459" w:type="dxa"/>
            <w:gridSpan w:val="3"/>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上海蓝草企业管理咨询有限公司</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2266" w:type="dxa"/>
            <w:gridSpan w:val="2"/>
            <w:vMerge w:val="continue"/>
            <w:noWrap w:val="0"/>
            <w:vAlign w:val="center"/>
          </w:tcPr>
          <w:p>
            <w:pPr>
              <w:widowControl/>
              <w:spacing w:line="360" w:lineRule="auto"/>
              <w:jc w:val="center"/>
              <w:outlineLvl w:val="0"/>
              <w:rPr>
                <w:rFonts w:hint="eastAsia" w:ascii="黑体" w:hAnsi="黑体" w:eastAsia="黑体" w:cs="黑体"/>
                <w:kern w:val="0"/>
                <w:szCs w:val="21"/>
              </w:rPr>
            </w:pPr>
          </w:p>
        </w:tc>
        <w:tc>
          <w:tcPr>
            <w:tcW w:w="2431" w:type="dxa"/>
            <w:gridSpan w:val="3"/>
            <w:noWrap w:val="0"/>
            <w:vAlign w:val="center"/>
          </w:tcPr>
          <w:p>
            <w:pPr>
              <w:widowControl/>
              <w:spacing w:line="360" w:lineRule="auto"/>
              <w:jc w:val="left"/>
              <w:outlineLvl w:val="0"/>
              <w:rPr>
                <w:rFonts w:hint="eastAsia" w:ascii="黑体" w:hAnsi="黑体" w:eastAsia="黑体" w:cs="黑体"/>
                <w:kern w:val="0"/>
                <w:szCs w:val="21"/>
              </w:rPr>
            </w:pPr>
            <w:r>
              <w:rPr>
                <w:rFonts w:hint="eastAsia" w:ascii="黑体" w:hAnsi="黑体" w:eastAsia="黑体" w:cs="黑体"/>
                <w:kern w:val="0"/>
                <w:szCs w:val="21"/>
              </w:rPr>
              <w:t>银行名称：</w:t>
            </w:r>
          </w:p>
        </w:tc>
        <w:tc>
          <w:tcPr>
            <w:tcW w:w="4459" w:type="dxa"/>
            <w:gridSpan w:val="3"/>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建行上海第四支行</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2266" w:type="dxa"/>
            <w:gridSpan w:val="2"/>
            <w:vMerge w:val="continue"/>
            <w:noWrap w:val="0"/>
            <w:vAlign w:val="center"/>
          </w:tcPr>
          <w:p>
            <w:pPr>
              <w:widowControl/>
              <w:spacing w:line="360" w:lineRule="auto"/>
              <w:jc w:val="center"/>
              <w:outlineLvl w:val="0"/>
              <w:rPr>
                <w:rFonts w:hint="eastAsia" w:ascii="黑体" w:hAnsi="黑体" w:eastAsia="黑体" w:cs="黑体"/>
                <w:kern w:val="0"/>
                <w:szCs w:val="21"/>
              </w:rPr>
            </w:pPr>
          </w:p>
        </w:tc>
        <w:tc>
          <w:tcPr>
            <w:tcW w:w="2431" w:type="dxa"/>
            <w:gridSpan w:val="3"/>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开户银行、帐号：</w:t>
            </w:r>
          </w:p>
        </w:tc>
        <w:tc>
          <w:tcPr>
            <w:tcW w:w="4459" w:type="dxa"/>
            <w:gridSpan w:val="3"/>
            <w:noWrap w:val="0"/>
            <w:vAlign w:val="center"/>
          </w:tcPr>
          <w:p>
            <w:pPr>
              <w:widowControl/>
              <w:spacing w:line="360" w:lineRule="auto"/>
              <w:jc w:val="center"/>
              <w:outlineLvl w:val="0"/>
              <w:rPr>
                <w:rFonts w:hint="eastAsia" w:ascii="黑体" w:hAnsi="黑体" w:eastAsia="黑体" w:cs="黑体"/>
                <w:color w:val="000000"/>
                <w:kern w:val="0"/>
                <w:szCs w:val="21"/>
              </w:rPr>
            </w:pPr>
            <w:r>
              <w:rPr>
                <w:rFonts w:hint="eastAsia" w:ascii="黑体" w:hAnsi="黑体" w:eastAsia="黑体" w:cs="黑体"/>
                <w:color w:val="000000"/>
                <w:kern w:val="0"/>
                <w:szCs w:val="21"/>
              </w:rPr>
              <w:t>31001503800056001693</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9236" w:type="dxa"/>
            <w:gridSpan w:val="8"/>
            <w:noWrap w:val="0"/>
            <w:vAlign w:val="center"/>
          </w:tcPr>
          <w:p>
            <w:pPr>
              <w:widowControl/>
              <w:spacing w:line="360" w:lineRule="auto"/>
              <w:jc w:val="center"/>
              <w:outlineLvl w:val="0"/>
              <w:rPr>
                <w:rFonts w:hint="eastAsia" w:ascii="黑体" w:hAnsi="黑体" w:eastAsia="黑体" w:cs="黑体"/>
                <w:color w:val="000000"/>
                <w:kern w:val="0"/>
                <w:szCs w:val="21"/>
              </w:rPr>
            </w:pPr>
            <w:r>
              <w:rPr>
                <w:rFonts w:hint="eastAsia" w:ascii="黑体" w:hAnsi="宋体" w:eastAsia="黑体"/>
                <w:sz w:val="22"/>
                <w:szCs w:val="22"/>
              </w:rPr>
              <w:t xml:space="preserve"> ☑ 提前转帐付款</w:t>
            </w:r>
          </w:p>
        </w:tc>
      </w:tr>
    </w:tbl>
    <w:p>
      <w:pPr>
        <w:spacing w:line="360" w:lineRule="auto"/>
        <w:ind w:firstLine="4830" w:firstLineChars="2300"/>
        <w:rPr>
          <w:rFonts w:ascii="Times New Roman" w:hAnsi="Times New Roman" w:eastAsia="黑体"/>
          <w:bCs/>
          <w:color w:val="000000"/>
          <w:kern w:val="2"/>
        </w:rPr>
      </w:pPr>
      <w:r>
        <w:rPr>
          <w:rFonts w:hint="eastAsia" w:ascii="黑体" w:hAnsi="黑体" w:eastAsia="黑体" w:cs="黑体"/>
          <w:szCs w:val="21"/>
        </w:rPr>
        <w:t xml:space="preserve">               （此表复印有效）</w:t>
      </w:r>
    </w:p>
    <w:p>
      <w:pPr>
        <w:pStyle w:val="7"/>
        <w:spacing w:before="56" w:beforeLines="18" w:beforeAutospacing="0" w:after="0" w:afterAutospacing="0" w:line="260" w:lineRule="exact"/>
        <w:rPr>
          <w:rFonts w:ascii="Times New Roman" w:hAnsi="Times New Roman" w:eastAsia="黑体"/>
          <w:bCs/>
          <w:color w:val="000000"/>
          <w:kern w:val="2"/>
        </w:rPr>
      </w:pPr>
      <w:r>
        <w:rPr>
          <w:rFonts w:ascii="Times New Roman" w:hAnsi="Times New Roman" w:eastAsia="黑体"/>
          <w:bCs/>
          <w:color w:val="000000"/>
          <w:kern w:val="2"/>
        </w:rPr>
        <w:t>备   注：</w:t>
      </w:r>
    </w:p>
    <w:p>
      <w:pPr>
        <w:pStyle w:val="7"/>
        <w:numPr>
          <w:ilvl w:val="0"/>
          <w:numId w:val="1"/>
        </w:numPr>
        <w:tabs>
          <w:tab w:val="left" w:pos="360"/>
        </w:tabs>
        <w:spacing w:before="56" w:beforeLines="18" w:beforeAutospacing="0" w:after="0" w:afterAutospacing="0" w:line="260" w:lineRule="exact"/>
        <w:ind w:left="360" w:hanging="360"/>
        <w:rPr>
          <w:rFonts w:ascii="黑体" w:hAnsi="_x000B__x000C_" w:eastAsia="黑体"/>
          <w:sz w:val="22"/>
        </w:rPr>
      </w:pPr>
      <w:r>
        <w:rPr>
          <w:rFonts w:ascii="黑体" w:hAnsi="_x000B__x000C_" w:eastAsia="黑体"/>
          <w:sz w:val="22"/>
        </w:rPr>
        <w:t>收到您的报名表后，我们将尽快与您联络，如您一个工作日内未接到我们的任何通知，请及时电话与我们联系确认，谢谢！</w:t>
      </w:r>
    </w:p>
    <w:p>
      <w:pPr>
        <w:pStyle w:val="7"/>
        <w:numPr>
          <w:ilvl w:val="0"/>
          <w:numId w:val="1"/>
        </w:numPr>
        <w:tabs>
          <w:tab w:val="left" w:pos="360"/>
        </w:tabs>
        <w:spacing w:before="56" w:beforeLines="18" w:beforeAutospacing="0" w:after="0" w:afterAutospacing="0" w:line="260" w:lineRule="exact"/>
        <w:ind w:left="360" w:hanging="360"/>
        <w:rPr>
          <w:rFonts w:ascii="黑体" w:hAnsi="_x000B__x000C_" w:eastAsia="黑体"/>
          <w:sz w:val="22"/>
        </w:rPr>
      </w:pPr>
      <w:r>
        <w:rPr>
          <w:rFonts w:ascii="黑体" w:hAnsi="_x000B__x000C_" w:eastAsia="黑体"/>
          <w:sz w:val="22"/>
        </w:rPr>
        <w:t>已报名的企业/个人如有其他原因不能如期参加，请</w:t>
      </w:r>
      <w:r>
        <w:rPr>
          <w:rFonts w:hint="eastAsia" w:ascii="黑体" w:hAnsi="_x000B__x000C_" w:eastAsia="黑体"/>
          <w:sz w:val="22"/>
        </w:rPr>
        <w:t>开课前一周</w:t>
      </w:r>
      <w:r>
        <w:rPr>
          <w:rFonts w:ascii="黑体" w:hAnsi="_x000B__x000C_" w:eastAsia="黑体"/>
          <w:sz w:val="22"/>
        </w:rPr>
        <w:t>通知本公司，如有已转入的款项我公司可根据报名者意愿将费用转为其他课程费用</w:t>
      </w:r>
      <w:r>
        <w:rPr>
          <w:rFonts w:hint="eastAsia" w:ascii="黑体" w:hAnsi="_x000B__x000C_" w:eastAsia="黑体"/>
          <w:sz w:val="22"/>
        </w:rPr>
        <w:t>。已经收取课酬费用不再退还</w:t>
      </w:r>
      <w:r>
        <w:rPr>
          <w:rFonts w:ascii="黑体" w:hAnsi="_x000B__x000C_" w:eastAsia="黑体"/>
          <w:sz w:val="22"/>
        </w:rPr>
        <w:t>。</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（需要预定住宿的请参考我司课程《确认函》中的住宿酒店信息）</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注意：</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请将报名表填写完整，发至我方即可。我方收到报名表后，将以电话、传真或</w:t>
      </w:r>
      <w:r>
        <w:rPr>
          <w:rFonts w:ascii="微软雅黑" w:hAnsi="微软雅黑" w:eastAsia="微软雅黑" w:cs="微软雅黑"/>
          <w:sz w:val="22"/>
          <w:szCs w:val="24"/>
        </w:rPr>
        <w:t>E-mail</w:t>
      </w:r>
      <w:r>
        <w:rPr>
          <w:rFonts w:hint="eastAsia" w:ascii="微软雅黑" w:hAnsi="微软雅黑" w:eastAsia="微软雅黑" w:cs="微软雅黑"/>
          <w:sz w:val="22"/>
          <w:szCs w:val="24"/>
        </w:rPr>
        <w:t>等方式确认收到报名表。</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请在培训之前三个工作日内将报名表回传</w:t>
      </w:r>
      <w:r>
        <w:rPr>
          <w:rFonts w:ascii="微软雅黑" w:hAnsi="微软雅黑" w:eastAsia="微软雅黑" w:cs="微软雅黑"/>
          <w:sz w:val="22"/>
          <w:szCs w:val="24"/>
        </w:rPr>
        <w:t>,</w:t>
      </w:r>
      <w:r>
        <w:rPr>
          <w:rFonts w:hint="eastAsia" w:ascii="微软雅黑" w:hAnsi="微软雅黑" w:eastAsia="微软雅黑" w:cs="微软雅黑"/>
          <w:sz w:val="22"/>
          <w:szCs w:val="24"/>
        </w:rPr>
        <w:t>课前一周另行发送详细会务安排</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本课程可针对企业需求，上门服务，组织内训，欢迎咨询。</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请参会学员准备一盒名片</w:t>
      </w:r>
      <w:r>
        <w:rPr>
          <w:rFonts w:ascii="微软雅黑" w:hAnsi="微软雅黑" w:eastAsia="微软雅黑" w:cs="微软雅黑"/>
          <w:sz w:val="22"/>
          <w:szCs w:val="24"/>
        </w:rPr>
        <w:t>,</w:t>
      </w:r>
      <w:r>
        <w:rPr>
          <w:rFonts w:hint="eastAsia" w:ascii="微软雅黑" w:hAnsi="微软雅黑" w:eastAsia="微软雅黑" w:cs="微软雅黑"/>
          <w:sz w:val="22"/>
          <w:szCs w:val="24"/>
        </w:rPr>
        <w:t>以便学员间交流学习。</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请准备几个工作中遇到的问题以便进行讨论。</w:t>
      </w:r>
    </w:p>
    <w:p>
      <w:pPr>
        <w:rPr>
          <w:rFonts w:ascii="微软雅黑" w:hAnsi="微软雅黑" w:eastAsia="微软雅黑" w:cs="Times New Roman"/>
          <w:sz w:val="22"/>
          <w:szCs w:val="24"/>
        </w:rPr>
      </w:pPr>
      <w:r>
        <w:rPr>
          <w:rFonts w:hint="eastAsia" w:ascii="微软雅黑" w:hAnsi="微软雅黑" w:eastAsia="微软雅黑" w:cs="微软雅黑"/>
          <w:sz w:val="22"/>
          <w:szCs w:val="24"/>
          <w:lang w:val="zh-CN"/>
        </w:rPr>
        <w:t>此表所填信息仅用于招生工作，对所填写的客户信息，我司严格保密，如需参加请填写回传给我们</w:t>
      </w:r>
      <w:r>
        <w:rPr>
          <w:rFonts w:hint="eastAsia" w:ascii="微软雅黑" w:hAnsi="微软雅黑" w:eastAsia="微软雅黑" w:cs="微软雅黑"/>
          <w:sz w:val="22"/>
          <w:szCs w:val="24"/>
        </w:rPr>
        <w:t>，以便及时为您安排会务并发确认函，谢谢支持！</w:t>
      </w:r>
    </w:p>
    <w:p>
      <w:pPr>
        <w:rPr>
          <w:rFonts w:hint="eastAsia" w:ascii="微软雅黑" w:hAnsi="微软雅黑" w:eastAsia="微软雅黑" w:cs="微软雅黑"/>
          <w:sz w:val="24"/>
          <w:szCs w:val="24"/>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DengXian">
    <w:altName w:val="宋体"/>
    <w:panose1 w:val="02010600030101010101"/>
    <w:charset w:val="86"/>
    <w:family w:val="auto"/>
    <w:pitch w:val="default"/>
    <w:sig w:usb0="00000000" w:usb1="00000000" w:usb2="00000016" w:usb3="00000000" w:csb0="0004000F" w:csb1="00000000"/>
  </w:font>
  <w:font w:name="Microsoft YaHei UI">
    <w:altName w:val="宋体"/>
    <w:panose1 w:val="00000000000000000000"/>
    <w:charset w:val="86"/>
    <w:family w:val="auto"/>
    <w:pitch w:val="default"/>
    <w:sig w:usb0="00000000" w:usb1="00000000" w:usb2="00000016" w:usb3="00000000" w:csb0="0004001F" w:csb1="00000000"/>
  </w:font>
  <w:font w:name="仿宋">
    <w:panose1 w:val="02010609060101010101"/>
    <w:charset w:val="86"/>
    <w:family w:val="auto"/>
    <w:pitch w:val="default"/>
    <w:sig w:usb0="800002BF" w:usb1="38CF7CFA" w:usb2="00000016" w:usb3="00000000" w:csb0="00040001" w:csb1="00000000"/>
  </w:font>
  <w:font w:name="_x000B__x000C_">
    <w:altName w:val="Times New Roman"/>
    <w:panose1 w:val="00000000000000000000"/>
    <w:charset w:val="00"/>
    <w:family w:val="roman"/>
    <w:pitch w:val="default"/>
    <w:sig w:usb0="00000000" w:usb1="00000000" w:usb2="00000000" w:usb3="00000000" w:csb0="00040001" w:csb1="00000000"/>
  </w:font>
  <w:font w:name="Brush Script MT">
    <w:altName w:val="Mongolian Baiti"/>
    <w:panose1 w:val="03060802040406070304"/>
    <w:charset w:val="00"/>
    <w:family w:val="auto"/>
    <w:pitch w:val="default"/>
    <w:sig w:usb0="00000000" w:usb1="00000000" w:usb2="00000000" w:usb3="00000000" w:csb0="20000001" w:csb1="00000000"/>
  </w:font>
  <w:font w:name="华文行楷">
    <w:altName w:val="微软雅黑"/>
    <w:panose1 w:val="02010800040101010101"/>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Mongolian Baiti">
    <w:panose1 w:val="03000500000000000000"/>
    <w:charset w:val="00"/>
    <w:family w:val="auto"/>
    <w:pitch w:val="default"/>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color w:val="00B0F0"/>
      </w:rPr>
    </w:pPr>
    <w:r>
      <w:rPr>
        <w:rFonts w:ascii="Calibri" w:hAnsi="Calibri" w:eastAsia="宋体" w:cs="Times New Roman"/>
        <w:kern w:val="2"/>
        <w:sz w:val="18"/>
        <w:szCs w:val="22"/>
        <w:lang w:val="en-US" w:eastAsia="zh-CN" w:bidi="ar-SA"/>
      </w:rPr>
      <w:pict>
        <v:rect id="文本框 4" o:spid="_x0000_s4099" o:spt="1" style="position:absolute;left:0pt;margin-left:177.95pt;margin-top:4.15pt;height:31.2pt;width:276.1pt;z-index:251661312;mso-width-relative:page;mso-height-relative:page;" fillcolor="#FFFFFF" filled="t" o:preferrelative="t" stroked="f" coordsize="21600,21600">
          <v:path/>
          <v:fill on="t" focussize="0,0"/>
          <v:stroke on="f"/>
          <v:imagedata gain="65536f" blacklevel="0f" gamma="0" o:title=""/>
          <o:lock v:ext="edit" position="f" selection="f" grouping="f" rotation="f" cropping="f" text="f" aspectratio="f"/>
          <v:textbox>
            <w:txbxContent>
              <w:p/>
            </w:txbxContent>
          </v:textbox>
        </v:rect>
      </w:pict>
    </w:r>
    <w:r>
      <w:rPr>
        <w:rFonts w:ascii="Calibri" w:hAnsi="Calibri" w:eastAsia="宋体" w:cs="Times New Roman"/>
        <w:kern w:val="2"/>
        <w:sz w:val="18"/>
        <w:szCs w:val="22"/>
        <w:lang w:val="en-US" w:eastAsia="zh-CN" w:bidi="ar-SA"/>
      </w:rPr>
      <w:pict>
        <v:line id="直线连接符 3" o:spid="_x0000_s4100" o:spt="20" style="position:absolute;left:0pt;margin-left:-85.95pt;margin-top:-3.5pt;height:0.55pt;width:585pt;z-index:251660288;mso-width-relative:page;mso-height-relative:page;" fillcolor="#FFFFFF" filled="f" o:preferrelative="t" stroked="t" coordsize="21600,21600">
          <v:path arrowok="t"/>
          <v:fill on="f" color2="#FFFFFF" focussize="0,0"/>
          <v:stroke weight="1.75pt" color="#4A7DBA" color2="#FFFFFF" miterlimit="2" dashstyle="longDashDot"/>
          <v:imagedata gain="65536f" blacklevel="0f" gamma="0" o:title=""/>
          <o:lock v:ext="edit" position="f" selection="f" grouping="f" rotation="f" cropping="f" text="f" aspectratio="f"/>
        </v:line>
      </w:pic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eastAsia="微软雅黑"/>
        <w:color w:val="0000FF"/>
        <w:sz w:val="24"/>
      </w:rPr>
    </w:pPr>
    <w:r>
      <w:rPr>
        <w:rFonts w:ascii="Calibri" w:hAnsi="Calibri" w:eastAsia="宋体" w:cs="Times New Roman"/>
        <w:kern w:val="2"/>
        <w:sz w:val="21"/>
        <w:szCs w:val="22"/>
        <w:lang w:val="en-US" w:eastAsia="zh-CN" w:bidi="ar-SA"/>
      </w:rPr>
      <w:pict>
        <v:rect id="矩形 197" o:spid="_x0000_s4097" o:spt="1" style="position:absolute;left:0pt;margin-left:0.35pt;margin-top:1.75pt;height:57.75pt;width:595.75pt;mso-position-horizontal-relative:page;mso-position-vertical-relative:page;mso-wrap-distance-bottom:0pt;mso-wrap-distance-left:9.35pt;mso-wrap-distance-right:9.35pt;mso-wrap-distance-top:0pt;z-index:-251658240;mso-width-relative:page;mso-height-relative:page;" fillcolor="#4A7FC0" filled="t" o:preferrelative="t" stroked="f" coordsize="21600,21600" o:allowoverlap="f">
          <v:path/>
          <v:fill on="t" focussize="0,0"/>
          <v:stroke on="f"/>
          <v:imagedata gain="65536f" blacklevel="0f" gamma="0" o:title=""/>
          <o:lock v:ext="edit" position="f" selection="f" grouping="f" rotation="f" cropping="f" text="f" aspectratio="f"/>
          <v:shadow on="t" type="perspective" color="#000000" opacity="19661f" offset="0pt,3pt" origin="0f,-32768f" matrix="65536f,0f,0f,65536f,0,0"/>
          <v:textbox>
            <w:txbxContent>
              <w:p>
                <w:pPr>
                  <w:pStyle w:val="6"/>
                  <w:jc w:val="center"/>
                  <w:rPr>
                    <w:rFonts w:hint="eastAsia" w:ascii="Calibri" w:hAnsi="Calibri" w:eastAsia="微软雅黑" w:cs="Brush Script MT"/>
                    <w:b/>
                    <w:caps w:val="0"/>
                    <w:color w:val="FFFFFF"/>
                    <w:sz w:val="28"/>
                  </w:rPr>
                </w:pPr>
                <w:r>
                  <w:rPr>
                    <w:rFonts w:hint="eastAsia" w:ascii="华文行楷" w:eastAsia="微软雅黑"/>
                    <w:b/>
                    <w:caps w:val="0"/>
                    <w:color w:val="FFFFFF"/>
                    <w:sz w:val="28"/>
                    <w:szCs w:val="32"/>
                    <w:lang w:eastAsia="zh-CN"/>
                  </w:rPr>
                  <w:t>用专业赋能创造价值</w:t>
                </w:r>
                <w:r>
                  <w:rPr>
                    <w:rFonts w:hint="eastAsia" w:ascii="华文行楷" w:eastAsia="微软雅黑"/>
                    <w:b/>
                    <w:caps w:val="0"/>
                    <w:color w:val="FFFFFF"/>
                    <w:sz w:val="28"/>
                    <w:szCs w:val="32"/>
                  </w:rPr>
                  <w:t xml:space="preserve"> </w:t>
                </w:r>
                <w:r>
                  <w:rPr>
                    <w:rFonts w:eastAsia="微软雅黑"/>
                    <w:b/>
                    <w:caps w:val="0"/>
                    <w:sz w:val="28"/>
                  </w:rPr>
                  <w:fldChar w:fldCharType="begin"/>
                </w:r>
                <w:r>
                  <w:rPr>
                    <w:rFonts w:eastAsia="微软雅黑"/>
                    <w:b/>
                    <w:caps w:val="0"/>
                    <w:sz w:val="28"/>
                  </w:rPr>
                  <w:instrText xml:space="preserve"> HYPERLINK "http://www.bgwahaha.cn" </w:instrText>
                </w:r>
                <w:r>
                  <w:rPr>
                    <w:rFonts w:eastAsia="微软雅黑"/>
                    <w:b/>
                    <w:caps w:val="0"/>
                    <w:sz w:val="28"/>
                  </w:rPr>
                  <w:fldChar w:fldCharType="separate"/>
                </w:r>
                <w:r>
                  <w:rPr>
                    <w:rStyle w:val="11"/>
                    <w:rFonts w:hint="eastAsia" w:ascii="Calibri" w:hAnsi="Calibri" w:eastAsia="微软雅黑" w:cs="Brush Script MT"/>
                    <w:b/>
                    <w:caps w:val="0"/>
                    <w:color w:val="FFFFFF"/>
                    <w:sz w:val="28"/>
                    <w:u w:val="none"/>
                  </w:rPr>
                  <w:t>http://www.bgwahaha.cn</w:t>
                </w:r>
                <w:r>
                  <w:rPr>
                    <w:rStyle w:val="11"/>
                    <w:rFonts w:hint="eastAsia" w:ascii="Calibri" w:hAnsi="Calibri" w:eastAsia="微软雅黑" w:cs="Brush Script MT"/>
                    <w:b/>
                    <w:caps w:val="0"/>
                    <w:color w:val="FFFFFF"/>
                    <w:sz w:val="28"/>
                    <w:u w:val="none"/>
                  </w:rPr>
                  <w:fldChar w:fldCharType="end"/>
                </w:r>
                <w:r>
                  <w:rPr>
                    <w:rFonts w:ascii="Calibri" w:hAnsi="Calibri" w:eastAsia="微软雅黑" w:cs="Brush Script MT"/>
                    <w:b/>
                    <w:caps w:val="0"/>
                    <w:color w:val="FFFFFF"/>
                    <w:sz w:val="28"/>
                  </w:rPr>
                  <w:t xml:space="preserve"> </w:t>
                </w:r>
                <w:r>
                  <w:rPr>
                    <w:rFonts w:hint="eastAsia" w:ascii="Calibri" w:hAnsi="Calibri" w:eastAsia="微软雅黑" w:cs="Brush Script MT"/>
                    <w:b/>
                    <w:caps w:val="0"/>
                    <w:color w:val="FFFFFF"/>
                    <w:sz w:val="28"/>
                  </w:rPr>
                  <w:t xml:space="preserve"> </w:t>
                </w:r>
              </w:p>
              <w:p>
                <w:pPr>
                  <w:pStyle w:val="6"/>
                  <w:jc w:val="center"/>
                  <w:rPr>
                    <w:rFonts w:hint="eastAsia" w:ascii="Calibri" w:hAnsi="Calibri" w:eastAsia="微软雅黑" w:cs="Brush Script MT"/>
                    <w:b/>
                    <w:caps w:val="0"/>
                    <w:color w:val="FFFFFF"/>
                    <w:sz w:val="28"/>
                    <w:lang w:eastAsia="zh-CN"/>
                  </w:rPr>
                </w:pPr>
                <w:r>
                  <w:rPr>
                    <w:rFonts w:hint="eastAsia" w:ascii="Calibri" w:hAnsi="Calibri" w:eastAsia="微软雅黑" w:cs="Brush Script MT"/>
                    <w:b/>
                    <w:caps w:val="0"/>
                    <w:color w:val="FFFFFF"/>
                    <w:sz w:val="28"/>
                    <w:lang w:eastAsia="zh-CN"/>
                  </w:rPr>
                  <w:t>上海蓝草企业管理咨询有限公司</w:t>
                </w:r>
              </w:p>
              <w:p/>
            </w:txbxContent>
          </v:textbox>
          <w10:wrap type="square"/>
        </v:rect>
      </w:pict>
    </w:r>
    <w:r>
      <w:rPr>
        <w:rFonts w:ascii="Calibri" w:hAnsi="Calibri" w:eastAsia="宋体" w:cs="Times New Roman"/>
        <w:kern w:val="2"/>
        <w:sz w:val="21"/>
        <w:szCs w:val="22"/>
        <w:lang w:val="en-US" w:eastAsia="zh-CN" w:bidi="ar-SA"/>
      </w:rPr>
      <w:pict>
        <v:line id="直线连接符 2" o:spid="_x0000_s4098" o:spt="20" style="position:absolute;left:0pt;margin-left:-85.95pt;margin-top:17.65pt;height:0.05pt;width:585pt;z-index:251659264;mso-width-relative:page;mso-height-relative:page;" fillcolor="#FFFFFF" filled="f" o:preferrelative="t" stroked="t" coordsize="21600,21600">
          <v:path arrowok="t"/>
          <v:fill on="f" color2="#FFFFFF" focussize="0,0"/>
          <v:stroke weight="1.25pt" color="#17365D" color2="#FFFFFF" miterlimit="2" dashstyle="1 1"/>
          <v:imagedata gain="65536f" blacklevel="0f" gamma="0" o:title=""/>
          <o:lock v:ext="edit" position="f" selection="f" grouping="f" rotation="f" cropping="f" text="f" aspectratio="f"/>
        </v:line>
      </w:pict>
    </w:r>
    <w:r>
      <w:rPr>
        <w:rFonts w:hint="eastAsia" w:eastAsia="微软雅黑"/>
        <w:color w:val="0000FF"/>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6333D"/>
    <w:multiLevelType w:val="multilevel"/>
    <w:tmpl w:val="4076333D"/>
    <w:lvl w:ilvl="0" w:tentative="0">
      <w:start w:val="1"/>
      <w:numFmt w:val="decimal"/>
      <w:lvlText w:val="%1．"/>
      <w:lvlJc w:val="left"/>
      <w:pPr>
        <w:tabs>
          <w:tab w:val="left" w:pos="1409"/>
        </w:tabs>
        <w:ind w:left="1409" w:hanging="870"/>
      </w:pPr>
      <w:rPr>
        <w:rFonts w:hint="eastAsia"/>
      </w:rPr>
    </w:lvl>
    <w:lvl w:ilvl="1" w:tentative="0">
      <w:start w:val="1"/>
      <w:numFmt w:val="lowerLetter"/>
      <w:lvlText w:val="%2)"/>
      <w:lvlJc w:val="left"/>
      <w:pPr>
        <w:tabs>
          <w:tab w:val="left" w:pos="1379"/>
        </w:tabs>
        <w:ind w:left="1379" w:hanging="420"/>
      </w:pPr>
    </w:lvl>
    <w:lvl w:ilvl="2" w:tentative="0">
      <w:start w:val="1"/>
      <w:numFmt w:val="lowerRoman"/>
      <w:lvlText w:val="%3."/>
      <w:lvlJc w:val="right"/>
      <w:pPr>
        <w:tabs>
          <w:tab w:val="left" w:pos="1799"/>
        </w:tabs>
        <w:ind w:left="1799" w:hanging="420"/>
      </w:pPr>
    </w:lvl>
    <w:lvl w:ilvl="3" w:tentative="0">
      <w:start w:val="1"/>
      <w:numFmt w:val="decimal"/>
      <w:lvlText w:val="%4."/>
      <w:lvlJc w:val="left"/>
      <w:pPr>
        <w:tabs>
          <w:tab w:val="left" w:pos="2219"/>
        </w:tabs>
        <w:ind w:left="2219" w:hanging="420"/>
      </w:pPr>
    </w:lvl>
    <w:lvl w:ilvl="4" w:tentative="0">
      <w:start w:val="1"/>
      <w:numFmt w:val="lowerLetter"/>
      <w:lvlText w:val="%5)"/>
      <w:lvlJc w:val="left"/>
      <w:pPr>
        <w:tabs>
          <w:tab w:val="left" w:pos="2639"/>
        </w:tabs>
        <w:ind w:left="2639" w:hanging="420"/>
      </w:pPr>
    </w:lvl>
    <w:lvl w:ilvl="5" w:tentative="0">
      <w:start w:val="1"/>
      <w:numFmt w:val="lowerRoman"/>
      <w:lvlText w:val="%6."/>
      <w:lvlJc w:val="right"/>
      <w:pPr>
        <w:tabs>
          <w:tab w:val="left" w:pos="3059"/>
        </w:tabs>
        <w:ind w:left="3059" w:hanging="420"/>
      </w:pPr>
    </w:lvl>
    <w:lvl w:ilvl="6" w:tentative="0">
      <w:start w:val="1"/>
      <w:numFmt w:val="decimal"/>
      <w:lvlText w:val="%7."/>
      <w:lvlJc w:val="left"/>
      <w:pPr>
        <w:tabs>
          <w:tab w:val="left" w:pos="3479"/>
        </w:tabs>
        <w:ind w:left="3479" w:hanging="420"/>
      </w:pPr>
    </w:lvl>
    <w:lvl w:ilvl="7" w:tentative="0">
      <w:start w:val="1"/>
      <w:numFmt w:val="lowerLetter"/>
      <w:lvlText w:val="%8)"/>
      <w:lvlJc w:val="left"/>
      <w:pPr>
        <w:tabs>
          <w:tab w:val="left" w:pos="3899"/>
        </w:tabs>
        <w:ind w:left="3899" w:hanging="420"/>
      </w:pPr>
    </w:lvl>
    <w:lvl w:ilvl="8" w:tentative="0">
      <w:start w:val="1"/>
      <w:numFmt w:val="lowerRoman"/>
      <w:lvlText w:val="%9."/>
      <w:lvlJc w:val="right"/>
      <w:pPr>
        <w:tabs>
          <w:tab w:val="left" w:pos="4319"/>
        </w:tabs>
        <w:ind w:left="431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3018A4"/>
    <w:rsid w:val="00006B03"/>
    <w:rsid w:val="00086047"/>
    <w:rsid w:val="000C0857"/>
    <w:rsid w:val="000C6BF5"/>
    <w:rsid w:val="002F7B2D"/>
    <w:rsid w:val="003018A4"/>
    <w:rsid w:val="00331F87"/>
    <w:rsid w:val="00343FEE"/>
    <w:rsid w:val="0042048F"/>
    <w:rsid w:val="004279C2"/>
    <w:rsid w:val="00444909"/>
    <w:rsid w:val="004759B6"/>
    <w:rsid w:val="004B3B51"/>
    <w:rsid w:val="00577A72"/>
    <w:rsid w:val="00585547"/>
    <w:rsid w:val="005B4BAE"/>
    <w:rsid w:val="006339D7"/>
    <w:rsid w:val="008E00CF"/>
    <w:rsid w:val="0091450E"/>
    <w:rsid w:val="00944593"/>
    <w:rsid w:val="009B74C9"/>
    <w:rsid w:val="009F1362"/>
    <w:rsid w:val="00AB3A77"/>
    <w:rsid w:val="00B05CFB"/>
    <w:rsid w:val="00B944D8"/>
    <w:rsid w:val="00C473A3"/>
    <w:rsid w:val="00CD04FE"/>
    <w:rsid w:val="00D46862"/>
    <w:rsid w:val="00D47868"/>
    <w:rsid w:val="00DA7308"/>
    <w:rsid w:val="00FA3F21"/>
    <w:rsid w:val="06051807"/>
    <w:rsid w:val="09497C15"/>
    <w:rsid w:val="0D29619B"/>
    <w:rsid w:val="0E7D5D44"/>
    <w:rsid w:val="120C5579"/>
    <w:rsid w:val="122D0C5C"/>
    <w:rsid w:val="139C46BD"/>
    <w:rsid w:val="18AA49CE"/>
    <w:rsid w:val="19A92F24"/>
    <w:rsid w:val="1BBB4AD3"/>
    <w:rsid w:val="1BD0357D"/>
    <w:rsid w:val="1E0846AD"/>
    <w:rsid w:val="1E9513D1"/>
    <w:rsid w:val="24FE1C1A"/>
    <w:rsid w:val="25AA00C6"/>
    <w:rsid w:val="280F3090"/>
    <w:rsid w:val="2A1E4FFA"/>
    <w:rsid w:val="2F20473C"/>
    <w:rsid w:val="311B7969"/>
    <w:rsid w:val="359F2EF3"/>
    <w:rsid w:val="35DF05A4"/>
    <w:rsid w:val="3EC641CB"/>
    <w:rsid w:val="40733448"/>
    <w:rsid w:val="419308E5"/>
    <w:rsid w:val="41FA4F75"/>
    <w:rsid w:val="4289324C"/>
    <w:rsid w:val="451B2D6E"/>
    <w:rsid w:val="4ABE0178"/>
    <w:rsid w:val="4B9A0D61"/>
    <w:rsid w:val="50BF4DFB"/>
    <w:rsid w:val="50E94570"/>
    <w:rsid w:val="513E14B7"/>
    <w:rsid w:val="526117B6"/>
    <w:rsid w:val="528637C2"/>
    <w:rsid w:val="52F03C54"/>
    <w:rsid w:val="63352E4C"/>
    <w:rsid w:val="64CB7612"/>
    <w:rsid w:val="656F550D"/>
    <w:rsid w:val="6AA221E0"/>
    <w:rsid w:val="6FA974C0"/>
    <w:rsid w:val="713E5EB9"/>
    <w:rsid w:val="716C5801"/>
    <w:rsid w:val="749B5A6C"/>
    <w:rsid w:val="7857288F"/>
    <w:rsid w:val="79C735E0"/>
    <w:rsid w:val="79F44D9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qFormat="1"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4">
    <w:name w:val="heading 3"/>
    <w:basedOn w:val="1"/>
    <w:next w:val="1"/>
    <w:unhideWhenUsed/>
    <w:qFormat/>
    <w:uiPriority w:val="9"/>
    <w:pPr>
      <w:keepNext/>
      <w:keepLines/>
      <w:spacing w:before="260" w:after="260" w:line="413" w:lineRule="auto"/>
      <w:outlineLvl w:val="2"/>
    </w:pPr>
    <w:rPr>
      <w:b/>
      <w:sz w:val="32"/>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customStyle="1" w:styleId="2">
    <w:name w:val="样式1"/>
    <w:basedOn w:val="3"/>
    <w:qFormat/>
    <w:uiPriority w:val="0"/>
    <w:pPr>
      <w:spacing w:line="360" w:lineRule="auto"/>
      <w:jc w:val="center"/>
    </w:pPr>
    <w:rPr>
      <w:rFonts w:ascii="微软雅黑" w:hAnsi="微软雅黑" w:eastAsia="微软雅黑"/>
      <w:sz w:val="32"/>
      <w:szCs w:val="32"/>
    </w:rPr>
  </w:style>
  <w:style w:type="paragraph" w:styleId="5">
    <w:name w:val="footer"/>
    <w:basedOn w:val="1"/>
    <w:unhideWhenUsed/>
    <w:qFormat/>
    <w:uiPriority w:val="0"/>
    <w:pPr>
      <w:tabs>
        <w:tab w:val="center" w:pos="4153"/>
        <w:tab w:val="right" w:pos="8306"/>
      </w:tabs>
      <w:snapToGrid w:val="0"/>
      <w:jc w:val="left"/>
    </w:pPr>
    <w:rPr>
      <w:sz w:val="18"/>
    </w:rPr>
  </w:style>
  <w:style w:type="paragraph" w:styleId="6">
    <w:name w:val="header"/>
    <w:basedOn w:val="1"/>
    <w:link w:val="15"/>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FollowedHyperlink"/>
    <w:basedOn w:val="9"/>
    <w:unhideWhenUsed/>
    <w:qFormat/>
    <w:uiPriority w:val="0"/>
    <w:rPr>
      <w:color w:val="800080"/>
      <w:u w:val="single"/>
    </w:rPr>
  </w:style>
  <w:style w:type="character" w:styleId="11">
    <w:name w:val="Hyperlink"/>
    <w:basedOn w:val="9"/>
    <w:unhideWhenUsed/>
    <w:qFormat/>
    <w:uiPriority w:val="0"/>
    <w:rPr>
      <w:color w:val="0000FF"/>
      <w:u w:val="single"/>
    </w:rPr>
  </w:style>
  <w:style w:type="paragraph" w:customStyle="1" w:styleId="12">
    <w:name w:val="列出段落1"/>
    <w:qFormat/>
    <w:uiPriority w:val="34"/>
    <w:pPr>
      <w:ind w:firstLine="420" w:firstLineChars="200"/>
    </w:pPr>
    <w:rPr>
      <w:rFonts w:ascii="Times New Roman" w:hAnsi="Times New Roman" w:eastAsia="宋体" w:cs="Times New Roman"/>
      <w:lang w:val="en-US" w:eastAsia="zh-CN" w:bidi="ar-SA"/>
    </w:rPr>
  </w:style>
  <w:style w:type="paragraph" w:customStyle="1" w:styleId="13">
    <w:name w:val="No Spacing"/>
    <w:qFormat/>
    <w:uiPriority w:val="1"/>
    <w:rPr>
      <w:rFonts w:ascii="DengXian" w:hAnsi="DengXian" w:eastAsia="Microsoft YaHei UI" w:cs="Arial"/>
      <w:sz w:val="22"/>
      <w:szCs w:val="22"/>
      <w:lang w:val="en-US" w:eastAsia="zh-CN" w:bidi="ar-SA"/>
    </w:rPr>
  </w:style>
  <w:style w:type="paragraph" w:customStyle="1" w:styleId="14">
    <w:name w:val="List Paragraph"/>
    <w:basedOn w:val="1"/>
    <w:qFormat/>
    <w:uiPriority w:val="99"/>
    <w:pPr>
      <w:ind w:firstLine="420" w:firstLineChars="200"/>
    </w:pPr>
  </w:style>
  <w:style w:type="character" w:customStyle="1" w:styleId="15">
    <w:name w:val="页眉字符"/>
    <w:link w:val="6"/>
    <w:qFormat/>
    <w:uiPriority w:val="99"/>
    <w:rPr>
      <w:kern w:val="2"/>
      <w:sz w:val="18"/>
      <w:szCs w:val="22"/>
    </w:rPr>
  </w:style>
  <w:style w:type="character" w:customStyle="1" w:styleId="16">
    <w:name w:val="标题 1字符"/>
    <w:basedOn w:val="9"/>
    <w:link w:val="3"/>
    <w:qFormat/>
    <w:uiPriority w:val="9"/>
    <w:rPr>
      <w:rFonts w:ascii="Calibri" w:hAnsi="Calibri"/>
      <w:b/>
      <w:bCs/>
      <w:kern w:val="44"/>
      <w:sz w:val="44"/>
      <w:szCs w:val="44"/>
    </w:rPr>
  </w:style>
  <w:style w:type="paragraph" w:customStyle="1" w:styleId="17">
    <w:name w:val="p0"/>
    <w:basedOn w:val="1"/>
    <w:qFormat/>
    <w:uiPriority w:val="0"/>
    <w:pPr>
      <w:widowControl/>
    </w:pPr>
    <w:rPr>
      <w:rFonts w:ascii="Calibri" w:hAnsi="Calibri" w:cs="Calibri"/>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Info spid="_x0000_s4098" textRotate="1"/>
    <customShpInfo spid="_x0000_s4099" textRotate="1"/>
    <customShpInfo spid="_x0000_s410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247</Words>
  <Characters>1411</Characters>
  <Lines>11</Lines>
  <Paragraphs>3</Paragraphs>
  <TotalTime>2</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2018-06-18T04:45:00Z</dcterms:created>
  <dc:creator>JTY</dc:creator>
  <cp:lastModifiedBy>黄俭</cp:lastModifiedBy>
  <dcterms:modified xsi:type="dcterms:W3CDTF">2019-12-29T04:58:07Z</dcterms:modified>
  <dc:title>方便选课-按岗位为您蓄能企业岗位培训项目分类</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y fmtid="{D5CDD505-2E9C-101B-9397-08002B2CF9AE}" pid="3" name="KSORubyTemplateID">
    <vt:lpwstr>6</vt:lpwstr>
  </property>
</Properties>
</file>