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eastAsia="微软雅黑"/>
          <w:color w:val="FF0000"/>
          <w:sz w:val="32"/>
          <w:szCs w:val="32"/>
        </w:rPr>
      </w:pPr>
      <w:r>
        <w:rPr>
          <w:rFonts w:hint="eastAsia" w:ascii="微软雅黑" w:hAnsi="微软雅黑" w:eastAsia="微软雅黑"/>
          <w:color w:val="FF0000"/>
          <w:sz w:val="32"/>
          <w:szCs w:val="32"/>
        </w:rPr>
        <w:t>VUCA供应链战略与风险管理</w:t>
      </w:r>
    </w:p>
    <w:p>
      <w:pPr>
        <w:adjustRightInd w:val="0"/>
        <w:snapToGrid w:val="0"/>
        <w:spacing w:line="276" w:lineRule="auto"/>
        <w:rPr>
          <w:rFonts w:ascii="微软雅黑" w:hAnsi="微软雅黑" w:eastAsia="微软雅黑"/>
          <w:color w:val="000000"/>
          <w:szCs w:val="21"/>
        </w:rPr>
      </w:pPr>
      <w:r>
        <w:rPr>
          <w:rFonts w:hint="eastAsia" w:ascii="微软雅黑" w:hAnsi="微软雅黑" w:eastAsia="微软雅黑"/>
          <w:b/>
          <w:szCs w:val="21"/>
        </w:rPr>
        <w:t>【开课时间】</w:t>
      </w:r>
      <w:r>
        <w:rPr>
          <w:rFonts w:hint="eastAsia" w:ascii="微软雅黑" w:hAnsi="微软雅黑" w:eastAsia="微软雅黑"/>
          <w:bCs/>
          <w:szCs w:val="21"/>
          <w:u w:val="single"/>
        </w:rPr>
        <w:t xml:space="preserve">2020年8月27-28日 上海     12月17-18日 上海 </w:t>
      </w:r>
      <w:r>
        <w:rPr>
          <w:rFonts w:ascii="微软雅黑" w:hAnsi="微软雅黑" w:eastAsia="微软雅黑"/>
          <w:bCs/>
          <w:szCs w:val="21"/>
          <w:u w:val="single"/>
        </w:rPr>
        <w:t xml:space="preserve"> </w:t>
      </w:r>
      <w:r>
        <w:rPr>
          <w:rFonts w:ascii="微软雅黑" w:hAnsi="微软雅黑" w:eastAsia="微软雅黑"/>
          <w:bCs/>
          <w:szCs w:val="21"/>
        </w:rPr>
        <w:t xml:space="preserve"> </w:t>
      </w:r>
    </w:p>
    <w:p>
      <w:pPr>
        <w:adjustRightInd w:val="0"/>
        <w:snapToGrid w:val="0"/>
        <w:spacing w:line="276" w:lineRule="auto"/>
        <w:ind w:left="1260" w:hanging="1260" w:hangingChars="600"/>
        <w:rPr>
          <w:rFonts w:ascii="微软雅黑" w:hAnsi="微软雅黑" w:eastAsia="微软雅黑"/>
          <w:bCs/>
          <w:szCs w:val="21"/>
        </w:rPr>
      </w:pPr>
      <w:r>
        <w:rPr>
          <w:rFonts w:hint="eastAsia" w:ascii="微软雅黑" w:hAnsi="微软雅黑" w:eastAsia="微软雅黑"/>
          <w:b/>
        </w:rPr>
        <w:t>【参加对象】</w:t>
      </w:r>
      <w:r>
        <w:rPr>
          <w:rFonts w:hint="eastAsia" w:ascii="微软雅黑" w:hAnsi="微软雅黑" w:eastAsia="微软雅黑"/>
          <w:bCs/>
          <w:u w:val="single"/>
        </w:rPr>
        <w:t>企业家，采购供应链管理人员，国际采购从业人员，物流总监、经理等相关人员</w:t>
      </w:r>
    </w:p>
    <w:p>
      <w:pPr>
        <w:adjustRightInd w:val="0"/>
        <w:snapToGrid w:val="0"/>
        <w:spacing w:line="276" w:lineRule="auto"/>
        <w:rPr>
          <w:rFonts w:ascii="微软雅黑" w:hAnsi="微软雅黑" w:eastAsia="微软雅黑"/>
          <w:szCs w:val="21"/>
          <w:u w:val="single"/>
        </w:rPr>
      </w:pPr>
      <w:r>
        <w:rPr>
          <w:rFonts w:hint="eastAsia" w:ascii="微软雅黑" w:hAnsi="微软雅黑" w:eastAsia="微软雅黑"/>
          <w:b/>
          <w:szCs w:val="21"/>
        </w:rPr>
        <w:t>【课程费用】</w:t>
      </w:r>
      <w:r>
        <w:rPr>
          <w:rFonts w:hint="eastAsia" w:ascii="微软雅黑" w:hAnsi="微软雅黑" w:eastAsia="微软雅黑"/>
          <w:szCs w:val="21"/>
          <w:u w:val="single"/>
        </w:rPr>
        <w:t>¥</w:t>
      </w:r>
      <w:r>
        <w:rPr>
          <w:rFonts w:ascii="微软雅黑" w:hAnsi="微软雅黑" w:eastAsia="微软雅黑"/>
          <w:szCs w:val="21"/>
          <w:u w:val="single"/>
        </w:rPr>
        <w:t>4,500</w:t>
      </w:r>
      <w:r>
        <w:rPr>
          <w:rFonts w:hint="eastAsia" w:ascii="微软雅黑" w:hAnsi="微软雅黑" w:eastAsia="微软雅黑"/>
          <w:szCs w:val="21"/>
          <w:u w:val="single"/>
        </w:rPr>
        <w:t>元/人（包含：培训费、培训教材、增值税发票、证书、午餐及茶歇）</w:t>
      </w:r>
    </w:p>
    <w:p>
      <w:pPr>
        <w:adjustRightInd w:val="0"/>
        <w:snapToGrid w:val="0"/>
        <w:spacing w:line="276" w:lineRule="auto"/>
        <w:rPr>
          <w:rFonts w:ascii="微软雅黑" w:hAnsi="微软雅黑" w:eastAsia="微软雅黑"/>
          <w:color w:val="000000" w:themeColor="text1"/>
          <w:sz w:val="20"/>
          <w:szCs w:val="20"/>
          <w14:textFill>
            <w14:solidFill>
              <w14:schemeClr w14:val="tx1"/>
            </w14:solidFill>
          </w14:textFill>
        </w:rPr>
      </w:pPr>
      <w:r>
        <w:rPr>
          <w:rFonts w:hint="eastAsia" w:ascii="微软雅黑" w:hAnsi="微软雅黑" w:eastAsia="微软雅黑"/>
          <w:b/>
          <w:szCs w:val="21"/>
        </w:rPr>
        <w:t>【特别收益】</w:t>
      </w:r>
      <w:r>
        <w:rPr>
          <w:rFonts w:hint="eastAsia" w:ascii="微软雅黑" w:hAnsi="微软雅黑" w:eastAsia="微软雅黑"/>
          <w:sz w:val="20"/>
          <w:szCs w:val="20"/>
        </w:rPr>
        <w:t>拥有</w:t>
      </w:r>
      <w:r>
        <w:rPr>
          <w:rFonts w:hint="eastAsia" w:ascii="微软雅黑" w:hAnsi="微软雅黑" w:eastAsia="微软雅黑"/>
          <w:color w:val="000000" w:themeColor="text1"/>
          <w:sz w:val="20"/>
          <w:szCs w:val="20"/>
          <w:lang w:val="en-US" w:eastAsia="zh-CN"/>
          <w14:textFill>
            <w14:solidFill>
              <w14:schemeClr w14:val="tx1"/>
            </w14:solidFill>
          </w14:textFill>
        </w:rPr>
        <w:t>CPSM</w:t>
      </w:r>
      <w:r>
        <w:rPr>
          <w:rFonts w:hint="eastAsia" w:ascii="微软雅黑" w:hAnsi="微软雅黑" w:eastAsia="微软雅黑"/>
          <w:color w:val="000000" w:themeColor="text1"/>
          <w:sz w:val="20"/>
          <w:szCs w:val="20"/>
          <w14:textFill>
            <w14:solidFill>
              <w14:schemeClr w14:val="tx1"/>
            </w14:solidFill>
          </w14:textFill>
        </w:rPr>
        <w:t>证书人士参加培训可以获得（</w:t>
      </w:r>
      <w:r>
        <w:rPr>
          <w:rFonts w:hint="eastAsia" w:ascii="微软雅黑" w:hAnsi="微软雅黑" w:eastAsia="微软雅黑"/>
          <w:i/>
          <w:color w:val="000000" w:themeColor="text1"/>
          <w:sz w:val="20"/>
          <w:szCs w:val="20"/>
          <w:u w:val="single"/>
          <w14:textFill>
            <w14:solidFill>
              <w14:schemeClr w14:val="tx1"/>
            </w14:solidFill>
          </w14:textFill>
        </w:rPr>
        <w:t>7个/天</w:t>
      </w:r>
      <w:r>
        <w:rPr>
          <w:rFonts w:hint="eastAsia" w:ascii="微软雅黑" w:hAnsi="微软雅黑" w:eastAsia="微软雅黑"/>
          <w:color w:val="000000" w:themeColor="text1"/>
          <w:sz w:val="20"/>
          <w:szCs w:val="20"/>
          <w14:textFill>
            <w14:solidFill>
              <w14:schemeClr w14:val="tx1"/>
            </w14:solidFill>
          </w14:textFill>
        </w:rPr>
        <w:t>）CPSM继续教育学时</w:t>
      </w:r>
    </w:p>
    <w:p>
      <w:pPr>
        <w:adjustRightInd w:val="0"/>
        <w:snapToGrid w:val="0"/>
        <w:spacing w:line="276" w:lineRule="auto"/>
        <w:rPr>
          <w:sz w:val="20"/>
          <w:szCs w:val="20"/>
        </w:rPr>
      </w:pPr>
      <w:r>
        <w:rPr>
          <w:rFonts w:hint="eastAsia" w:ascii="微软雅黑" w:hAnsi="微软雅黑" w:eastAsia="微软雅黑"/>
          <w:b/>
          <w:szCs w:val="21"/>
        </w:rPr>
        <w:t>【企业内训】</w:t>
      </w:r>
      <w:r>
        <w:rPr>
          <w:rFonts w:hint="eastAsia" w:ascii="微软雅黑" w:hAnsi="微软雅黑" w:eastAsia="微软雅黑"/>
          <w:sz w:val="20"/>
          <w:szCs w:val="20"/>
        </w:rPr>
        <w:t>此课程可以邀请我们的培训师到企业开展内训服务，欢迎来电咨询</w:t>
      </w:r>
    </w:p>
    <w:p>
      <w:pPr>
        <w:adjustRightInd w:val="0"/>
        <w:snapToGrid w:val="0"/>
        <w:spacing w:line="276" w:lineRule="auto"/>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【主办单位】</w:t>
      </w:r>
      <w:r>
        <w:rPr>
          <w:rFonts w:hint="eastAsia" w:ascii="微软雅黑" w:hAnsi="微软雅黑" w:eastAsia="微软雅黑"/>
          <w:color w:val="000000" w:themeColor="text1"/>
          <w:szCs w:val="21"/>
          <w14:textFill>
            <w14:solidFill>
              <w14:schemeClr w14:val="tx1"/>
            </w14:solidFill>
          </w14:textFill>
        </w:rPr>
        <w:t xml:space="preserve">上海帕迪企业管理咨询有限公司 </w:t>
      </w:r>
      <w:r>
        <w:rPr>
          <w:rFonts w:hint="eastAsia" w:ascii="Arial Unicode MS" w:hAnsi="Arial Unicode MS" w:eastAsia="Arial Unicode MS" w:cs="Arial Unicode MS"/>
          <w:szCs w:val="21"/>
        </w:rPr>
        <w:t>www.021px.com</w:t>
      </w:r>
      <w:r>
        <w:rPr>
          <w:rFonts w:hint="eastAsia" w:ascii="Arial Unicode MS" w:hAnsi="Arial Unicode MS" w:eastAsia="Arial Unicode MS" w:cs="Arial Unicode MS"/>
          <w:color w:val="000000" w:themeColor="text1"/>
          <w:szCs w:val="21"/>
          <w14:textFill>
            <w14:solidFill>
              <w14:schemeClr w14:val="tx1"/>
            </w14:solidFill>
          </w14:textFill>
        </w:rPr>
        <w:t xml:space="preserve"> </w:t>
      </w:r>
      <w:r>
        <w:rPr>
          <w:rFonts w:ascii="Arial Unicode MS" w:hAnsi="Arial Unicode MS" w:eastAsia="Arial Unicode MS" w:cs="Arial Unicode MS"/>
          <w:color w:val="000000" w:themeColor="text1"/>
          <w:szCs w:val="21"/>
          <w14:textFill>
            <w14:solidFill>
              <w14:schemeClr w14:val="tx1"/>
            </w14:solidFill>
          </w14:textFill>
        </w:rPr>
        <w:t xml:space="preserve">  </w:t>
      </w:r>
      <w:r>
        <w:rPr>
          <w:rFonts w:hint="eastAsia" w:ascii="Arial Unicode MS" w:hAnsi="Arial Unicode MS" w:eastAsia="Arial Unicode MS" w:cs="Arial Unicode MS"/>
          <w:szCs w:val="21"/>
        </w:rPr>
        <w:t>www.sino-pardi.com</w:t>
      </w:r>
    </w:p>
    <w:p>
      <w:pPr>
        <w:adjustRightInd w:val="0"/>
        <w:snapToGrid w:val="0"/>
        <w:spacing w:line="276" w:lineRule="auto"/>
        <w:rPr>
          <w:rFonts w:ascii="微软雅黑" w:hAnsi="微软雅黑" w:eastAsia="微软雅黑"/>
          <w:szCs w:val="21"/>
        </w:rPr>
      </w:pPr>
      <w:r>
        <w:rPr>
          <w:rFonts w:hint="eastAsia" w:ascii="微软雅黑" w:hAnsi="微软雅黑" w:eastAsia="微软雅黑"/>
          <w:b/>
          <w:color w:val="000000" w:themeColor="text1"/>
          <w14:textFill>
            <w14:solidFill>
              <w14:schemeClr w14:val="tx1"/>
            </w14:solidFill>
          </w14:textFill>
        </w:rPr>
        <w:t>【报名热线】</w:t>
      </w:r>
      <w:r>
        <w:rPr>
          <w:rFonts w:ascii="微软雅黑" w:hAnsi="微软雅黑" w:eastAsia="微软雅黑"/>
        </w:rPr>
        <w:t>021</w:t>
      </w:r>
      <w:r>
        <w:rPr>
          <w:rFonts w:hint="eastAsia" w:ascii="微软雅黑" w:hAnsi="微软雅黑" w:eastAsia="微软雅黑"/>
        </w:rPr>
        <w:t>-</w:t>
      </w:r>
      <w:r>
        <w:rPr>
          <w:rFonts w:ascii="微软雅黑" w:hAnsi="微软雅黑" w:eastAsia="微软雅黑"/>
        </w:rPr>
        <w:t>51036580</w:t>
      </w:r>
      <w:r>
        <w:rPr>
          <w:rFonts w:hint="eastAsia" w:ascii="微软雅黑" w:hAnsi="微软雅黑" w:eastAsia="微软雅黑"/>
        </w:rPr>
        <w:t xml:space="preserve">，18917655637（微信）， </w:t>
      </w:r>
      <w:r>
        <w:rPr>
          <w:rFonts w:ascii="微软雅黑" w:hAnsi="微软雅黑" w:eastAsia="微软雅黑"/>
        </w:rPr>
        <w:t>training@021px.com</w:t>
      </w:r>
    </w:p>
    <w:p>
      <w:r>
        <w:rPr>
          <w:rFonts w:hint="eastAsia"/>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60960</wp:posOffset>
                </wp:positionV>
                <wp:extent cx="5715000" cy="0"/>
                <wp:effectExtent l="0" t="0" r="19050" b="19050"/>
                <wp:wrapNone/>
                <wp:docPr id="17" name="直接连接符 17"/>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8pt;margin-top:4.8pt;height:0pt;width:450pt;z-index:251661312;mso-width-relative:page;mso-height-relative:page;" filled="f" stroked="t" coordsize="21600,21600" o:gfxdata="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uvRvrRAAAABQEAAA8AAAAAAAAAAQAgAAAAIgAAAGRycy9kb3ducmV2LnhtbFBLAQIUABQA&#10;AAAIAIdO4kBFSLhkvgEAAE4DAAAOAAAAAAAAAAEAIAAAACABAABkcnMvZTJvRG9jLnhtbFBLBQYA&#10;AAAABgAGAFkBAABQBQAAAAA=&#10;">
                <v:fill on="f" focussize="0,0"/>
                <v:stroke color="#000000 [3213]" joinstyle="round"/>
                <v:imagedata o:title=""/>
                <o:lock v:ext="edit" aspectratio="f"/>
              </v:line>
            </w:pict>
          </mc:Fallback>
        </mc:AlternateContent>
      </w:r>
      <w:r>
        <w:rPr>
          <w:rFonts w:hint="eastAsia"/>
        </w:rPr>
        <w:t xml:space="preserve"> </w:t>
      </w:r>
    </w:p>
    <w:p>
      <w:pPr>
        <w:adjustRightInd w:val="0"/>
        <w:snapToGrid w:val="0"/>
        <w:spacing w:line="276" w:lineRule="auto"/>
        <w:ind w:firstLine="280" w:firstLineChars="100"/>
        <w:rPr>
          <w:color w:val="FF0000"/>
          <w:sz w:val="28"/>
        </w:rPr>
        <w:sectPr>
          <w:headerReference r:id="rId3" w:type="default"/>
          <w:footerReference r:id="rId4" w:type="default"/>
          <w:type w:val="continuous"/>
          <w:pgSz w:w="11906" w:h="16838"/>
          <w:pgMar w:top="1134" w:right="1134" w:bottom="851" w:left="993" w:header="851" w:footer="227" w:gutter="0"/>
          <w:pgNumType w:fmt="numberInDash"/>
          <w:cols w:space="720" w:num="1"/>
          <w:docGrid w:type="linesAndChars" w:linePitch="312" w:charSpace="0"/>
        </w:sectPr>
      </w:pPr>
    </w:p>
    <w:p>
      <w:pPr>
        <w:adjustRightInd w:val="0"/>
        <w:snapToGrid w:val="0"/>
        <w:spacing w:line="276" w:lineRule="auto"/>
        <w:rPr>
          <w:rFonts w:ascii="微软雅黑" w:hAnsi="微软雅黑" w:eastAsia="微软雅黑"/>
          <w:b/>
          <w:color w:val="FF0000"/>
          <w:szCs w:val="21"/>
        </w:rPr>
      </w:pPr>
      <w:r>
        <w:rPr>
          <w:rFonts w:hint="eastAsia" w:ascii="微软雅黑" w:hAnsi="微软雅黑" w:eastAsia="微软雅黑"/>
          <w:b/>
          <w:color w:val="FF0000"/>
          <w:szCs w:val="21"/>
        </w:rPr>
        <w:t>培训背景：</w:t>
      </w:r>
    </w:p>
    <w:p>
      <w:pPr>
        <w:widowControl/>
        <w:adjustRightInd w:val="0"/>
        <w:snapToGrid w:val="0"/>
        <w:spacing w:line="276" w:lineRule="auto"/>
        <w:ind w:right="210" w:rightChars="100" w:firstLine="420" w:firstLineChars="200"/>
        <w:rPr>
          <w:rFonts w:ascii="微软雅黑" w:hAnsi="微软雅黑" w:eastAsia="微软雅黑" w:cs="微软雅黑"/>
          <w:color w:val="262626"/>
          <w:szCs w:val="21"/>
        </w:rPr>
      </w:pPr>
      <w:r>
        <w:rPr>
          <w:rFonts w:hint="eastAsia" w:ascii="微软雅黑" w:hAnsi="微软雅黑" w:eastAsia="微软雅黑" w:cs="微软雅黑"/>
          <w:color w:val="262626"/>
          <w:szCs w:val="21"/>
        </w:rPr>
        <w:t>伴随着供应全球化和经济下滑，商业环境变得越来越具有波动性，不可预测化。另一方面，和时效化都对企业的生存和发展带来更多挑战和冲击。同时，伴随着企业间的外购与外包，并购与收购等重组行为，彼此间的依赖度也达到了一个新的高度，现代竞争不再是企业与企业，而是供应链与供应链间的抗衡！传统的压榨式管理战略也许短期见效，但中长期必然会给企业的整体经营带来更多的风险。构建更稳定、更弹性、更快速的可持续性供应链是提升企业竞争优势和组织长治久安的保障。</w:t>
      </w:r>
    </w:p>
    <w:p>
      <w:pPr>
        <w:adjustRightInd w:val="0"/>
        <w:snapToGrid w:val="0"/>
        <w:spacing w:line="276" w:lineRule="auto"/>
        <w:rPr>
          <w:rFonts w:ascii="微软雅黑" w:hAnsi="微软雅黑" w:eastAsia="微软雅黑"/>
          <w:szCs w:val="21"/>
        </w:rPr>
      </w:pPr>
    </w:p>
    <w:p>
      <w:pPr>
        <w:adjustRightInd w:val="0"/>
        <w:snapToGrid w:val="0"/>
        <w:spacing w:line="276" w:lineRule="auto"/>
        <w:rPr>
          <w:rFonts w:ascii="微软雅黑" w:hAnsi="微软雅黑" w:eastAsia="微软雅黑"/>
          <w:szCs w:val="21"/>
        </w:rPr>
      </w:pPr>
      <w:r>
        <w:rPr>
          <w:rFonts w:hint="eastAsia" w:ascii="微软雅黑" w:hAnsi="微软雅黑" w:eastAsia="微软雅黑"/>
          <w:b/>
          <w:color w:val="FF0000"/>
          <w:szCs w:val="21"/>
        </w:rPr>
        <w:t>学习收益：</w:t>
      </w:r>
    </w:p>
    <w:p>
      <w:pPr>
        <w:adjustRightInd w:val="0"/>
        <w:snapToGrid w:val="0"/>
        <w:spacing w:line="276" w:lineRule="auto"/>
        <w:rPr>
          <w:rFonts w:ascii="微软雅黑" w:hAnsi="微软雅黑" w:eastAsia="微软雅黑"/>
          <w:szCs w:val="21"/>
        </w:rPr>
      </w:pPr>
      <w:r>
        <w:rPr>
          <w:rFonts w:hint="eastAsia" w:ascii="微软雅黑" w:hAnsi="微软雅黑" w:eastAsia="微软雅黑"/>
          <w:szCs w:val="21"/>
        </w:rPr>
        <w:t>此次为期 2 天的课程，旨在帮助参与者：</w:t>
      </w:r>
    </w:p>
    <w:p>
      <w:pPr>
        <w:numPr>
          <w:ilvl w:val="0"/>
          <w:numId w:val="1"/>
        </w:numPr>
        <w:adjustRightInd w:val="0"/>
        <w:snapToGrid w:val="0"/>
        <w:spacing w:line="276" w:lineRule="auto"/>
        <w:rPr>
          <w:rFonts w:ascii="微软雅黑" w:hAnsi="微软雅黑" w:eastAsia="微软雅黑"/>
          <w:szCs w:val="21"/>
        </w:rPr>
      </w:pPr>
      <w:r>
        <w:rPr>
          <w:rFonts w:hint="eastAsia" w:ascii="微软雅黑" w:hAnsi="微软雅黑" w:eastAsia="微软雅黑"/>
          <w:szCs w:val="21"/>
        </w:rPr>
        <w:t>了解VUCA时代企业供应链管理面临的挑战与应对</w:t>
      </w:r>
    </w:p>
    <w:p>
      <w:pPr>
        <w:numPr>
          <w:ilvl w:val="0"/>
          <w:numId w:val="1"/>
        </w:numPr>
        <w:adjustRightInd w:val="0"/>
        <w:snapToGrid w:val="0"/>
        <w:spacing w:line="276" w:lineRule="auto"/>
        <w:rPr>
          <w:rFonts w:ascii="微软雅黑" w:hAnsi="微软雅黑" w:eastAsia="微软雅黑"/>
          <w:szCs w:val="21"/>
        </w:rPr>
      </w:pPr>
      <w:r>
        <w:rPr>
          <w:rFonts w:hint="eastAsia" w:ascii="微软雅黑" w:hAnsi="微软雅黑" w:eastAsia="微软雅黑"/>
          <w:szCs w:val="21"/>
        </w:rPr>
        <w:t>了解企业应当如何制定合适的采购供应战略</w:t>
      </w:r>
    </w:p>
    <w:p>
      <w:pPr>
        <w:numPr>
          <w:ilvl w:val="0"/>
          <w:numId w:val="1"/>
        </w:numPr>
        <w:adjustRightInd w:val="0"/>
        <w:snapToGrid w:val="0"/>
        <w:spacing w:line="276" w:lineRule="auto"/>
        <w:rPr>
          <w:rFonts w:ascii="微软雅黑" w:hAnsi="微软雅黑" w:eastAsia="微软雅黑"/>
          <w:szCs w:val="21"/>
        </w:rPr>
      </w:pPr>
      <w:r>
        <w:rPr>
          <w:rFonts w:hint="eastAsia" w:ascii="微软雅黑" w:hAnsi="微软雅黑" w:eastAsia="微软雅黑"/>
          <w:szCs w:val="21"/>
        </w:rPr>
        <w:t>掌握风险识别方法和管理流程、模型和工具</w:t>
      </w:r>
    </w:p>
    <w:p>
      <w:pPr>
        <w:numPr>
          <w:ilvl w:val="0"/>
          <w:numId w:val="1"/>
        </w:numPr>
        <w:adjustRightInd w:val="0"/>
        <w:snapToGrid w:val="0"/>
        <w:spacing w:line="276" w:lineRule="auto"/>
        <w:rPr>
          <w:rFonts w:ascii="微软雅黑" w:hAnsi="微软雅黑" w:eastAsia="微软雅黑"/>
          <w:szCs w:val="21"/>
        </w:rPr>
      </w:pPr>
      <w:r>
        <w:rPr>
          <w:rFonts w:hint="eastAsia" w:ascii="微软雅黑" w:hAnsi="微软雅黑" w:eastAsia="微软雅黑"/>
          <w:szCs w:val="21"/>
        </w:rPr>
        <w:t>了解风险管理相关的ISO体系</w:t>
      </w:r>
    </w:p>
    <w:p>
      <w:pPr>
        <w:numPr>
          <w:ilvl w:val="0"/>
          <w:numId w:val="1"/>
        </w:numPr>
        <w:adjustRightInd w:val="0"/>
        <w:snapToGrid w:val="0"/>
        <w:spacing w:line="276" w:lineRule="auto"/>
        <w:rPr>
          <w:rFonts w:ascii="微软雅黑" w:hAnsi="微软雅黑" w:eastAsia="微软雅黑"/>
          <w:szCs w:val="21"/>
        </w:rPr>
      </w:pPr>
      <w:r>
        <w:rPr>
          <w:rFonts w:hint="eastAsia" w:ascii="微软雅黑" w:hAnsi="微软雅黑" w:eastAsia="微软雅黑"/>
          <w:szCs w:val="21"/>
        </w:rPr>
        <w:t>了解供应风险和供应商风险来源及应对</w:t>
      </w:r>
    </w:p>
    <w:p>
      <w:pPr>
        <w:numPr>
          <w:ilvl w:val="0"/>
          <w:numId w:val="1"/>
        </w:numPr>
        <w:adjustRightInd w:val="0"/>
        <w:snapToGrid w:val="0"/>
        <w:spacing w:line="276" w:lineRule="auto"/>
        <w:rPr>
          <w:rFonts w:ascii="微软雅黑" w:hAnsi="微软雅黑" w:eastAsia="微软雅黑"/>
          <w:szCs w:val="21"/>
        </w:rPr>
      </w:pPr>
      <w:r>
        <w:rPr>
          <w:rFonts w:hint="eastAsia" w:ascii="微软雅黑" w:hAnsi="微软雅黑" w:eastAsia="微软雅黑"/>
          <w:szCs w:val="21"/>
        </w:rPr>
        <w:t>供应商现金流危机，要不要救，怎么救</w:t>
      </w:r>
    </w:p>
    <w:p>
      <w:pPr>
        <w:numPr>
          <w:ilvl w:val="0"/>
          <w:numId w:val="1"/>
        </w:numPr>
        <w:adjustRightInd w:val="0"/>
        <w:snapToGrid w:val="0"/>
        <w:spacing w:line="276" w:lineRule="auto"/>
        <w:rPr>
          <w:rFonts w:ascii="微软雅黑" w:hAnsi="微软雅黑" w:eastAsia="微软雅黑"/>
          <w:szCs w:val="21"/>
        </w:rPr>
      </w:pPr>
      <w:r>
        <w:rPr>
          <w:rFonts w:hint="eastAsia" w:ascii="微软雅黑" w:hAnsi="微软雅黑" w:eastAsia="微软雅黑"/>
          <w:szCs w:val="21"/>
        </w:rPr>
        <w:t>了解全球供应下特有的风险及应对</w:t>
      </w:r>
    </w:p>
    <w:p>
      <w:pPr>
        <w:numPr>
          <w:ilvl w:val="0"/>
          <w:numId w:val="1"/>
        </w:numPr>
        <w:adjustRightInd w:val="0"/>
        <w:snapToGrid w:val="0"/>
        <w:spacing w:line="276" w:lineRule="auto"/>
        <w:rPr>
          <w:rFonts w:ascii="微软雅黑" w:hAnsi="微软雅黑" w:eastAsia="微软雅黑"/>
          <w:szCs w:val="21"/>
        </w:rPr>
      </w:pPr>
      <w:r>
        <w:rPr>
          <w:rFonts w:hint="eastAsia" w:ascii="微软雅黑" w:hAnsi="微软雅黑" w:eastAsia="微软雅黑"/>
          <w:szCs w:val="21"/>
        </w:rPr>
        <w:t>掌握职能外包的决策流程，要点和风险</w:t>
      </w:r>
    </w:p>
    <w:p>
      <w:pPr>
        <w:widowControl/>
        <w:adjustRightInd w:val="0"/>
        <w:snapToGrid w:val="0"/>
        <w:spacing w:line="276" w:lineRule="auto"/>
        <w:rPr>
          <w:rFonts w:ascii="微软雅黑" w:hAnsi="微软雅黑" w:eastAsia="微软雅黑"/>
          <w:b/>
          <w:color w:val="00B0F0"/>
          <w:szCs w:val="21"/>
        </w:rPr>
        <w:sectPr>
          <w:type w:val="continuous"/>
          <w:pgSz w:w="11906" w:h="16838"/>
          <w:pgMar w:top="1134" w:right="1286" w:bottom="851" w:left="1134" w:header="851" w:footer="229" w:gutter="0"/>
          <w:pgNumType w:fmt="numberInDash"/>
          <w:cols w:space="425" w:num="1" w:sep="1"/>
          <w:docGrid w:type="linesAndChars" w:linePitch="312" w:charSpace="0"/>
        </w:sectPr>
      </w:pPr>
    </w:p>
    <w:p>
      <w:pPr>
        <w:adjustRightInd w:val="0"/>
        <w:snapToGrid w:val="0"/>
        <w:spacing w:line="276" w:lineRule="auto"/>
        <w:rPr>
          <w:rFonts w:ascii="微软雅黑" w:hAnsi="微软雅黑" w:eastAsia="微软雅黑"/>
          <w:b/>
          <w:color w:val="FF0000"/>
          <w:szCs w:val="21"/>
        </w:rPr>
      </w:pPr>
    </w:p>
    <w:p>
      <w:pPr>
        <w:adjustRightInd w:val="0"/>
        <w:snapToGrid w:val="0"/>
        <w:spacing w:line="276" w:lineRule="auto"/>
        <w:rPr>
          <w:rFonts w:ascii="微软雅黑" w:hAnsi="微软雅黑" w:eastAsia="微软雅黑"/>
          <w:b/>
          <w:color w:val="FF0000"/>
          <w:szCs w:val="21"/>
        </w:rPr>
        <w:sectPr>
          <w:type w:val="continuous"/>
          <w:pgSz w:w="11906" w:h="16838"/>
          <w:pgMar w:top="1134" w:right="1286" w:bottom="851" w:left="1134" w:header="851" w:footer="229" w:gutter="0"/>
          <w:pgNumType w:fmt="numberInDash"/>
          <w:cols w:space="425" w:num="1" w:sep="1"/>
          <w:docGrid w:type="linesAndChars" w:linePitch="312" w:charSpace="0"/>
        </w:sectPr>
      </w:pPr>
      <w:r>
        <w:rPr>
          <w:rFonts w:hint="eastAsia" w:ascii="微软雅黑" w:hAnsi="微软雅黑" w:eastAsia="微软雅黑"/>
          <w:b/>
          <w:color w:val="FF0000"/>
          <w:szCs w:val="21"/>
        </w:rPr>
        <w:t>培训大纲：</w:t>
      </w:r>
    </w:p>
    <w:p>
      <w:pPr>
        <w:adjustRightInd w:val="0"/>
        <w:snapToGrid w:val="0"/>
        <w:spacing w:line="276" w:lineRule="auto"/>
        <w:rPr>
          <w:rFonts w:ascii="微软雅黑" w:hAnsi="微软雅黑" w:eastAsia="微软雅黑" w:cs="微软雅黑"/>
          <w:b/>
          <w:szCs w:val="21"/>
        </w:rPr>
      </w:pPr>
      <w:r>
        <w:rPr>
          <w:rFonts w:hint="eastAsia" w:ascii="微软雅黑" w:hAnsi="微软雅黑" w:eastAsia="微软雅黑" w:cs="微软雅黑"/>
          <w:b/>
          <w:szCs w:val="21"/>
        </w:rPr>
        <w:t>第一章 VUCA时代下的供应链管理</w:t>
      </w:r>
    </w:p>
    <w:p>
      <w:pPr>
        <w:pStyle w:val="23"/>
        <w:numPr>
          <w:ilvl w:val="0"/>
          <w:numId w:val="2"/>
        </w:numPr>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供应链管理的前世今生</w:t>
      </w:r>
    </w:p>
    <w:p>
      <w:pPr>
        <w:pStyle w:val="23"/>
        <w:numPr>
          <w:ilvl w:val="0"/>
          <w:numId w:val="2"/>
        </w:numPr>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供应链职能的核心价值是什么？</w:t>
      </w:r>
    </w:p>
    <w:p>
      <w:pPr>
        <w:pStyle w:val="23"/>
        <w:numPr>
          <w:ilvl w:val="0"/>
          <w:numId w:val="2"/>
        </w:numPr>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供应链管理对企业利润的影响</w:t>
      </w:r>
    </w:p>
    <w:p>
      <w:pPr>
        <w:pStyle w:val="23"/>
        <w:numPr>
          <w:ilvl w:val="0"/>
          <w:numId w:val="2"/>
        </w:numPr>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SCOR模型对于企业供应链管理的指导意义</w:t>
      </w:r>
    </w:p>
    <w:p>
      <w:pPr>
        <w:pStyle w:val="23"/>
        <w:numPr>
          <w:ilvl w:val="0"/>
          <w:numId w:val="2"/>
        </w:numPr>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供应链管理职能的沿革和常见组织结构</w:t>
      </w:r>
    </w:p>
    <w:p>
      <w:pPr>
        <w:pStyle w:val="23"/>
        <w:numPr>
          <w:ilvl w:val="0"/>
          <w:numId w:val="2"/>
        </w:numPr>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供应链的内部利益相关者管理</w:t>
      </w:r>
    </w:p>
    <w:p>
      <w:pPr>
        <w:pStyle w:val="23"/>
        <w:numPr>
          <w:ilvl w:val="0"/>
          <w:numId w:val="2"/>
        </w:numPr>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VUCA时代下的供应链管理挑战</w:t>
      </w:r>
    </w:p>
    <w:p>
      <w:pPr>
        <w:pStyle w:val="23"/>
        <w:numPr>
          <w:ilvl w:val="0"/>
          <w:numId w:val="3"/>
        </w:numPr>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VUCA时代的定义与特征</w:t>
      </w:r>
    </w:p>
    <w:p>
      <w:pPr>
        <w:pStyle w:val="23"/>
        <w:numPr>
          <w:ilvl w:val="0"/>
          <w:numId w:val="3"/>
        </w:numPr>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全球供应下的供应链挑战</w:t>
      </w:r>
    </w:p>
    <w:p>
      <w:pPr>
        <w:pStyle w:val="23"/>
        <w:numPr>
          <w:ilvl w:val="0"/>
          <w:numId w:val="3"/>
        </w:numPr>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VUCA时代下企业供应链管理的应对之策</w:t>
      </w:r>
    </w:p>
    <w:p>
      <w:pPr>
        <w:pStyle w:val="23"/>
        <w:numPr>
          <w:ilvl w:val="0"/>
          <w:numId w:val="3"/>
        </w:numPr>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供应链管理的KPI体系</w:t>
      </w:r>
    </w:p>
    <w:p>
      <w:pPr>
        <w:pStyle w:val="23"/>
        <w:numPr>
          <w:ilvl w:val="0"/>
          <w:numId w:val="2"/>
        </w:numPr>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与企业竞争优势和SCM位置相匹配的供应链运营战略</w:t>
      </w:r>
    </w:p>
    <w:p>
      <w:pPr>
        <w:pStyle w:val="23"/>
        <w:numPr>
          <w:ilvl w:val="0"/>
          <w:numId w:val="4"/>
        </w:numPr>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推，拉策略</w:t>
      </w:r>
    </w:p>
    <w:p>
      <w:pPr>
        <w:pStyle w:val="23"/>
        <w:numPr>
          <w:ilvl w:val="0"/>
          <w:numId w:val="4"/>
        </w:numPr>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敏捷，精益，还是精敏</w:t>
      </w:r>
    </w:p>
    <w:p>
      <w:pPr>
        <w:pStyle w:val="23"/>
        <w:numPr>
          <w:ilvl w:val="0"/>
          <w:numId w:val="4"/>
        </w:numPr>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延迟策略及实际应用</w:t>
      </w:r>
    </w:p>
    <w:p>
      <w:pPr>
        <w:pStyle w:val="23"/>
        <w:numPr>
          <w:ilvl w:val="0"/>
          <w:numId w:val="4"/>
        </w:numPr>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MTO/S/A/D模式</w:t>
      </w:r>
    </w:p>
    <w:p>
      <w:pPr>
        <w:adjustRightInd w:val="0"/>
        <w:snapToGrid w:val="0"/>
        <w:spacing w:line="276" w:lineRule="auto"/>
        <w:rPr>
          <w:rFonts w:ascii="微软雅黑" w:hAnsi="微软雅黑" w:eastAsia="微软雅黑" w:cs="微软雅黑"/>
          <w:b/>
          <w:szCs w:val="21"/>
        </w:rPr>
      </w:pPr>
      <w:r>
        <w:rPr>
          <w:rFonts w:hint="eastAsia" w:ascii="微软雅黑" w:hAnsi="微软雅黑" w:eastAsia="微软雅黑" w:cs="微软雅黑"/>
          <w:b/>
          <w:szCs w:val="21"/>
        </w:rPr>
        <w:t>第二章 风险及风险管理</w:t>
      </w:r>
    </w:p>
    <w:p>
      <w:pPr>
        <w:pStyle w:val="23"/>
        <w:widowControl/>
        <w:numPr>
          <w:ilvl w:val="0"/>
          <w:numId w:val="5"/>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风险管理的意义和重要性</w:t>
      </w:r>
    </w:p>
    <w:p>
      <w:pPr>
        <w:pStyle w:val="23"/>
        <w:widowControl/>
        <w:numPr>
          <w:ilvl w:val="0"/>
          <w:numId w:val="5"/>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风险识别的八大模型</w:t>
      </w:r>
    </w:p>
    <w:p>
      <w:pPr>
        <w:pStyle w:val="23"/>
        <w:widowControl/>
        <w:numPr>
          <w:ilvl w:val="0"/>
          <w:numId w:val="5"/>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风险来源与分类</w:t>
      </w:r>
    </w:p>
    <w:p>
      <w:pPr>
        <w:pStyle w:val="23"/>
        <w:widowControl/>
        <w:numPr>
          <w:ilvl w:val="0"/>
          <w:numId w:val="5"/>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风险战略管理</w:t>
      </w:r>
    </w:p>
    <w:p>
      <w:pPr>
        <w:pStyle w:val="23"/>
        <w:widowControl/>
        <w:numPr>
          <w:ilvl w:val="0"/>
          <w:numId w:val="6"/>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风险战略管理流程</w:t>
      </w:r>
    </w:p>
    <w:p>
      <w:pPr>
        <w:pStyle w:val="23"/>
        <w:widowControl/>
        <w:numPr>
          <w:ilvl w:val="0"/>
          <w:numId w:val="6"/>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组织的风险偏好</w:t>
      </w:r>
    </w:p>
    <w:p>
      <w:pPr>
        <w:pStyle w:val="23"/>
        <w:widowControl/>
        <w:numPr>
          <w:ilvl w:val="0"/>
          <w:numId w:val="6"/>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风险管理的4T战略</w:t>
      </w:r>
    </w:p>
    <w:p>
      <w:pPr>
        <w:pStyle w:val="23"/>
        <w:widowControl/>
        <w:numPr>
          <w:ilvl w:val="0"/>
          <w:numId w:val="6"/>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风险管理工具</w:t>
      </w:r>
    </w:p>
    <w:p>
      <w:pPr>
        <w:pStyle w:val="23"/>
        <w:widowControl/>
        <w:numPr>
          <w:ilvl w:val="0"/>
          <w:numId w:val="6"/>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风险管理委员会</w:t>
      </w:r>
    </w:p>
    <w:p>
      <w:pPr>
        <w:pStyle w:val="23"/>
        <w:widowControl/>
        <w:numPr>
          <w:ilvl w:val="0"/>
          <w:numId w:val="6"/>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风险恢复计划</w:t>
      </w:r>
    </w:p>
    <w:p>
      <w:pPr>
        <w:pStyle w:val="23"/>
        <w:widowControl/>
        <w:numPr>
          <w:ilvl w:val="0"/>
          <w:numId w:val="5"/>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风险管理相关的ISO体系</w:t>
      </w:r>
    </w:p>
    <w:p>
      <w:pPr>
        <w:adjustRightInd w:val="0"/>
        <w:snapToGrid w:val="0"/>
        <w:spacing w:line="276" w:lineRule="auto"/>
        <w:rPr>
          <w:rFonts w:ascii="微软雅黑" w:hAnsi="微软雅黑" w:eastAsia="微软雅黑" w:cs="微软雅黑"/>
          <w:b/>
          <w:szCs w:val="21"/>
        </w:rPr>
      </w:pPr>
      <w:r>
        <w:rPr>
          <w:rFonts w:hint="eastAsia" w:ascii="微软雅黑" w:hAnsi="微软雅黑" w:eastAsia="微软雅黑" w:cs="微软雅黑"/>
          <w:b/>
          <w:szCs w:val="21"/>
        </w:rPr>
        <w:t>第三章 规划与制定企业的采购供应战略</w:t>
      </w:r>
    </w:p>
    <w:p>
      <w:pPr>
        <w:pStyle w:val="23"/>
        <w:numPr>
          <w:ilvl w:val="0"/>
          <w:numId w:val="7"/>
        </w:numPr>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企业采购供应战略的制定</w:t>
      </w:r>
    </w:p>
    <w:p>
      <w:pPr>
        <w:pStyle w:val="23"/>
        <w:numPr>
          <w:ilvl w:val="0"/>
          <w:numId w:val="7"/>
        </w:numPr>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采购战略的三大要素</w:t>
      </w:r>
    </w:p>
    <w:p>
      <w:pPr>
        <w:pStyle w:val="23"/>
        <w:numPr>
          <w:ilvl w:val="0"/>
          <w:numId w:val="7"/>
        </w:numPr>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采购供应管理的三大模型</w:t>
      </w:r>
    </w:p>
    <w:p>
      <w:pPr>
        <w:pStyle w:val="23"/>
        <w:numPr>
          <w:ilvl w:val="0"/>
          <w:numId w:val="7"/>
        </w:numPr>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物料分类方法</w:t>
      </w:r>
    </w:p>
    <w:p>
      <w:pPr>
        <w:pStyle w:val="23"/>
        <w:numPr>
          <w:ilvl w:val="0"/>
          <w:numId w:val="7"/>
        </w:numPr>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不同物料的供应战略</w:t>
      </w:r>
    </w:p>
    <w:p>
      <w:pPr>
        <w:pStyle w:val="23"/>
        <w:numPr>
          <w:ilvl w:val="0"/>
          <w:numId w:val="7"/>
        </w:numPr>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根据供应战略选择合适的供应商</w:t>
      </w:r>
    </w:p>
    <w:p>
      <w:pPr>
        <w:pStyle w:val="23"/>
        <w:numPr>
          <w:ilvl w:val="0"/>
          <w:numId w:val="7"/>
        </w:numPr>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必须重视的供应商积极性</w:t>
      </w:r>
    </w:p>
    <w:p>
      <w:pPr>
        <w:pStyle w:val="23"/>
        <w:numPr>
          <w:ilvl w:val="0"/>
          <w:numId w:val="7"/>
        </w:numPr>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供应商关系与合同类型的关联</w:t>
      </w:r>
    </w:p>
    <w:p>
      <w:pPr>
        <w:pStyle w:val="23"/>
        <w:numPr>
          <w:ilvl w:val="0"/>
          <w:numId w:val="7"/>
        </w:numPr>
        <w:adjustRightInd w:val="0"/>
        <w:snapToGrid w:val="0"/>
        <w:spacing w:line="276" w:lineRule="auto"/>
        <w:ind w:firstLineChars="0"/>
        <w:rPr>
          <w:rFonts w:ascii="微软雅黑" w:hAnsi="微软雅黑" w:eastAsia="微软雅黑" w:cs="微软雅黑"/>
          <w:szCs w:val="21"/>
        </w:rPr>
      </w:pPr>
      <w:r>
        <w:rPr>
          <w:rFonts w:hint="eastAsia" w:ascii="微软雅黑" w:hAnsi="微软雅黑" w:eastAsia="微软雅黑" w:cs="微软雅黑"/>
          <w:szCs w:val="21"/>
        </w:rPr>
        <w:t>供应商绩效考核与奖惩体系</w:t>
      </w:r>
    </w:p>
    <w:p>
      <w:pPr>
        <w:pStyle w:val="23"/>
        <w:widowControl/>
        <w:numPr>
          <w:ilvl w:val="0"/>
          <w:numId w:val="7"/>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采购供应的KPI体系</w:t>
      </w:r>
    </w:p>
    <w:p>
      <w:pPr>
        <w:pStyle w:val="23"/>
        <w:widowControl/>
        <w:numPr>
          <w:ilvl w:val="0"/>
          <w:numId w:val="7"/>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采购供应职能的内部利益相关者管理</w:t>
      </w:r>
    </w:p>
    <w:p>
      <w:pPr>
        <w:adjustRightInd w:val="0"/>
        <w:snapToGrid w:val="0"/>
        <w:spacing w:line="276" w:lineRule="auto"/>
        <w:rPr>
          <w:rFonts w:ascii="微软雅黑" w:hAnsi="微软雅黑" w:eastAsia="微软雅黑" w:cs="微软雅黑"/>
          <w:b/>
          <w:szCs w:val="21"/>
        </w:rPr>
      </w:pPr>
      <w:r>
        <w:rPr>
          <w:rFonts w:hint="eastAsia" w:ascii="微软雅黑" w:hAnsi="微软雅黑" w:eastAsia="微软雅黑" w:cs="微软雅黑"/>
          <w:b/>
          <w:szCs w:val="21"/>
        </w:rPr>
        <w:t>第四章 供应风险及其应对</w:t>
      </w:r>
    </w:p>
    <w:p>
      <w:pPr>
        <w:pStyle w:val="23"/>
        <w:widowControl/>
        <w:numPr>
          <w:ilvl w:val="0"/>
          <w:numId w:val="8"/>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供应风险</w:t>
      </w:r>
    </w:p>
    <w:p>
      <w:pPr>
        <w:pStyle w:val="23"/>
        <w:widowControl/>
        <w:numPr>
          <w:ilvl w:val="0"/>
          <w:numId w:val="9"/>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Q品质相关</w:t>
      </w:r>
    </w:p>
    <w:p>
      <w:pPr>
        <w:pStyle w:val="23"/>
        <w:widowControl/>
        <w:numPr>
          <w:ilvl w:val="0"/>
          <w:numId w:val="9"/>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C成本相关</w:t>
      </w:r>
    </w:p>
    <w:p>
      <w:pPr>
        <w:pStyle w:val="23"/>
        <w:widowControl/>
        <w:numPr>
          <w:ilvl w:val="0"/>
          <w:numId w:val="9"/>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D交期相关</w:t>
      </w:r>
    </w:p>
    <w:p>
      <w:pPr>
        <w:pStyle w:val="23"/>
        <w:widowControl/>
        <w:numPr>
          <w:ilvl w:val="0"/>
          <w:numId w:val="9"/>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A 可得性相关</w:t>
      </w:r>
    </w:p>
    <w:p>
      <w:pPr>
        <w:pStyle w:val="23"/>
        <w:widowControl/>
        <w:numPr>
          <w:ilvl w:val="0"/>
          <w:numId w:val="8"/>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全球化下的特有或加剧的供应风险</w:t>
      </w:r>
    </w:p>
    <w:p>
      <w:pPr>
        <w:pStyle w:val="23"/>
        <w:widowControl/>
        <w:numPr>
          <w:ilvl w:val="0"/>
          <w:numId w:val="10"/>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进出口申报</w:t>
      </w:r>
    </w:p>
    <w:p>
      <w:pPr>
        <w:pStyle w:val="23"/>
        <w:widowControl/>
        <w:numPr>
          <w:ilvl w:val="0"/>
          <w:numId w:val="10"/>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贸易限制</w:t>
      </w:r>
    </w:p>
    <w:p>
      <w:pPr>
        <w:pStyle w:val="23"/>
        <w:widowControl/>
        <w:numPr>
          <w:ilvl w:val="0"/>
          <w:numId w:val="10"/>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政府关系</w:t>
      </w:r>
    </w:p>
    <w:p>
      <w:pPr>
        <w:pStyle w:val="23"/>
        <w:widowControl/>
        <w:numPr>
          <w:ilvl w:val="0"/>
          <w:numId w:val="10"/>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不可抗力</w:t>
      </w:r>
    </w:p>
    <w:p>
      <w:pPr>
        <w:pStyle w:val="23"/>
        <w:widowControl/>
        <w:numPr>
          <w:ilvl w:val="0"/>
          <w:numId w:val="8"/>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供应风险的应对</w:t>
      </w:r>
    </w:p>
    <w:p>
      <w:pPr>
        <w:pStyle w:val="23"/>
        <w:widowControl/>
        <w:numPr>
          <w:ilvl w:val="0"/>
          <w:numId w:val="8"/>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供应商风险</w:t>
      </w:r>
    </w:p>
    <w:p>
      <w:pPr>
        <w:pStyle w:val="23"/>
        <w:widowControl/>
        <w:numPr>
          <w:ilvl w:val="0"/>
          <w:numId w:val="11"/>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Q资质相关</w:t>
      </w:r>
    </w:p>
    <w:p>
      <w:pPr>
        <w:pStyle w:val="23"/>
        <w:widowControl/>
        <w:numPr>
          <w:ilvl w:val="0"/>
          <w:numId w:val="11"/>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C成本可持续性</w:t>
      </w:r>
    </w:p>
    <w:p>
      <w:pPr>
        <w:pStyle w:val="23"/>
        <w:widowControl/>
        <w:numPr>
          <w:ilvl w:val="0"/>
          <w:numId w:val="11"/>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D交付能力</w:t>
      </w:r>
    </w:p>
    <w:p>
      <w:pPr>
        <w:pStyle w:val="23"/>
        <w:widowControl/>
        <w:numPr>
          <w:ilvl w:val="0"/>
          <w:numId w:val="11"/>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A 生存能力</w:t>
      </w:r>
    </w:p>
    <w:p>
      <w:pPr>
        <w:pStyle w:val="23"/>
        <w:widowControl/>
        <w:numPr>
          <w:ilvl w:val="0"/>
          <w:numId w:val="8"/>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全球化下特有或加剧的供应商风险</w:t>
      </w:r>
    </w:p>
    <w:p>
      <w:pPr>
        <w:pStyle w:val="23"/>
        <w:widowControl/>
        <w:numPr>
          <w:ilvl w:val="0"/>
          <w:numId w:val="8"/>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供应商风险应对</w:t>
      </w:r>
    </w:p>
    <w:p>
      <w:pPr>
        <w:pStyle w:val="23"/>
        <w:widowControl/>
        <w:numPr>
          <w:ilvl w:val="0"/>
          <w:numId w:val="8"/>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外包决策与外包风险管理</w:t>
      </w:r>
    </w:p>
    <w:p>
      <w:pPr>
        <w:pStyle w:val="23"/>
        <w:widowControl/>
        <w:numPr>
          <w:ilvl w:val="0"/>
          <w:numId w:val="8"/>
        </w:numPr>
        <w:adjustRightInd w:val="0"/>
        <w:snapToGrid w:val="0"/>
        <w:spacing w:line="276" w:lineRule="auto"/>
        <w:ind w:firstLineChars="0"/>
        <w:jc w:val="left"/>
        <w:rPr>
          <w:rFonts w:ascii="微软雅黑" w:hAnsi="微软雅黑" w:eastAsia="微软雅黑" w:cs="微软雅黑"/>
          <w:bCs/>
          <w:color w:val="000000" w:themeColor="text1"/>
          <w:kern w:val="0"/>
          <w:szCs w:val="21"/>
          <w14:textFill>
            <w14:solidFill>
              <w14:schemeClr w14:val="tx1"/>
            </w14:solidFill>
          </w14:textFill>
        </w:rPr>
      </w:pPr>
      <w:r>
        <w:rPr>
          <w:rFonts w:hint="eastAsia" w:ascii="微软雅黑" w:hAnsi="微软雅黑" w:eastAsia="微软雅黑" w:cs="微软雅黑"/>
          <w:bCs/>
          <w:color w:val="000000" w:themeColor="text1"/>
          <w:kern w:val="0"/>
          <w:szCs w:val="21"/>
          <w14:textFill>
            <w14:solidFill>
              <w14:schemeClr w14:val="tx1"/>
            </w14:solidFill>
          </w14:textFill>
        </w:rPr>
        <w:t>企业合规风险与管理</w:t>
      </w:r>
    </w:p>
    <w:p>
      <w:pPr>
        <w:adjustRightInd w:val="0"/>
        <w:snapToGrid w:val="0"/>
        <w:spacing w:line="276" w:lineRule="auto"/>
        <w:rPr>
          <w:rFonts w:ascii="微软雅黑" w:hAnsi="微软雅黑" w:eastAsia="微软雅黑"/>
          <w:b/>
          <w:color w:val="FF0000"/>
          <w:szCs w:val="21"/>
        </w:rPr>
      </w:pPr>
    </w:p>
    <w:p>
      <w:pPr>
        <w:adjustRightInd w:val="0"/>
        <w:snapToGrid w:val="0"/>
        <w:spacing w:line="276" w:lineRule="auto"/>
        <w:rPr>
          <w:rFonts w:ascii="微软雅黑" w:hAnsi="微软雅黑" w:eastAsia="微软雅黑"/>
          <w:b/>
          <w:color w:val="FF0000"/>
          <w:szCs w:val="21"/>
        </w:rPr>
        <w:sectPr>
          <w:type w:val="continuous"/>
          <w:pgSz w:w="11906" w:h="16838"/>
          <w:pgMar w:top="1134" w:right="1286" w:bottom="851" w:left="1134" w:header="851" w:footer="229" w:gutter="0"/>
          <w:pgNumType w:fmt="numberInDash"/>
          <w:cols w:space="425" w:num="1" w:sep="1"/>
          <w:docGrid w:type="linesAndChars" w:linePitch="312" w:charSpace="0"/>
        </w:sectPr>
      </w:pPr>
    </w:p>
    <w:p>
      <w:pPr>
        <w:adjustRightInd w:val="0"/>
        <w:snapToGrid w:val="0"/>
        <w:spacing w:line="276" w:lineRule="auto"/>
        <w:rPr>
          <w:rFonts w:ascii="微软雅黑" w:hAnsi="微软雅黑" w:eastAsia="微软雅黑"/>
          <w:b/>
          <w:color w:val="FF0000"/>
          <w:szCs w:val="21"/>
        </w:rPr>
      </w:pPr>
      <w:r>
        <w:rPr>
          <w:rFonts w:hint="eastAsia" w:ascii="微软雅黑" w:hAnsi="微软雅黑" w:eastAsia="微软雅黑"/>
          <w:b/>
          <w:color w:val="FF0000"/>
          <w:szCs w:val="21"/>
        </w:rPr>
        <w:t>讲师介绍：</w:t>
      </w:r>
    </w:p>
    <w:p>
      <w:pPr>
        <w:adjustRightInd w:val="0"/>
        <w:snapToGrid w:val="0"/>
        <w:spacing w:line="276" w:lineRule="auto"/>
        <w:rPr>
          <w:rFonts w:ascii="微软雅黑" w:hAnsi="微软雅黑" w:eastAsia="微软雅黑"/>
          <w:b/>
          <w:color w:val="FF0000"/>
          <w:szCs w:val="21"/>
        </w:rPr>
      </w:pPr>
      <w:r>
        <w:rPr>
          <w:rFonts w:ascii="微软雅黑" w:hAnsi="微软雅黑" w:eastAsia="微软雅黑" w:cs="宋体"/>
          <w:color w:val="000000"/>
          <w:kern w:val="0"/>
          <w:szCs w:val="21"/>
        </w:rPr>
        <w:drawing>
          <wp:anchor distT="0" distB="0" distL="114300" distR="114300" simplePos="0" relativeHeight="251659264" behindDoc="1" locked="0" layoutInCell="1" allowOverlap="1">
            <wp:simplePos x="0" y="0"/>
            <wp:positionH relativeFrom="column">
              <wp:posOffset>3799840</wp:posOffset>
            </wp:positionH>
            <wp:positionV relativeFrom="paragraph">
              <wp:posOffset>254000</wp:posOffset>
            </wp:positionV>
            <wp:extent cx="1179830" cy="1268730"/>
            <wp:effectExtent l="323850" t="323850" r="325755" b="33147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9785" cy="1268730"/>
                    </a:xfrm>
                    <a:prstGeom prst="round2DiagRect">
                      <a:avLst>
                        <a:gd name="adj1" fmla="val 16667"/>
                        <a:gd name="adj2" fmla="val 0"/>
                      </a:avLst>
                    </a:prstGeom>
                    <a:ln w="88900" cap="sq">
                      <a:solidFill>
                        <a:srgbClr val="FFFFFF"/>
                      </a:solidFill>
                      <a:miter lim="800000"/>
                      <a:headEnd/>
                      <a:tailEnd/>
                    </a:ln>
                    <a:effectLst>
                      <a:outerShdw blurRad="254000" algn="tl" rotWithShape="0">
                        <a:srgbClr val="000000">
                          <a:alpha val="43000"/>
                        </a:srgbClr>
                      </a:outerShdw>
                    </a:effectLst>
                  </pic:spPr>
                </pic:pic>
              </a:graphicData>
            </a:graphic>
          </wp:anchor>
        </w:drawing>
      </w:r>
      <w:r>
        <w:rPr>
          <w:rFonts w:hint="eastAsia" w:ascii="微软雅黑" w:hAnsi="微软雅黑" w:eastAsia="微软雅黑" w:cs="宋体"/>
          <w:b/>
          <w:bCs/>
          <w:color w:val="000000" w:themeColor="text1"/>
          <w:kern w:val="0"/>
          <w:szCs w:val="21"/>
          <w14:textFill>
            <w14:solidFill>
              <w14:schemeClr w14:val="tx1"/>
            </w14:solidFill>
          </w14:textFill>
        </w:rPr>
        <w:t>Sam Wang</w:t>
      </w:r>
    </w:p>
    <w:p>
      <w:pPr>
        <w:pStyle w:val="23"/>
        <w:widowControl/>
        <w:numPr>
          <w:ilvl w:val="0"/>
          <w:numId w:val="12"/>
        </w:numPr>
        <w:tabs>
          <w:tab w:val="left" w:pos="668"/>
        </w:tabs>
        <w:adjustRightInd w:val="0"/>
        <w:snapToGrid w:val="0"/>
        <w:spacing w:line="276" w:lineRule="auto"/>
        <w:ind w:firstLineChars="0"/>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中国物流采购联合会（CFLP）采购专家</w:t>
      </w:r>
    </w:p>
    <w:p>
      <w:pPr>
        <w:pStyle w:val="23"/>
        <w:widowControl/>
        <w:numPr>
          <w:ilvl w:val="0"/>
          <w:numId w:val="12"/>
        </w:numPr>
        <w:tabs>
          <w:tab w:val="left" w:pos="668"/>
        </w:tabs>
        <w:adjustRightInd w:val="0"/>
        <w:snapToGrid w:val="0"/>
        <w:spacing w:line="276" w:lineRule="auto"/>
        <w:ind w:firstLineChars="0"/>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美国供应管理学会职业认证培训CPM/CPSM授权讲师</w:t>
      </w:r>
    </w:p>
    <w:p>
      <w:pPr>
        <w:pStyle w:val="23"/>
        <w:widowControl/>
        <w:numPr>
          <w:ilvl w:val="0"/>
          <w:numId w:val="12"/>
        </w:numPr>
        <w:tabs>
          <w:tab w:val="left" w:pos="668"/>
        </w:tabs>
        <w:adjustRightInd w:val="0"/>
        <w:snapToGrid w:val="0"/>
        <w:spacing w:line="276" w:lineRule="auto"/>
        <w:ind w:firstLineChars="0"/>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南京大学国际MBA</w:t>
      </w:r>
    </w:p>
    <w:p>
      <w:pPr>
        <w:pStyle w:val="23"/>
        <w:widowControl/>
        <w:numPr>
          <w:ilvl w:val="0"/>
          <w:numId w:val="12"/>
        </w:numPr>
        <w:tabs>
          <w:tab w:val="left" w:pos="668"/>
        </w:tabs>
        <w:adjustRightInd w:val="0"/>
        <w:snapToGrid w:val="0"/>
        <w:spacing w:line="276" w:lineRule="auto"/>
        <w:ind w:firstLineChars="0"/>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注册经济师</w:t>
      </w:r>
    </w:p>
    <w:p>
      <w:pPr>
        <w:pStyle w:val="23"/>
        <w:widowControl/>
        <w:numPr>
          <w:ilvl w:val="0"/>
          <w:numId w:val="12"/>
        </w:numPr>
        <w:tabs>
          <w:tab w:val="left" w:pos="668"/>
        </w:tabs>
        <w:adjustRightInd w:val="0"/>
        <w:snapToGrid w:val="0"/>
        <w:spacing w:line="276" w:lineRule="auto"/>
        <w:ind w:firstLineChars="0"/>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注册质量工程师</w:t>
      </w:r>
    </w:p>
    <w:p>
      <w:pPr>
        <w:pStyle w:val="23"/>
        <w:widowControl/>
        <w:numPr>
          <w:ilvl w:val="0"/>
          <w:numId w:val="12"/>
        </w:numPr>
        <w:tabs>
          <w:tab w:val="left" w:pos="668"/>
        </w:tabs>
        <w:adjustRightInd w:val="0"/>
        <w:snapToGrid w:val="0"/>
        <w:spacing w:line="276" w:lineRule="auto"/>
        <w:ind w:firstLineChars="0"/>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注册采购经理人(C.P.M.)</w:t>
      </w:r>
    </w:p>
    <w:p>
      <w:pPr>
        <w:pStyle w:val="23"/>
        <w:widowControl/>
        <w:numPr>
          <w:ilvl w:val="0"/>
          <w:numId w:val="12"/>
        </w:numPr>
        <w:tabs>
          <w:tab w:val="left" w:pos="668"/>
        </w:tabs>
        <w:adjustRightInd w:val="0"/>
        <w:snapToGrid w:val="0"/>
        <w:spacing w:line="276" w:lineRule="auto"/>
        <w:ind w:firstLineChars="0"/>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注册需求预测规划师(CDMP)</w:t>
      </w:r>
    </w:p>
    <w:p>
      <w:pPr>
        <w:pStyle w:val="23"/>
        <w:widowControl/>
        <w:numPr>
          <w:ilvl w:val="0"/>
          <w:numId w:val="12"/>
        </w:numPr>
        <w:tabs>
          <w:tab w:val="left" w:pos="426"/>
        </w:tabs>
        <w:adjustRightInd w:val="0"/>
        <w:snapToGrid w:val="0"/>
        <w:spacing w:line="276" w:lineRule="auto"/>
        <w:ind w:left="0" w:firstLine="0" w:firstLineChars="0"/>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拥有二十年在知名中资、台资和美资企业的从业经历。在包括原化工部直属南京化工厂、美国ADC电讯（南京工厂及上海办事处）、多佛集团（南京工厂）、捷普科技（全球供应链）等企业中，担任过物流主管、生产经理、运营经理及全球供应与采购经理等职务。专于采购与供应管理，及生产计划与运营管理。</w:t>
      </w:r>
    </w:p>
    <w:p>
      <w:pPr>
        <w:pStyle w:val="23"/>
        <w:widowControl/>
        <w:numPr>
          <w:ilvl w:val="0"/>
          <w:numId w:val="12"/>
        </w:numPr>
        <w:tabs>
          <w:tab w:val="left" w:pos="426"/>
        </w:tabs>
        <w:adjustRightInd w:val="0"/>
        <w:snapToGrid w:val="0"/>
        <w:spacing w:line="276" w:lineRule="auto"/>
        <w:ind w:left="0" w:firstLine="0" w:firstLineChars="0"/>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为中国铁路物资天津分公司、上海宝钢、芜湖奇瑞、盐城东风悦达起亚、上海延锋江森、南京金三力、金陵拜耳、法国洁福、蓝星安迪苏（中法合资）、瑞典阿特拉斯科普柯、瑞士喜利得、荷兰阿斯麦、美国赛默飞世尔、大唐电讯、长春一汽、山东鸿鑫、深圳浩方、法国佛吉亚、法国阿尔卡特朗讯、苏泊尔、深圳仕瑞达、大猫电商、壳牌统一等外资、合资、国资及私营企业进行过内训与咨询服务。</w:t>
      </w:r>
    </w:p>
    <w:p>
      <w:pPr>
        <w:pStyle w:val="23"/>
        <w:widowControl/>
        <w:numPr>
          <w:ilvl w:val="0"/>
          <w:numId w:val="12"/>
        </w:numPr>
        <w:tabs>
          <w:tab w:val="left" w:pos="426"/>
        </w:tabs>
        <w:adjustRightInd w:val="0"/>
        <w:snapToGrid w:val="0"/>
        <w:spacing w:line="276" w:lineRule="auto"/>
        <w:ind w:left="0" w:firstLine="0" w:firstLineChars="0"/>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在《中国采购发展报告》及《全球采购》专业杂志上发表过“E 采购与电子商务的发展”、“是加强供应链风险管理的时候了”、“关于构建与选择信息化采购系统的一点建议”、“供应基库合理化”、“2013年采购人力资源与绩效调查报告” 、“化工行业采购中的HSE” 、“电子元器件采购面临的挑战与应对”等专业文章。</w:t>
      </w:r>
    </w:p>
    <w:p>
      <w:pPr>
        <w:pStyle w:val="23"/>
        <w:widowControl/>
        <w:numPr>
          <w:ilvl w:val="0"/>
          <w:numId w:val="12"/>
        </w:numPr>
        <w:tabs>
          <w:tab w:val="left" w:pos="426"/>
        </w:tabs>
        <w:adjustRightInd w:val="0"/>
        <w:snapToGrid w:val="0"/>
        <w:spacing w:line="276" w:lineRule="auto"/>
        <w:ind w:left="0" w:firstLine="0" w:firstLineChars="0"/>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北京“2013年中国跨境电商供应链峰会” 之“掘金跨境电商供应链”主题论坛的嘉宾主持（中国物流与采购联合会物联网技术与应用专业委员会主办）</w:t>
      </w:r>
    </w:p>
    <w:p>
      <w:pPr>
        <w:pStyle w:val="23"/>
        <w:widowControl/>
        <w:numPr>
          <w:ilvl w:val="0"/>
          <w:numId w:val="12"/>
        </w:numPr>
        <w:tabs>
          <w:tab w:val="left" w:pos="426"/>
        </w:tabs>
        <w:adjustRightInd w:val="0"/>
        <w:snapToGrid w:val="0"/>
        <w:spacing w:line="276" w:lineRule="auto"/>
        <w:ind w:left="0" w:firstLine="0" w:firstLineChars="0"/>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深圳“2014年中国供应链计划与库存管控论坛”嘉宾主持（深圳工业总会供应链委员会主办）</w:t>
      </w:r>
    </w:p>
    <w:p>
      <w:pPr>
        <w:pStyle w:val="23"/>
        <w:widowControl/>
        <w:numPr>
          <w:ilvl w:val="0"/>
          <w:numId w:val="12"/>
        </w:numPr>
        <w:tabs>
          <w:tab w:val="left" w:pos="426"/>
        </w:tabs>
        <w:adjustRightInd w:val="0"/>
        <w:snapToGrid w:val="0"/>
        <w:spacing w:line="276" w:lineRule="auto"/>
        <w:ind w:left="0" w:firstLine="0" w:firstLineChars="0"/>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上海“2014企业价值协同规划管理论坛”嘉宾主持。（上海大学需求链研究院主办）</w:t>
      </w:r>
    </w:p>
    <w:p>
      <w:pPr>
        <w:pStyle w:val="23"/>
        <w:widowControl/>
        <w:numPr>
          <w:ilvl w:val="0"/>
          <w:numId w:val="12"/>
        </w:numPr>
        <w:tabs>
          <w:tab w:val="left" w:pos="426"/>
        </w:tabs>
        <w:adjustRightInd w:val="0"/>
        <w:snapToGrid w:val="0"/>
        <w:spacing w:line="276" w:lineRule="auto"/>
        <w:ind w:left="0" w:firstLine="0" w:firstLineChars="0"/>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广州“第四届珠三角物流发展合作论坛”嘉宾主持（中国物流与采购联合会物联网技术与应用专业委员会主办）</w:t>
      </w:r>
    </w:p>
    <w:p>
      <w:pPr>
        <w:pStyle w:val="23"/>
        <w:widowControl/>
        <w:numPr>
          <w:ilvl w:val="0"/>
          <w:numId w:val="12"/>
        </w:numPr>
        <w:tabs>
          <w:tab w:val="left" w:pos="426"/>
        </w:tabs>
        <w:adjustRightInd w:val="0"/>
        <w:snapToGrid w:val="0"/>
        <w:spacing w:line="276" w:lineRule="auto"/>
        <w:ind w:left="0" w:firstLine="0" w:firstLineChars="0"/>
        <w:jc w:val="left"/>
        <w:rPr>
          <w:rFonts w:ascii="微软雅黑" w:hAnsi="微软雅黑" w:eastAsia="微软雅黑" w:cs="宋体"/>
          <w:color w:val="000000"/>
          <w:kern w:val="0"/>
          <w:szCs w:val="21"/>
        </w:rPr>
        <w:sectPr>
          <w:type w:val="continuous"/>
          <w:pgSz w:w="11906" w:h="16838"/>
          <w:pgMar w:top="1134" w:right="1286" w:bottom="851" w:left="1134" w:header="851" w:footer="229" w:gutter="0"/>
          <w:pgNumType w:fmt="numberInDash"/>
          <w:cols w:space="425" w:num="1" w:sep="1"/>
          <w:docGrid w:type="linesAndChars" w:linePitch="312" w:charSpace="0"/>
        </w:sectPr>
      </w:pPr>
      <w:r>
        <w:rPr>
          <w:rFonts w:hint="eastAsia" w:ascii="微软雅黑" w:hAnsi="微软雅黑" w:eastAsia="微软雅黑" w:cs="宋体"/>
          <w:color w:val="000000"/>
          <w:kern w:val="0"/>
          <w:szCs w:val="21"/>
        </w:rPr>
        <w:t>上海“2014中国电子供应链高峰论坛”演讲嘉宾（中国物流与采购联合会采购与供应链管理专业委员会主办）</w:t>
      </w:r>
    </w:p>
    <w:p>
      <w:pPr>
        <w:adjustRightInd w:val="0"/>
        <w:snapToGrid w:val="0"/>
        <w:spacing w:line="276" w:lineRule="auto"/>
        <w:rPr>
          <w:rFonts w:ascii="微软雅黑" w:hAnsi="微软雅黑" w:eastAsia="微软雅黑"/>
          <w:b/>
          <w:color w:val="FF0000"/>
          <w:szCs w:val="21"/>
        </w:rPr>
      </w:pPr>
    </w:p>
    <w:p>
      <w:pPr>
        <w:widowControl/>
        <w:tabs>
          <w:tab w:val="left" w:pos="668"/>
        </w:tabs>
        <w:ind w:left="108"/>
        <w:jc w:val="center"/>
        <w:rPr>
          <w:rFonts w:ascii="华文细黑" w:hAnsi="华文细黑" w:eastAsia="华文细黑"/>
          <w:b/>
          <w:color w:val="FF0000"/>
          <w:sz w:val="36"/>
        </w:rPr>
      </w:pPr>
      <w:bookmarkStart w:id="0" w:name="_GoBack"/>
      <w:bookmarkEnd w:id="0"/>
      <w:r>
        <w:rPr>
          <w:rFonts w:ascii="华文细黑" w:hAnsi="华文细黑" w:eastAsia="华文细黑"/>
          <w:b/>
          <w:color w:val="FF0000"/>
          <w:sz w:val="36"/>
        </w:rPr>
        <w:t>报 名 回 执</w:t>
      </w:r>
    </w:p>
    <w:p>
      <w:pPr>
        <w:widowControl/>
        <w:tabs>
          <w:tab w:val="left" w:pos="668"/>
        </w:tabs>
        <w:ind w:left="108"/>
        <w:jc w:val="center"/>
        <w:rPr>
          <w:rFonts w:eastAsia="微软雅黑"/>
          <w:sz w:val="44"/>
        </w:rPr>
      </w:pPr>
      <w:r>
        <w:rPr>
          <w:rFonts w:hint="eastAsia" w:eastAsia="微软雅黑"/>
        </w:rPr>
        <w:t>报名回执请回传给我们，帕迪咨询  程小姐</w:t>
      </w:r>
      <w:r>
        <w:rPr>
          <w:rFonts w:eastAsia="微软雅黑"/>
        </w:rPr>
        <w:t xml:space="preserve"> 18917655637  </w:t>
      </w:r>
      <w:r>
        <w:rPr>
          <w:rFonts w:hint="eastAsia" w:ascii="微软雅黑" w:hAnsi="微软雅黑" w:eastAsia="微软雅黑"/>
          <w:sz w:val="18"/>
          <w:lang w:val="fr-FR"/>
        </w:rPr>
        <w:t>Training@021px.com</w:t>
      </w:r>
    </w:p>
    <w:tbl>
      <w:tblPr>
        <w:tblStyle w:val="11"/>
        <w:tblW w:w="9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699"/>
        <w:gridCol w:w="1336"/>
        <w:gridCol w:w="2156"/>
        <w:gridCol w:w="1314"/>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exact"/>
          <w:jc w:val="center"/>
        </w:trPr>
        <w:tc>
          <w:tcPr>
            <w:tcW w:w="1374" w:type="dxa"/>
            <w:vAlign w:val="center"/>
          </w:tcPr>
          <w:p>
            <w:pPr>
              <w:tabs>
                <w:tab w:val="left" w:pos="1080"/>
              </w:tabs>
              <w:spacing w:line="340" w:lineRule="exact"/>
              <w:jc w:val="center"/>
              <w:rPr>
                <w:rFonts w:eastAsia="微软雅黑"/>
                <w:b/>
                <w:kern w:val="10"/>
                <w:sz w:val="22"/>
              </w:rPr>
            </w:pPr>
            <w:r>
              <w:rPr>
                <w:rFonts w:eastAsia="微软雅黑"/>
                <w:b/>
                <w:kern w:val="10"/>
                <w:sz w:val="22"/>
              </w:rPr>
              <w:t>课程名称</w:t>
            </w:r>
          </w:p>
        </w:tc>
        <w:tc>
          <w:tcPr>
            <w:tcW w:w="4191" w:type="dxa"/>
            <w:gridSpan w:val="3"/>
            <w:vAlign w:val="center"/>
          </w:tcPr>
          <w:p>
            <w:pPr>
              <w:tabs>
                <w:tab w:val="left" w:pos="1080"/>
              </w:tabs>
              <w:spacing w:line="340" w:lineRule="exact"/>
              <w:jc w:val="center"/>
              <w:rPr>
                <w:rFonts w:eastAsia="微软雅黑"/>
                <w:b/>
                <w:kern w:val="10"/>
                <w:sz w:val="22"/>
              </w:rPr>
            </w:pPr>
          </w:p>
        </w:tc>
        <w:tc>
          <w:tcPr>
            <w:tcW w:w="1314" w:type="dxa"/>
            <w:vAlign w:val="center"/>
          </w:tcPr>
          <w:p>
            <w:pPr>
              <w:tabs>
                <w:tab w:val="left" w:pos="1080"/>
              </w:tabs>
              <w:spacing w:line="340" w:lineRule="exact"/>
              <w:jc w:val="center"/>
              <w:rPr>
                <w:rFonts w:eastAsia="微软雅黑"/>
                <w:b/>
                <w:kern w:val="10"/>
                <w:sz w:val="22"/>
              </w:rPr>
            </w:pPr>
            <w:r>
              <w:rPr>
                <w:rFonts w:hint="eastAsia" w:eastAsia="微软雅黑"/>
                <w:b/>
                <w:kern w:val="10"/>
                <w:sz w:val="22"/>
              </w:rPr>
              <w:t>城市/日期</w:t>
            </w:r>
          </w:p>
        </w:tc>
        <w:tc>
          <w:tcPr>
            <w:tcW w:w="2757" w:type="dxa"/>
            <w:vAlign w:val="center"/>
          </w:tcPr>
          <w:p>
            <w:pPr>
              <w:tabs>
                <w:tab w:val="left" w:pos="1080"/>
              </w:tabs>
              <w:spacing w:line="340" w:lineRule="exact"/>
              <w:jc w:val="center"/>
              <w:rPr>
                <w:rFonts w:eastAsia="微软雅黑"/>
                <w:b/>
                <w:kern w:val="1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exact"/>
          <w:jc w:val="center"/>
        </w:trPr>
        <w:tc>
          <w:tcPr>
            <w:tcW w:w="3409" w:type="dxa"/>
            <w:gridSpan w:val="3"/>
            <w:vAlign w:val="center"/>
          </w:tcPr>
          <w:p>
            <w:pPr>
              <w:tabs>
                <w:tab w:val="left" w:pos="1080"/>
              </w:tabs>
              <w:spacing w:line="340" w:lineRule="exact"/>
              <w:rPr>
                <w:rFonts w:eastAsia="微软雅黑"/>
                <w:kern w:val="10"/>
                <w:sz w:val="22"/>
              </w:rPr>
            </w:pPr>
            <w:r>
              <w:rPr>
                <w:rFonts w:eastAsia="微软雅黑"/>
                <w:kern w:val="10"/>
                <w:sz w:val="22"/>
              </w:rPr>
              <w:t>培训负责人：</w:t>
            </w:r>
          </w:p>
        </w:tc>
        <w:tc>
          <w:tcPr>
            <w:tcW w:w="6227" w:type="dxa"/>
            <w:gridSpan w:val="3"/>
            <w:vAlign w:val="center"/>
          </w:tcPr>
          <w:p>
            <w:pPr>
              <w:tabs>
                <w:tab w:val="left" w:pos="1080"/>
              </w:tabs>
              <w:spacing w:line="340" w:lineRule="exact"/>
              <w:rPr>
                <w:rFonts w:eastAsia="微软雅黑"/>
                <w:kern w:val="10"/>
                <w:sz w:val="22"/>
              </w:rPr>
            </w:pPr>
            <w:r>
              <w:rPr>
                <w:rFonts w:eastAsia="微软雅黑"/>
                <w:kern w:val="10"/>
                <w:sz w:val="22"/>
              </w:rPr>
              <w:t>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exact"/>
          <w:jc w:val="center"/>
        </w:trPr>
        <w:tc>
          <w:tcPr>
            <w:tcW w:w="1374" w:type="dxa"/>
            <w:vAlign w:val="center"/>
          </w:tcPr>
          <w:p>
            <w:pPr>
              <w:tabs>
                <w:tab w:val="left" w:pos="1080"/>
              </w:tabs>
              <w:spacing w:line="340" w:lineRule="exact"/>
              <w:jc w:val="center"/>
              <w:rPr>
                <w:rFonts w:eastAsia="微软雅黑"/>
                <w:kern w:val="10"/>
                <w:sz w:val="22"/>
              </w:rPr>
            </w:pPr>
            <w:r>
              <w:rPr>
                <w:rFonts w:eastAsia="微软雅黑"/>
                <w:kern w:val="10"/>
                <w:sz w:val="22"/>
              </w:rPr>
              <w:t>姓名</w:t>
            </w:r>
          </w:p>
        </w:tc>
        <w:tc>
          <w:tcPr>
            <w:tcW w:w="699" w:type="dxa"/>
            <w:vAlign w:val="center"/>
          </w:tcPr>
          <w:p>
            <w:pPr>
              <w:tabs>
                <w:tab w:val="left" w:pos="1080"/>
              </w:tabs>
              <w:spacing w:line="340" w:lineRule="exact"/>
              <w:jc w:val="center"/>
              <w:rPr>
                <w:rFonts w:eastAsia="微软雅黑"/>
                <w:kern w:val="10"/>
                <w:sz w:val="22"/>
              </w:rPr>
            </w:pPr>
            <w:r>
              <w:rPr>
                <w:rFonts w:eastAsia="微软雅黑"/>
                <w:kern w:val="10"/>
                <w:sz w:val="22"/>
              </w:rPr>
              <w:t>性别</w:t>
            </w:r>
          </w:p>
        </w:tc>
        <w:tc>
          <w:tcPr>
            <w:tcW w:w="1336" w:type="dxa"/>
            <w:vAlign w:val="center"/>
          </w:tcPr>
          <w:p>
            <w:pPr>
              <w:tabs>
                <w:tab w:val="left" w:pos="1080"/>
              </w:tabs>
              <w:spacing w:line="340" w:lineRule="exact"/>
              <w:jc w:val="center"/>
              <w:rPr>
                <w:rFonts w:eastAsia="微软雅黑"/>
                <w:kern w:val="10"/>
                <w:sz w:val="22"/>
              </w:rPr>
            </w:pPr>
            <w:r>
              <w:rPr>
                <w:rFonts w:eastAsia="微软雅黑"/>
                <w:kern w:val="10"/>
                <w:sz w:val="22"/>
              </w:rPr>
              <w:t>部门/职位</w:t>
            </w:r>
          </w:p>
        </w:tc>
        <w:tc>
          <w:tcPr>
            <w:tcW w:w="2156" w:type="dxa"/>
            <w:vAlign w:val="center"/>
          </w:tcPr>
          <w:p>
            <w:pPr>
              <w:tabs>
                <w:tab w:val="left" w:pos="1080"/>
              </w:tabs>
              <w:spacing w:line="340" w:lineRule="exact"/>
              <w:jc w:val="center"/>
              <w:rPr>
                <w:rFonts w:eastAsia="微软雅黑"/>
                <w:kern w:val="10"/>
                <w:sz w:val="22"/>
              </w:rPr>
            </w:pPr>
            <w:r>
              <w:rPr>
                <w:rFonts w:hint="eastAsia" w:eastAsia="微软雅黑"/>
                <w:kern w:val="10"/>
                <w:sz w:val="22"/>
              </w:rPr>
              <w:t>手机</w:t>
            </w:r>
          </w:p>
        </w:tc>
        <w:tc>
          <w:tcPr>
            <w:tcW w:w="4071" w:type="dxa"/>
            <w:gridSpan w:val="2"/>
            <w:vAlign w:val="center"/>
          </w:tcPr>
          <w:p>
            <w:pPr>
              <w:tabs>
                <w:tab w:val="left" w:pos="1080"/>
              </w:tabs>
              <w:spacing w:line="340" w:lineRule="exact"/>
              <w:jc w:val="center"/>
              <w:rPr>
                <w:rFonts w:eastAsia="微软雅黑"/>
                <w:kern w:val="10"/>
                <w:sz w:val="22"/>
              </w:rPr>
            </w:pPr>
            <w:r>
              <w:rPr>
                <w:rFonts w:hint="eastAsia" w:eastAsia="微软雅黑"/>
                <w:kern w:val="10"/>
                <w:sz w:val="22"/>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jc w:val="center"/>
        </w:trPr>
        <w:tc>
          <w:tcPr>
            <w:tcW w:w="1374" w:type="dxa"/>
          </w:tcPr>
          <w:p>
            <w:pPr>
              <w:spacing w:line="340" w:lineRule="exact"/>
              <w:jc w:val="center"/>
              <w:rPr>
                <w:rFonts w:eastAsia="微软雅黑"/>
                <w:szCs w:val="21"/>
              </w:rPr>
            </w:pPr>
          </w:p>
        </w:tc>
        <w:tc>
          <w:tcPr>
            <w:tcW w:w="699" w:type="dxa"/>
          </w:tcPr>
          <w:p>
            <w:pPr>
              <w:spacing w:line="340" w:lineRule="exact"/>
              <w:jc w:val="center"/>
              <w:rPr>
                <w:rFonts w:eastAsia="微软雅黑"/>
                <w:szCs w:val="21"/>
              </w:rPr>
            </w:pPr>
          </w:p>
        </w:tc>
        <w:tc>
          <w:tcPr>
            <w:tcW w:w="1336" w:type="dxa"/>
          </w:tcPr>
          <w:p>
            <w:pPr>
              <w:spacing w:line="340" w:lineRule="exact"/>
              <w:jc w:val="center"/>
              <w:rPr>
                <w:rFonts w:eastAsia="微软雅黑"/>
                <w:szCs w:val="21"/>
              </w:rPr>
            </w:pPr>
          </w:p>
        </w:tc>
        <w:tc>
          <w:tcPr>
            <w:tcW w:w="2156" w:type="dxa"/>
          </w:tcPr>
          <w:p>
            <w:pPr>
              <w:spacing w:line="340" w:lineRule="exact"/>
              <w:jc w:val="center"/>
              <w:rPr>
                <w:rFonts w:eastAsia="微软雅黑"/>
                <w:szCs w:val="21"/>
              </w:rPr>
            </w:pPr>
          </w:p>
        </w:tc>
        <w:tc>
          <w:tcPr>
            <w:tcW w:w="4071" w:type="dxa"/>
            <w:gridSpan w:val="2"/>
          </w:tcPr>
          <w:p>
            <w:pPr>
              <w:spacing w:line="340" w:lineRule="exact"/>
              <w:jc w:val="center"/>
              <w:rPr>
                <w:rFonts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jc w:val="center"/>
        </w:trPr>
        <w:tc>
          <w:tcPr>
            <w:tcW w:w="1374" w:type="dxa"/>
          </w:tcPr>
          <w:p>
            <w:pPr>
              <w:spacing w:line="340" w:lineRule="exact"/>
              <w:jc w:val="center"/>
              <w:rPr>
                <w:rFonts w:eastAsia="微软雅黑"/>
                <w:szCs w:val="21"/>
              </w:rPr>
            </w:pPr>
          </w:p>
        </w:tc>
        <w:tc>
          <w:tcPr>
            <w:tcW w:w="699" w:type="dxa"/>
          </w:tcPr>
          <w:p>
            <w:pPr>
              <w:spacing w:line="340" w:lineRule="exact"/>
              <w:jc w:val="center"/>
              <w:rPr>
                <w:rFonts w:eastAsia="微软雅黑"/>
                <w:szCs w:val="21"/>
              </w:rPr>
            </w:pPr>
          </w:p>
        </w:tc>
        <w:tc>
          <w:tcPr>
            <w:tcW w:w="1336" w:type="dxa"/>
          </w:tcPr>
          <w:p>
            <w:pPr>
              <w:spacing w:line="340" w:lineRule="exact"/>
              <w:jc w:val="center"/>
              <w:rPr>
                <w:rFonts w:eastAsia="微软雅黑"/>
                <w:szCs w:val="21"/>
              </w:rPr>
            </w:pPr>
          </w:p>
        </w:tc>
        <w:tc>
          <w:tcPr>
            <w:tcW w:w="2156" w:type="dxa"/>
          </w:tcPr>
          <w:p>
            <w:pPr>
              <w:spacing w:line="340" w:lineRule="exact"/>
              <w:jc w:val="center"/>
              <w:rPr>
                <w:rFonts w:eastAsia="微软雅黑"/>
                <w:szCs w:val="21"/>
              </w:rPr>
            </w:pPr>
          </w:p>
        </w:tc>
        <w:tc>
          <w:tcPr>
            <w:tcW w:w="4071" w:type="dxa"/>
            <w:gridSpan w:val="2"/>
          </w:tcPr>
          <w:p>
            <w:pPr>
              <w:spacing w:line="340" w:lineRule="exact"/>
              <w:jc w:val="center"/>
              <w:rPr>
                <w:rFonts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exact"/>
          <w:jc w:val="center"/>
        </w:trPr>
        <w:tc>
          <w:tcPr>
            <w:tcW w:w="1374" w:type="dxa"/>
          </w:tcPr>
          <w:p>
            <w:pPr>
              <w:spacing w:line="340" w:lineRule="exact"/>
              <w:jc w:val="center"/>
              <w:rPr>
                <w:rFonts w:eastAsia="微软雅黑"/>
                <w:szCs w:val="21"/>
              </w:rPr>
            </w:pPr>
          </w:p>
        </w:tc>
        <w:tc>
          <w:tcPr>
            <w:tcW w:w="699" w:type="dxa"/>
          </w:tcPr>
          <w:p>
            <w:pPr>
              <w:spacing w:line="340" w:lineRule="exact"/>
              <w:jc w:val="center"/>
              <w:rPr>
                <w:rFonts w:eastAsia="微软雅黑"/>
                <w:szCs w:val="21"/>
              </w:rPr>
            </w:pPr>
          </w:p>
        </w:tc>
        <w:tc>
          <w:tcPr>
            <w:tcW w:w="1336" w:type="dxa"/>
          </w:tcPr>
          <w:p>
            <w:pPr>
              <w:spacing w:line="340" w:lineRule="exact"/>
              <w:jc w:val="center"/>
              <w:rPr>
                <w:rFonts w:eastAsia="微软雅黑"/>
                <w:szCs w:val="21"/>
              </w:rPr>
            </w:pPr>
          </w:p>
        </w:tc>
        <w:tc>
          <w:tcPr>
            <w:tcW w:w="2156" w:type="dxa"/>
          </w:tcPr>
          <w:p>
            <w:pPr>
              <w:spacing w:line="340" w:lineRule="exact"/>
              <w:jc w:val="center"/>
              <w:rPr>
                <w:rFonts w:eastAsia="微软雅黑"/>
                <w:szCs w:val="21"/>
              </w:rPr>
            </w:pPr>
          </w:p>
        </w:tc>
        <w:tc>
          <w:tcPr>
            <w:tcW w:w="4071" w:type="dxa"/>
            <w:gridSpan w:val="2"/>
          </w:tcPr>
          <w:p>
            <w:pPr>
              <w:spacing w:line="340" w:lineRule="exact"/>
              <w:jc w:val="center"/>
              <w:rPr>
                <w:rFonts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5" w:hRule="exact"/>
          <w:jc w:val="center"/>
        </w:trPr>
        <w:tc>
          <w:tcPr>
            <w:tcW w:w="5565" w:type="dxa"/>
            <w:gridSpan w:val="4"/>
            <w:vAlign w:val="center"/>
          </w:tcPr>
          <w:p>
            <w:pPr>
              <w:adjustRightInd w:val="0"/>
              <w:snapToGrid w:val="0"/>
              <w:rPr>
                <w:rFonts w:eastAsia="微软雅黑"/>
                <w:b/>
                <w:sz w:val="22"/>
              </w:rPr>
            </w:pPr>
            <w:r>
              <w:rPr>
                <w:rFonts w:hint="eastAsia" w:eastAsia="微软雅黑"/>
                <w:b/>
                <w:sz w:val="22"/>
              </w:rPr>
              <w:t>帕迪公司账户信息：</w:t>
            </w:r>
          </w:p>
          <w:p>
            <w:pPr>
              <w:adjustRightInd w:val="0"/>
              <w:snapToGrid w:val="0"/>
              <w:rPr>
                <w:rFonts w:eastAsia="微软雅黑"/>
                <w:sz w:val="22"/>
              </w:rPr>
            </w:pPr>
            <w:r>
              <w:rPr>
                <w:rFonts w:hint="eastAsia" w:eastAsia="微软雅黑"/>
                <w:sz w:val="22"/>
              </w:rPr>
              <w:t xml:space="preserve">开户名称：上海帕迪企业管理咨询有限公司  </w:t>
            </w:r>
          </w:p>
          <w:p>
            <w:pPr>
              <w:adjustRightInd w:val="0"/>
              <w:snapToGrid w:val="0"/>
              <w:rPr>
                <w:rFonts w:eastAsia="微软雅黑"/>
                <w:sz w:val="22"/>
              </w:rPr>
            </w:pPr>
            <w:r>
              <w:rPr>
                <w:rFonts w:hint="eastAsia" w:eastAsia="微软雅黑"/>
                <w:sz w:val="22"/>
              </w:rPr>
              <w:t>银行帐号：03485500040002793</w:t>
            </w:r>
          </w:p>
          <w:p>
            <w:pPr>
              <w:adjustRightInd w:val="0"/>
              <w:snapToGrid w:val="0"/>
              <w:rPr>
                <w:rFonts w:eastAsia="微软雅黑"/>
                <w:b/>
                <w:kern w:val="10"/>
                <w:sz w:val="24"/>
              </w:rPr>
            </w:pPr>
            <w:r>
              <w:rPr>
                <w:rFonts w:hint="eastAsia" w:eastAsia="微软雅黑"/>
                <w:sz w:val="22"/>
              </w:rPr>
              <w:t>开户银行：中国农业银行上海市复旦支行</w:t>
            </w:r>
          </w:p>
        </w:tc>
        <w:tc>
          <w:tcPr>
            <w:tcW w:w="4071" w:type="dxa"/>
            <w:gridSpan w:val="2"/>
            <w:vAlign w:val="center"/>
          </w:tcPr>
          <w:p>
            <w:pPr>
              <w:shd w:val="solid" w:color="FFFFFF" w:fill="auto"/>
              <w:autoSpaceDN w:val="0"/>
              <w:spacing w:line="360" w:lineRule="exact"/>
              <w:textAlignment w:val="baseline"/>
              <w:rPr>
                <w:rFonts w:eastAsia="微软雅黑"/>
                <w:b/>
                <w:sz w:val="24"/>
              </w:rPr>
            </w:pPr>
            <w:r>
              <w:rPr>
                <w:rFonts w:ascii="Segoe UI Symbol" w:hAnsi="Segoe UI Symbol" w:eastAsia="微软雅黑" w:cs="Segoe UI Symbol"/>
                <w:b/>
                <w:sz w:val="24"/>
              </w:rPr>
              <w:t>★</w:t>
            </w:r>
            <w:r>
              <w:rPr>
                <w:rFonts w:eastAsia="微软雅黑"/>
                <w:b/>
                <w:sz w:val="24"/>
              </w:rPr>
              <w:t xml:space="preserve">缴费方式： </w:t>
            </w:r>
          </w:p>
          <w:p>
            <w:pPr>
              <w:shd w:val="solid" w:color="FFFFFF" w:fill="auto"/>
              <w:autoSpaceDN w:val="0"/>
              <w:spacing w:line="360" w:lineRule="exact"/>
              <w:textAlignment w:val="baseline"/>
              <w:rPr>
                <w:rFonts w:eastAsia="微软雅黑"/>
                <w:sz w:val="24"/>
              </w:rPr>
            </w:pPr>
            <w:r>
              <w:rPr>
                <w:rFonts w:eastAsia="微软雅黑"/>
                <w:sz w:val="24"/>
              </w:rPr>
              <w:sym w:font="Wingdings" w:char="F06F"/>
            </w:r>
            <w:r>
              <w:rPr>
                <w:rFonts w:eastAsia="微软雅黑"/>
                <w:sz w:val="24"/>
              </w:rPr>
              <w:t xml:space="preserve"> 现场缴费</w:t>
            </w:r>
            <w:r>
              <w:rPr>
                <w:rFonts w:hint="eastAsia" w:eastAsia="微软雅黑"/>
                <w:szCs w:val="21"/>
              </w:rPr>
              <w:t>（现金，微信，支付宝）</w:t>
            </w:r>
            <w:r>
              <w:rPr>
                <w:rFonts w:hint="eastAsia" w:eastAsia="微软雅黑"/>
                <w:sz w:val="24"/>
              </w:rPr>
              <w:t xml:space="preserve">   </w:t>
            </w:r>
            <w:r>
              <w:rPr>
                <w:rFonts w:eastAsia="微软雅黑"/>
                <w:sz w:val="24"/>
              </w:rPr>
              <w:t xml:space="preserve">   </w:t>
            </w:r>
          </w:p>
          <w:p>
            <w:pPr>
              <w:shd w:val="solid" w:color="FFFFFF" w:fill="auto"/>
              <w:autoSpaceDN w:val="0"/>
              <w:spacing w:line="360" w:lineRule="exact"/>
              <w:textAlignment w:val="baseline"/>
              <w:rPr>
                <w:rFonts w:eastAsia="微软雅黑"/>
                <w:b/>
                <w:sz w:val="24"/>
              </w:rPr>
            </w:pPr>
            <w:r>
              <w:rPr>
                <w:rFonts w:eastAsia="微软雅黑"/>
                <w:sz w:val="24"/>
              </w:rPr>
              <w:sym w:font="Wingdings" w:char="F06F"/>
            </w:r>
            <w:r>
              <w:rPr>
                <w:rFonts w:eastAsia="微软雅黑"/>
                <w:sz w:val="24"/>
              </w:rPr>
              <w:t xml:space="preserve"> 公司转账</w:t>
            </w:r>
            <w:r>
              <w:rPr>
                <w:rFonts w:hint="eastAsia" w:eastAsia="微软雅黑"/>
                <w:sz w:val="24"/>
              </w:rPr>
              <w:t xml:space="preserve">   </w:t>
            </w:r>
            <w:r>
              <w:rPr>
                <w:rFonts w:hint="eastAsia" w:eastAsia="微软雅黑"/>
                <w:b/>
                <w:sz w:val="24"/>
              </w:rPr>
              <w:t xml:space="preserve">  </w:t>
            </w:r>
          </w:p>
        </w:tc>
      </w:tr>
    </w:tbl>
    <w:p>
      <w:pPr>
        <w:widowControl/>
        <w:tabs>
          <w:tab w:val="left" w:pos="475"/>
        </w:tabs>
        <w:adjustRightInd w:val="0"/>
        <w:snapToGrid w:val="0"/>
        <w:ind w:left="108"/>
        <w:jc w:val="left"/>
        <w:rPr>
          <w:rFonts w:ascii="微软雅黑" w:hAnsi="微软雅黑" w:eastAsia="微软雅黑" w:cs="宋体"/>
          <w:kern w:val="0"/>
          <w:sz w:val="20"/>
          <w:szCs w:val="20"/>
        </w:rPr>
      </w:pPr>
    </w:p>
    <w:sectPr>
      <w:type w:val="continuous"/>
      <w:pgSz w:w="11906" w:h="16838"/>
      <w:pgMar w:top="1134" w:right="1286" w:bottom="851" w:left="1134" w:header="851" w:footer="229" w:gutter="0"/>
      <w:pgNumType w:fmt="numberInDash"/>
      <w:cols w:space="425" w:num="1" w:sep="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华文细黑">
    <w:altName w:val="微软雅黑"/>
    <w:panose1 w:val="02010600040101010101"/>
    <w:charset w:val="86"/>
    <w:family w:val="auto"/>
    <w:pitch w:val="default"/>
    <w:sig w:usb0="00000000" w:usb1="00000000" w:usb2="00000010" w:usb3="00000000" w:csb0="0004009F" w:csb1="00000000"/>
  </w:font>
  <w:font w:name="Segoe UI Symbol">
    <w:panose1 w:val="020B0502040204020203"/>
    <w:charset w:val="00"/>
    <w:family w:val="swiss"/>
    <w:pitch w:val="default"/>
    <w:sig w:usb0="8000006F" w:usb1="1200FBEF" w:usb2="0064C000" w:usb3="00000002" w:csb0="00000001" w:csb1="4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id="Line 12" o:spid="_x0000_s1026" o:spt="20" style="position:absolute;left:0pt;margin-left:10.55pt;margin-top:5.5pt;height:0pt;width:448.45pt;z-index:251655168;mso-width-relative:page;mso-height-relative:page;" filled="f" stroked="t" coordsize="21600,21600" o:gfxdata="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Hgsp9MAAAAI&#10;AQAADwAAAAAAAAABACAAAAAiAAAAZHJzL2Rvd25yZXYueG1sUEsBAhQAFAAAAAgAh07iQJANzSev&#10;AQAAUgMAAA4AAAAAAAAAAQAgAAAAIgEAAGRycy9lMm9Eb2MueG1sUEsFBgAAAAAGAAYAWQEAAEMF&#10;AAAAAA==&#10;">
              <v:fill on="f" focussize="0,0"/>
              <v:stroke color="#000000" joinstyle="round"/>
              <v:imagedata o:title=""/>
              <o:lock v:ext="edit" aspectratio="f"/>
            </v:line>
          </w:pict>
        </mc:Fallback>
      </mc:AlternateContent>
    </w:r>
  </w:p>
  <w:p>
    <w:pPr>
      <w:pStyle w:val="4"/>
      <w:jc w:val="center"/>
      <w:rPr>
        <w:rFonts w:ascii="微软雅黑" w:hAnsi="微软雅黑" w:eastAsia="微软雅黑"/>
      </w:rPr>
    </w:pPr>
    <w:r>
      <w:rPr>
        <w:rFonts w:hint="eastAsia" w:ascii="微软雅黑" w:hAnsi="微软雅黑" w:eastAsia="微软雅黑"/>
      </w:rPr>
      <w:t>上海帕迪企业管理咨询有限公司</w:t>
    </w:r>
    <w:r>
      <w:rPr>
        <w:rFonts w:ascii="微软雅黑" w:hAnsi="微软雅黑" w:eastAsia="微软雅黑"/>
      </w:rPr>
      <w:t xml:space="preserve"> </w:t>
    </w:r>
    <w:r>
      <w:rPr>
        <w:rFonts w:hint="eastAsia" w:ascii="微软雅黑" w:hAnsi="微软雅黑" w:eastAsia="微软雅黑"/>
      </w:rPr>
      <w:t xml:space="preserve">021-51036580  </w:t>
    </w:r>
    <w:r>
      <w:rPr>
        <w:rFonts w:ascii="微软雅黑" w:hAnsi="微软雅黑" w:eastAsia="微软雅黑"/>
      </w:rPr>
      <w:t>18917655637</w:t>
    </w:r>
  </w:p>
  <w:p>
    <w:pPr>
      <w:pStyle w:val="4"/>
      <w:jc w:val="center"/>
      <w:rPr>
        <w:rFonts w:ascii="微软雅黑" w:hAnsi="微软雅黑" w:eastAsia="微软雅黑"/>
        <w:lang w:val="fr-FR"/>
      </w:rPr>
    </w:pPr>
    <w:r>
      <w:rPr>
        <w:rFonts w:hint="eastAsia" w:ascii="微软雅黑" w:hAnsi="微软雅黑" w:eastAsia="微软雅黑"/>
        <w:lang w:val="fr-FR"/>
      </w:rPr>
      <w:t>Email: Training@021px.com   www.021px.com  www.sino-pardi.com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 w:lineRule="auto"/>
      <w:jc w:val="center"/>
      <w:rPr>
        <w:rFonts w:ascii="微软雅黑" w:hAnsi="微软雅黑" w:eastAsia="微软雅黑"/>
      </w:rPr>
    </w:pPr>
    <w:r>
      <w:drawing>
        <wp:anchor distT="0" distB="0" distL="114300" distR="114300" simplePos="0" relativeHeight="251661312" behindDoc="1" locked="0" layoutInCell="1" allowOverlap="1">
          <wp:simplePos x="0" y="0"/>
          <wp:positionH relativeFrom="margin">
            <wp:posOffset>4856480</wp:posOffset>
          </wp:positionH>
          <wp:positionV relativeFrom="paragraph">
            <wp:posOffset>-257175</wp:posOffset>
          </wp:positionV>
          <wp:extent cx="1317625" cy="421640"/>
          <wp:effectExtent l="0" t="0" r="0" b="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7625" cy="421640"/>
                  </a:xfrm>
                  <a:prstGeom prst="rect">
                    <a:avLst/>
                  </a:prstGeom>
                </pic:spPr>
              </pic:pic>
            </a:graphicData>
          </a:graphic>
        </wp:anchor>
      </w:drawing>
    </w:r>
    <w:r>
      <w:drawing>
        <wp:anchor distT="0" distB="0" distL="114300" distR="114300" simplePos="0" relativeHeight="251660288" behindDoc="1" locked="0" layoutInCell="1" allowOverlap="1">
          <wp:simplePos x="0" y="0"/>
          <wp:positionH relativeFrom="margin">
            <wp:posOffset>22860</wp:posOffset>
          </wp:positionH>
          <wp:positionV relativeFrom="paragraph">
            <wp:posOffset>-247650</wp:posOffset>
          </wp:positionV>
          <wp:extent cx="1190625" cy="388620"/>
          <wp:effectExtent l="0" t="0" r="9525" b="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0625" cy="388620"/>
                  </a:xfrm>
                  <a:prstGeom prst="rect">
                    <a:avLst/>
                  </a:prstGeom>
                </pic:spPr>
              </pic:pic>
            </a:graphicData>
          </a:graphic>
        </wp:anchor>
      </w:drawing>
    </w:r>
    <w:r>
      <mc:AlternateContent>
        <mc:Choice Requires="wps">
          <w:drawing>
            <wp:anchor distT="91440" distB="91440" distL="114300" distR="114300" simplePos="0" relativeHeight="251662336" behindDoc="0" locked="0" layoutInCell="1" allowOverlap="1">
              <wp:simplePos x="0" y="0"/>
              <wp:positionH relativeFrom="page">
                <wp:posOffset>1990725</wp:posOffset>
              </wp:positionH>
              <wp:positionV relativeFrom="paragraph">
                <wp:posOffset>-187960</wp:posOffset>
              </wp:positionV>
              <wp:extent cx="3337560" cy="1403985"/>
              <wp:effectExtent l="0" t="0" r="0" b="0"/>
              <wp:wrapTopAndBottom/>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37560" cy="1403985"/>
                      </a:xfrm>
                      <a:prstGeom prst="rect">
                        <a:avLst/>
                      </a:prstGeom>
                      <a:noFill/>
                      <a:ln w="9525">
                        <a:noFill/>
                        <a:miter lim="800000"/>
                      </a:ln>
                    </wps:spPr>
                    <wps:txbx>
                      <w:txbxContent>
                        <w:p>
                          <w:pPr>
                            <w:jc w:val="center"/>
                            <w:rPr>
                              <w:i/>
                              <w:iCs/>
                              <w:color w:val="4F81BD" w:themeColor="accent1"/>
                              <w:sz w:val="24"/>
                              <w14:textFill>
                                <w14:solidFill>
                                  <w14:schemeClr w14:val="accent1"/>
                                </w14:solidFill>
                              </w14:textFill>
                            </w:rPr>
                          </w:pPr>
                          <w:r>
                            <w:rPr>
                              <w:rFonts w:hint="eastAsia" w:ascii="微软雅黑" w:hAnsi="微软雅黑" w:eastAsia="微软雅黑"/>
                            </w:rPr>
                            <w:t>专注采购</w:t>
                          </w:r>
                          <w:r>
                            <w:rPr>
                              <w:rFonts w:ascii="微软雅黑" w:hAnsi="微软雅黑" w:eastAsia="微软雅黑"/>
                            </w:rPr>
                            <w:t>与供应链培训</w:t>
                          </w:r>
                          <w:r>
                            <w:rPr>
                              <w:rFonts w:hint="eastAsia" w:ascii="微软雅黑" w:hAnsi="微软雅黑" w:eastAsia="微软雅黑"/>
                            </w:rPr>
                            <w:t>与认证</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56.75pt;margin-top:-14.8pt;height:110.55pt;width:262.8pt;mso-position-horizontal-relative:page;mso-wrap-distance-bottom:7.2pt;mso-wrap-distance-top:7.2pt;z-index:251662336;mso-width-relative:page;mso-height-relative:margin;mso-height-percent:200;" filled="f" stroked="f" coordsize="21600,21600" o:gfxdata="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wRCq9kAAAALAQAADwAAAAAAAAABACAA&#10;AAAiAAAAZHJzL2Rvd25yZXYueG1sUEsBAhQAFAAAAAgAh07iQOnGQ1wMAgAA3gMAAA4AAAAAAAAA&#10;AQAgAAAAKAEAAGRycy9lMm9Eb2MueG1sUEsFBgAAAAAGAAYAWQEAAKYFAAAAAA==&#10;">
              <v:fill on="f" focussize="0,0"/>
              <v:stroke on="f" miterlimit="8" joinstyle="miter"/>
              <v:imagedata o:title=""/>
              <o:lock v:ext="edit" aspectratio="f"/>
              <v:textbox style="mso-fit-shape-to-text:t;">
                <w:txbxContent>
                  <w:p>
                    <w:pPr>
                      <w:jc w:val="center"/>
                      <w:rPr>
                        <w:i/>
                        <w:iCs/>
                        <w:color w:val="4F81BD" w:themeColor="accent1"/>
                        <w:sz w:val="24"/>
                        <w14:textFill>
                          <w14:solidFill>
                            <w14:schemeClr w14:val="accent1"/>
                          </w14:solidFill>
                        </w14:textFill>
                      </w:rPr>
                    </w:pPr>
                    <w:r>
                      <w:rPr>
                        <w:rFonts w:hint="eastAsia" w:ascii="微软雅黑" w:hAnsi="微软雅黑" w:eastAsia="微软雅黑"/>
                      </w:rPr>
                      <w:t>专注采购</w:t>
                    </w:r>
                    <w:r>
                      <w:rPr>
                        <w:rFonts w:ascii="微软雅黑" w:hAnsi="微软雅黑" w:eastAsia="微软雅黑"/>
                      </w:rPr>
                      <w:t>与供应链培训</w:t>
                    </w:r>
                    <w:r>
                      <w:rPr>
                        <w:rFonts w:hint="eastAsia" w:ascii="微软雅黑" w:hAnsi="微软雅黑" w:eastAsia="微软雅黑"/>
                      </w:rPr>
                      <w:t>与认证</w:t>
                    </w:r>
                  </w:p>
                </w:txbxContent>
              </v:textbox>
              <w10:wrap type="topAndBottom"/>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165100</wp:posOffset>
              </wp:positionV>
              <wp:extent cx="6200775" cy="1905"/>
              <wp:effectExtent l="0" t="0" r="28575" b="36195"/>
              <wp:wrapNone/>
              <wp:docPr id="4" name="直接连接符 4"/>
              <wp:cNvGraphicFramePr/>
              <a:graphic xmlns:a="http://schemas.openxmlformats.org/drawingml/2006/main">
                <a:graphicData uri="http://schemas.microsoft.com/office/word/2010/wordprocessingShape">
                  <wps:wsp>
                    <wps:cNvCnPr/>
                    <wps:spPr>
                      <a:xfrm>
                        <a:off x="0" y="0"/>
                        <a:ext cx="6200775"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pt;margin-top:13pt;height:0.15pt;width:488.25pt;z-index:251659264;mso-width-relative:page;mso-height-relative:page;" filled="f" stroked="t" coordsize="21600,21600" o:gfxdata="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NXA7NUAAAAHAQAADwAAAAAAAAABACAA&#10;AAAiAAAAZHJzL2Rvd25yZXYueG1sUEsBAhQAFAAAAAgAh07iQIz7K2zXAQAAiAMAAA4AAAAAAAAA&#10;AQAgAAAAJAEAAGRycy9lMm9Eb2MueG1sUEsFBgAAAAAGAAYAWQEAAG0FAAAAAA==&#10;">
              <v:fill on="f" focussize="0,0"/>
              <v:stroke color="#000000 [32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1FF566"/>
    <w:multiLevelType w:val="singleLevel"/>
    <w:tmpl w:val="8C1FF566"/>
    <w:lvl w:ilvl="0" w:tentative="0">
      <w:start w:val="1"/>
      <w:numFmt w:val="decimal"/>
      <w:lvlText w:val="%1."/>
      <w:lvlJc w:val="left"/>
      <w:pPr>
        <w:ind w:left="425" w:hanging="425"/>
      </w:pPr>
      <w:rPr>
        <w:rFonts w:hint="default"/>
      </w:rPr>
    </w:lvl>
  </w:abstractNum>
  <w:abstractNum w:abstractNumId="1">
    <w:nsid w:val="AA0C6AEC"/>
    <w:multiLevelType w:val="singleLevel"/>
    <w:tmpl w:val="AA0C6AEC"/>
    <w:lvl w:ilvl="0" w:tentative="0">
      <w:start w:val="1"/>
      <w:numFmt w:val="bullet"/>
      <w:lvlText w:val=""/>
      <w:lvlJc w:val="left"/>
      <w:pPr>
        <w:ind w:left="420" w:hanging="420"/>
      </w:pPr>
      <w:rPr>
        <w:rFonts w:hint="default" w:ascii="Wingdings" w:hAnsi="Wingdings"/>
      </w:rPr>
    </w:lvl>
  </w:abstractNum>
  <w:abstractNum w:abstractNumId="2">
    <w:nsid w:val="C3CF6AD3"/>
    <w:multiLevelType w:val="singleLevel"/>
    <w:tmpl w:val="C3CF6AD3"/>
    <w:lvl w:ilvl="0" w:tentative="0">
      <w:start w:val="1"/>
      <w:numFmt w:val="bullet"/>
      <w:lvlText w:val=""/>
      <w:lvlJc w:val="left"/>
      <w:pPr>
        <w:ind w:left="420" w:hanging="420"/>
      </w:pPr>
      <w:rPr>
        <w:rFonts w:hint="default" w:ascii="Wingdings" w:hAnsi="Wingdings"/>
      </w:rPr>
    </w:lvl>
  </w:abstractNum>
  <w:abstractNum w:abstractNumId="3">
    <w:nsid w:val="C8E73BB4"/>
    <w:multiLevelType w:val="singleLevel"/>
    <w:tmpl w:val="C8E73BB4"/>
    <w:lvl w:ilvl="0" w:tentative="0">
      <w:start w:val="1"/>
      <w:numFmt w:val="bullet"/>
      <w:lvlText w:val=""/>
      <w:lvlJc w:val="left"/>
      <w:pPr>
        <w:ind w:left="420" w:hanging="420"/>
      </w:pPr>
      <w:rPr>
        <w:rFonts w:hint="default" w:ascii="Wingdings" w:hAnsi="Wingdings"/>
      </w:rPr>
    </w:lvl>
  </w:abstractNum>
  <w:abstractNum w:abstractNumId="4">
    <w:nsid w:val="06E0684E"/>
    <w:multiLevelType w:val="multilevel"/>
    <w:tmpl w:val="06E0684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2765C2D1"/>
    <w:multiLevelType w:val="singleLevel"/>
    <w:tmpl w:val="2765C2D1"/>
    <w:lvl w:ilvl="0" w:tentative="0">
      <w:start w:val="1"/>
      <w:numFmt w:val="bullet"/>
      <w:lvlText w:val=""/>
      <w:lvlJc w:val="left"/>
      <w:pPr>
        <w:ind w:left="420" w:hanging="420"/>
      </w:pPr>
      <w:rPr>
        <w:rFonts w:hint="default" w:ascii="Wingdings" w:hAnsi="Wingdings"/>
      </w:rPr>
    </w:lvl>
  </w:abstractNum>
  <w:abstractNum w:abstractNumId="6">
    <w:nsid w:val="35A96401"/>
    <w:multiLevelType w:val="multilevel"/>
    <w:tmpl w:val="35A964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CD3296F"/>
    <w:multiLevelType w:val="multilevel"/>
    <w:tmpl w:val="3CD3296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12E7ECD"/>
    <w:multiLevelType w:val="multilevel"/>
    <w:tmpl w:val="612E7EC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531358E"/>
    <w:multiLevelType w:val="singleLevel"/>
    <w:tmpl w:val="6531358E"/>
    <w:lvl w:ilvl="0" w:tentative="0">
      <w:start w:val="1"/>
      <w:numFmt w:val="bullet"/>
      <w:lvlText w:val=""/>
      <w:lvlJc w:val="left"/>
      <w:pPr>
        <w:ind w:left="420" w:hanging="420"/>
      </w:pPr>
      <w:rPr>
        <w:rFonts w:hint="default" w:ascii="Wingdings" w:hAnsi="Wingdings"/>
      </w:rPr>
    </w:lvl>
  </w:abstractNum>
  <w:abstractNum w:abstractNumId="10">
    <w:nsid w:val="65F14CB9"/>
    <w:multiLevelType w:val="singleLevel"/>
    <w:tmpl w:val="65F14CB9"/>
    <w:lvl w:ilvl="0" w:tentative="0">
      <w:start w:val="1"/>
      <w:numFmt w:val="bullet"/>
      <w:lvlText w:val=""/>
      <w:lvlJc w:val="left"/>
      <w:pPr>
        <w:ind w:left="420" w:hanging="420"/>
      </w:pPr>
      <w:rPr>
        <w:rFonts w:hint="default" w:ascii="Wingdings" w:hAnsi="Wingdings"/>
      </w:rPr>
    </w:lvl>
  </w:abstractNum>
  <w:abstractNum w:abstractNumId="11">
    <w:nsid w:val="6ECD5915"/>
    <w:multiLevelType w:val="singleLevel"/>
    <w:tmpl w:val="6ECD5915"/>
    <w:lvl w:ilvl="0" w:tentative="0">
      <w:start w:val="1"/>
      <w:numFmt w:val="decimal"/>
      <w:lvlText w:val="%1."/>
      <w:lvlJc w:val="left"/>
      <w:pPr>
        <w:ind w:left="425" w:hanging="425"/>
      </w:pPr>
      <w:rPr>
        <w:rFonts w:hint="default"/>
      </w:rPr>
    </w:lvl>
  </w:abstractNum>
  <w:num w:numId="1">
    <w:abstractNumId w:val="11"/>
  </w:num>
  <w:num w:numId="2">
    <w:abstractNumId w:val="8"/>
  </w:num>
  <w:num w:numId="3">
    <w:abstractNumId w:val="9"/>
  </w:num>
  <w:num w:numId="4">
    <w:abstractNumId w:val="2"/>
  </w:num>
  <w:num w:numId="5">
    <w:abstractNumId w:val="6"/>
  </w:num>
  <w:num w:numId="6">
    <w:abstractNumId w:val="10"/>
  </w:num>
  <w:num w:numId="7">
    <w:abstractNumId w:val="0"/>
  </w:num>
  <w:num w:numId="8">
    <w:abstractNumId w:val="7"/>
  </w:num>
  <w:num w:numId="9">
    <w:abstractNumId w:val="5"/>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1B"/>
    <w:rsid w:val="00000BFD"/>
    <w:rsid w:val="00000EC9"/>
    <w:rsid w:val="00001618"/>
    <w:rsid w:val="00002C68"/>
    <w:rsid w:val="000133C0"/>
    <w:rsid w:val="0001481B"/>
    <w:rsid w:val="00014A2B"/>
    <w:rsid w:val="00015B8C"/>
    <w:rsid w:val="00021E9E"/>
    <w:rsid w:val="0003098F"/>
    <w:rsid w:val="00031BBA"/>
    <w:rsid w:val="000436F4"/>
    <w:rsid w:val="00043B28"/>
    <w:rsid w:val="00045A18"/>
    <w:rsid w:val="00047B63"/>
    <w:rsid w:val="0005482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5A5A"/>
    <w:rsid w:val="000F7635"/>
    <w:rsid w:val="001019E9"/>
    <w:rsid w:val="00103477"/>
    <w:rsid w:val="0010747E"/>
    <w:rsid w:val="00110C41"/>
    <w:rsid w:val="00112685"/>
    <w:rsid w:val="001140EC"/>
    <w:rsid w:val="00115466"/>
    <w:rsid w:val="001178B7"/>
    <w:rsid w:val="001214C6"/>
    <w:rsid w:val="00126244"/>
    <w:rsid w:val="0012768C"/>
    <w:rsid w:val="0013155D"/>
    <w:rsid w:val="00133D1D"/>
    <w:rsid w:val="00137DD0"/>
    <w:rsid w:val="001440D0"/>
    <w:rsid w:val="00147C16"/>
    <w:rsid w:val="00151461"/>
    <w:rsid w:val="00153B1E"/>
    <w:rsid w:val="00162C95"/>
    <w:rsid w:val="00164BBB"/>
    <w:rsid w:val="001745BD"/>
    <w:rsid w:val="00176CF2"/>
    <w:rsid w:val="001819AB"/>
    <w:rsid w:val="00181AE7"/>
    <w:rsid w:val="00194294"/>
    <w:rsid w:val="00194472"/>
    <w:rsid w:val="00195E06"/>
    <w:rsid w:val="001A258B"/>
    <w:rsid w:val="001A48C5"/>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1EDF"/>
    <w:rsid w:val="002051A7"/>
    <w:rsid w:val="002075A3"/>
    <w:rsid w:val="00213AAF"/>
    <w:rsid w:val="00214AE8"/>
    <w:rsid w:val="0022029A"/>
    <w:rsid w:val="00223AE2"/>
    <w:rsid w:val="00231590"/>
    <w:rsid w:val="0023193E"/>
    <w:rsid w:val="00232DFB"/>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3135"/>
    <w:rsid w:val="00334292"/>
    <w:rsid w:val="00336100"/>
    <w:rsid w:val="00341925"/>
    <w:rsid w:val="00341F39"/>
    <w:rsid w:val="00351B98"/>
    <w:rsid w:val="00352B4D"/>
    <w:rsid w:val="00365D38"/>
    <w:rsid w:val="0036610F"/>
    <w:rsid w:val="003706EF"/>
    <w:rsid w:val="00370CC2"/>
    <w:rsid w:val="0037216F"/>
    <w:rsid w:val="00372DF6"/>
    <w:rsid w:val="00375B80"/>
    <w:rsid w:val="00380817"/>
    <w:rsid w:val="003814E7"/>
    <w:rsid w:val="00383423"/>
    <w:rsid w:val="00387BBA"/>
    <w:rsid w:val="00387FA5"/>
    <w:rsid w:val="00390B6E"/>
    <w:rsid w:val="00392029"/>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0F81"/>
    <w:rsid w:val="00431B10"/>
    <w:rsid w:val="004404DA"/>
    <w:rsid w:val="00442E93"/>
    <w:rsid w:val="00443533"/>
    <w:rsid w:val="004437A8"/>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82F98"/>
    <w:rsid w:val="00485775"/>
    <w:rsid w:val="004900B5"/>
    <w:rsid w:val="0049247C"/>
    <w:rsid w:val="00494D3F"/>
    <w:rsid w:val="004A31D0"/>
    <w:rsid w:val="004A7773"/>
    <w:rsid w:val="004B37D3"/>
    <w:rsid w:val="004B391D"/>
    <w:rsid w:val="004B4B82"/>
    <w:rsid w:val="004B6E19"/>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20A70"/>
    <w:rsid w:val="00521C44"/>
    <w:rsid w:val="00531173"/>
    <w:rsid w:val="005323B5"/>
    <w:rsid w:val="00533E15"/>
    <w:rsid w:val="00534DD6"/>
    <w:rsid w:val="00535335"/>
    <w:rsid w:val="00540285"/>
    <w:rsid w:val="005404B5"/>
    <w:rsid w:val="00541C2E"/>
    <w:rsid w:val="00542E46"/>
    <w:rsid w:val="0054532C"/>
    <w:rsid w:val="00546864"/>
    <w:rsid w:val="00546B86"/>
    <w:rsid w:val="00552D78"/>
    <w:rsid w:val="005531C5"/>
    <w:rsid w:val="00553E3B"/>
    <w:rsid w:val="005562A1"/>
    <w:rsid w:val="00562CB3"/>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E6799"/>
    <w:rsid w:val="005E77F4"/>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37783"/>
    <w:rsid w:val="006415CB"/>
    <w:rsid w:val="006424D6"/>
    <w:rsid w:val="00643F7D"/>
    <w:rsid w:val="00647E7B"/>
    <w:rsid w:val="0065225A"/>
    <w:rsid w:val="00654F17"/>
    <w:rsid w:val="00654F63"/>
    <w:rsid w:val="00655DAF"/>
    <w:rsid w:val="006613EE"/>
    <w:rsid w:val="00665C2A"/>
    <w:rsid w:val="0067158D"/>
    <w:rsid w:val="006722CF"/>
    <w:rsid w:val="00673EF1"/>
    <w:rsid w:val="00675EB1"/>
    <w:rsid w:val="00685873"/>
    <w:rsid w:val="006962CA"/>
    <w:rsid w:val="006A407A"/>
    <w:rsid w:val="006A47B6"/>
    <w:rsid w:val="006A5DF1"/>
    <w:rsid w:val="006A712C"/>
    <w:rsid w:val="006B20B4"/>
    <w:rsid w:val="006B2B5F"/>
    <w:rsid w:val="006B511E"/>
    <w:rsid w:val="006B67AA"/>
    <w:rsid w:val="006C103E"/>
    <w:rsid w:val="006C7E48"/>
    <w:rsid w:val="006D16AC"/>
    <w:rsid w:val="006D6EC4"/>
    <w:rsid w:val="006D7F83"/>
    <w:rsid w:val="006E0CC4"/>
    <w:rsid w:val="006E11CB"/>
    <w:rsid w:val="006E18E1"/>
    <w:rsid w:val="006E548C"/>
    <w:rsid w:val="006E5C19"/>
    <w:rsid w:val="006E7250"/>
    <w:rsid w:val="006E770D"/>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7C72"/>
    <w:rsid w:val="00752852"/>
    <w:rsid w:val="00763D49"/>
    <w:rsid w:val="00766722"/>
    <w:rsid w:val="00771E54"/>
    <w:rsid w:val="007759A9"/>
    <w:rsid w:val="0078266A"/>
    <w:rsid w:val="0078274F"/>
    <w:rsid w:val="00787A68"/>
    <w:rsid w:val="00792A90"/>
    <w:rsid w:val="00795D65"/>
    <w:rsid w:val="007A0DEB"/>
    <w:rsid w:val="007A2C78"/>
    <w:rsid w:val="007A2D21"/>
    <w:rsid w:val="007B19E6"/>
    <w:rsid w:val="007B275E"/>
    <w:rsid w:val="007B5A65"/>
    <w:rsid w:val="007C3F5B"/>
    <w:rsid w:val="007C4B64"/>
    <w:rsid w:val="007C511D"/>
    <w:rsid w:val="007D2493"/>
    <w:rsid w:val="007D33F0"/>
    <w:rsid w:val="007D3FAB"/>
    <w:rsid w:val="007D4679"/>
    <w:rsid w:val="007D62D5"/>
    <w:rsid w:val="007D75AE"/>
    <w:rsid w:val="007E0FF3"/>
    <w:rsid w:val="007E5218"/>
    <w:rsid w:val="007E70D2"/>
    <w:rsid w:val="007E7F88"/>
    <w:rsid w:val="007F5567"/>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172"/>
    <w:rsid w:val="0084247B"/>
    <w:rsid w:val="0084673B"/>
    <w:rsid w:val="00850F8A"/>
    <w:rsid w:val="00851668"/>
    <w:rsid w:val="00861FAF"/>
    <w:rsid w:val="00862620"/>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67F7"/>
    <w:rsid w:val="008F0FA0"/>
    <w:rsid w:val="008F7A77"/>
    <w:rsid w:val="0090253E"/>
    <w:rsid w:val="00902F28"/>
    <w:rsid w:val="00913711"/>
    <w:rsid w:val="009148C5"/>
    <w:rsid w:val="009166CA"/>
    <w:rsid w:val="0091712D"/>
    <w:rsid w:val="009209E9"/>
    <w:rsid w:val="00921911"/>
    <w:rsid w:val="0092265E"/>
    <w:rsid w:val="00922D33"/>
    <w:rsid w:val="00925ACF"/>
    <w:rsid w:val="009277C9"/>
    <w:rsid w:val="00927897"/>
    <w:rsid w:val="00927FE5"/>
    <w:rsid w:val="009315D5"/>
    <w:rsid w:val="009320E2"/>
    <w:rsid w:val="009339B7"/>
    <w:rsid w:val="00935D90"/>
    <w:rsid w:val="00942DAE"/>
    <w:rsid w:val="00942E74"/>
    <w:rsid w:val="0094470B"/>
    <w:rsid w:val="00945479"/>
    <w:rsid w:val="00954A25"/>
    <w:rsid w:val="00956A61"/>
    <w:rsid w:val="009579B2"/>
    <w:rsid w:val="009602EC"/>
    <w:rsid w:val="00963858"/>
    <w:rsid w:val="00965A57"/>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21F86"/>
    <w:rsid w:val="00A2215A"/>
    <w:rsid w:val="00A22AFD"/>
    <w:rsid w:val="00A24400"/>
    <w:rsid w:val="00A27438"/>
    <w:rsid w:val="00A27448"/>
    <w:rsid w:val="00A340F2"/>
    <w:rsid w:val="00A41AF1"/>
    <w:rsid w:val="00A42C59"/>
    <w:rsid w:val="00A43974"/>
    <w:rsid w:val="00A44EFE"/>
    <w:rsid w:val="00A4748D"/>
    <w:rsid w:val="00A50634"/>
    <w:rsid w:val="00A50A41"/>
    <w:rsid w:val="00A50A6D"/>
    <w:rsid w:val="00A53B00"/>
    <w:rsid w:val="00A573F0"/>
    <w:rsid w:val="00A57569"/>
    <w:rsid w:val="00A60903"/>
    <w:rsid w:val="00A618A3"/>
    <w:rsid w:val="00A63412"/>
    <w:rsid w:val="00A722D2"/>
    <w:rsid w:val="00A73106"/>
    <w:rsid w:val="00A75630"/>
    <w:rsid w:val="00A81275"/>
    <w:rsid w:val="00A856E5"/>
    <w:rsid w:val="00A862EB"/>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92936"/>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D2116"/>
    <w:rsid w:val="00BD3419"/>
    <w:rsid w:val="00BD4F7C"/>
    <w:rsid w:val="00BD6066"/>
    <w:rsid w:val="00BE0B10"/>
    <w:rsid w:val="00BE1D3D"/>
    <w:rsid w:val="00BE2627"/>
    <w:rsid w:val="00BF58C3"/>
    <w:rsid w:val="00BF6866"/>
    <w:rsid w:val="00C025B5"/>
    <w:rsid w:val="00C13815"/>
    <w:rsid w:val="00C14843"/>
    <w:rsid w:val="00C157C2"/>
    <w:rsid w:val="00C15B4C"/>
    <w:rsid w:val="00C2118B"/>
    <w:rsid w:val="00C26684"/>
    <w:rsid w:val="00C27D52"/>
    <w:rsid w:val="00C36D0F"/>
    <w:rsid w:val="00C40355"/>
    <w:rsid w:val="00C4067F"/>
    <w:rsid w:val="00C45A06"/>
    <w:rsid w:val="00C46215"/>
    <w:rsid w:val="00C46BC9"/>
    <w:rsid w:val="00C548AE"/>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09EA"/>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3AA3"/>
    <w:rsid w:val="00D66BBB"/>
    <w:rsid w:val="00D67DD3"/>
    <w:rsid w:val="00D771E9"/>
    <w:rsid w:val="00D811B4"/>
    <w:rsid w:val="00D82C18"/>
    <w:rsid w:val="00D838DB"/>
    <w:rsid w:val="00D8778D"/>
    <w:rsid w:val="00D91A96"/>
    <w:rsid w:val="00D975F4"/>
    <w:rsid w:val="00DA33F6"/>
    <w:rsid w:val="00DA3F0C"/>
    <w:rsid w:val="00DA667E"/>
    <w:rsid w:val="00DB0C1A"/>
    <w:rsid w:val="00DB44DC"/>
    <w:rsid w:val="00DB4F35"/>
    <w:rsid w:val="00DC00EA"/>
    <w:rsid w:val="00DE0FEE"/>
    <w:rsid w:val="00DE11CF"/>
    <w:rsid w:val="00DE2ED8"/>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66EAB"/>
    <w:rsid w:val="00E71E21"/>
    <w:rsid w:val="00E7252D"/>
    <w:rsid w:val="00E731B5"/>
    <w:rsid w:val="00E7322D"/>
    <w:rsid w:val="00E74E68"/>
    <w:rsid w:val="00E81179"/>
    <w:rsid w:val="00E859C8"/>
    <w:rsid w:val="00E86D0C"/>
    <w:rsid w:val="00E92FC7"/>
    <w:rsid w:val="00E947DA"/>
    <w:rsid w:val="00E96B80"/>
    <w:rsid w:val="00E96DCC"/>
    <w:rsid w:val="00EA0BE7"/>
    <w:rsid w:val="00EA20C6"/>
    <w:rsid w:val="00EA3C68"/>
    <w:rsid w:val="00EA60B2"/>
    <w:rsid w:val="00EB0886"/>
    <w:rsid w:val="00EB15AA"/>
    <w:rsid w:val="00EB1E0C"/>
    <w:rsid w:val="00EB2987"/>
    <w:rsid w:val="00EC129B"/>
    <w:rsid w:val="00EC40CB"/>
    <w:rsid w:val="00EC664D"/>
    <w:rsid w:val="00ED04C3"/>
    <w:rsid w:val="00ED46EC"/>
    <w:rsid w:val="00ED753A"/>
    <w:rsid w:val="00EE25C8"/>
    <w:rsid w:val="00EE2DBF"/>
    <w:rsid w:val="00EE4D0A"/>
    <w:rsid w:val="00EE5202"/>
    <w:rsid w:val="00EE5EE0"/>
    <w:rsid w:val="00EF3504"/>
    <w:rsid w:val="00EF3646"/>
    <w:rsid w:val="00EF560E"/>
    <w:rsid w:val="00F02461"/>
    <w:rsid w:val="00F02A23"/>
    <w:rsid w:val="00F043C2"/>
    <w:rsid w:val="00F0552C"/>
    <w:rsid w:val="00F100A2"/>
    <w:rsid w:val="00F16A83"/>
    <w:rsid w:val="00F202E1"/>
    <w:rsid w:val="00F221D9"/>
    <w:rsid w:val="00F264ED"/>
    <w:rsid w:val="00F3263F"/>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7616A"/>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 w:val="02AC7B0A"/>
    <w:rsid w:val="04D37931"/>
    <w:rsid w:val="2C8236C8"/>
    <w:rsid w:val="32C801D7"/>
    <w:rsid w:val="33D542BF"/>
    <w:rsid w:val="40DB7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opacity="24248f" focussize="0,0"/>
      <v:stroke weight="1pt" color="#993300" dashstyle="1 1"/>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360" w:lineRule="auto"/>
      <w:ind w:firstLine="630" w:firstLineChars="300"/>
    </w:pPr>
    <w:rPr>
      <w:rFonts w:ascii="仿宋_GB2312" w:hAnsi="宋体" w:eastAsia="仿宋_GB2312"/>
    </w:rPr>
  </w:style>
  <w:style w:type="paragraph" w:styleId="3">
    <w:name w:val="Balloon Text"/>
    <w:basedOn w:val="1"/>
    <w:link w:val="2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18"/>
      <w:szCs w:val="18"/>
    </w:rPr>
  </w:style>
  <w:style w:type="character" w:styleId="8">
    <w:name w:val="Strong"/>
    <w:qFormat/>
    <w:uiPriority w:val="22"/>
    <w:rPr>
      <w:b/>
      <w:bCs/>
    </w:rPr>
  </w:style>
  <w:style w:type="character" w:styleId="9">
    <w:name w:val="page number"/>
    <w:basedOn w:val="7"/>
    <w:qFormat/>
    <w:uiPriority w:val="0"/>
  </w:style>
  <w:style w:type="character" w:styleId="10">
    <w:name w:val="Hyperlink"/>
    <w:qFormat/>
    <w:uiPriority w:val="0"/>
    <w:rPr>
      <w:color w:val="0000FF"/>
      <w:u w:val="single"/>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4">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6">
    <w:name w:val="bigstyle4"/>
    <w:basedOn w:val="7"/>
    <w:qFormat/>
    <w:uiPriority w:val="0"/>
  </w:style>
  <w:style w:type="paragraph" w:customStyle="1" w:styleId="17">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
    <w:name w:val="Char Char 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9">
    <w:name w:val="样式 四号 加粗 自定义颜(RGB(45102145)) 下划线 图案: 15% (自动设置 前景 白色 背景)"/>
    <w:qFormat/>
    <w:uiPriority w:val="0"/>
    <w:rPr>
      <w:b/>
      <w:bCs/>
      <w:color w:val="FFFFFF"/>
      <w:spacing w:val="28"/>
      <w:sz w:val="28"/>
      <w:szCs w:val="28"/>
      <w:u w:val="single"/>
    </w:rPr>
  </w:style>
  <w:style w:type="paragraph" w:customStyle="1" w:styleId="20">
    <w:name w:val="Char Char Char Char1"/>
    <w:basedOn w:val="1"/>
    <w:qFormat/>
    <w:uiPriority w:val="0"/>
    <w:pPr>
      <w:widowControl/>
      <w:spacing w:after="160" w:line="240" w:lineRule="exact"/>
      <w:jc w:val="left"/>
    </w:pPr>
    <w:rPr>
      <w:szCs w:val="20"/>
    </w:rPr>
  </w:style>
  <w:style w:type="paragraph" w:customStyle="1" w:styleId="21">
    <w:name w:val="p1"/>
    <w:basedOn w:val="1"/>
    <w:qFormat/>
    <w:uiPriority w:val="0"/>
    <w:pPr>
      <w:widowControl/>
      <w:spacing w:before="100" w:beforeAutospacing="1" w:after="100" w:afterAutospacing="1"/>
      <w:jc w:val="left"/>
    </w:pPr>
    <w:rPr>
      <w:rFonts w:ascii="宋体" w:hAnsi="宋体"/>
      <w:kern w:val="0"/>
      <w:sz w:val="24"/>
      <w:szCs w:val="20"/>
    </w:rPr>
  </w:style>
  <w:style w:type="character" w:customStyle="1" w:styleId="22">
    <w:name w:val="批注框文本 字符"/>
    <w:basedOn w:val="7"/>
    <w:link w:val="3"/>
    <w:qFormat/>
    <w:uiPriority w:val="0"/>
    <w:rPr>
      <w:kern w:val="2"/>
      <w:sz w:val="18"/>
      <w:szCs w:val="18"/>
    </w:rPr>
  </w:style>
  <w:style w:type="paragraph" w:styleId="23">
    <w:name w:val="List Paragraph"/>
    <w:basedOn w:val="1"/>
    <w:qFormat/>
    <w:uiPriority w:val="34"/>
    <w:pPr>
      <w:ind w:firstLine="420" w:firstLineChars="200"/>
    </w:pPr>
  </w:style>
  <w:style w:type="paragraph" w:customStyle="1" w:styleId="24">
    <w:name w:val="Char Char 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5">
    <w:name w:val="Normal_2"/>
    <w:basedOn w:val="1"/>
    <w:qFormat/>
    <w:uiPriority w:val="0"/>
    <w:pPr>
      <w:spacing w:line="360" w:lineRule="exact"/>
    </w:pPr>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4F47F8-85B1-4567-97CE-85BED27CD663}">
  <ds:schemaRefs/>
</ds:datastoreItem>
</file>

<file path=docProps/app.xml><?xml version="1.0" encoding="utf-8"?>
<Properties xmlns="http://schemas.openxmlformats.org/officeDocument/2006/extended-properties" xmlns:vt="http://schemas.openxmlformats.org/officeDocument/2006/docPropsVTypes">
  <Template>Normal</Template>
  <Pages>1</Pages>
  <Words>375</Words>
  <Characters>2139</Characters>
  <Lines>17</Lines>
  <Paragraphs>5</Paragraphs>
  <TotalTime>48</TotalTime>
  <ScaleCrop>false</ScaleCrop>
  <LinksUpToDate>false</LinksUpToDate>
  <CharactersWithSpaces>2509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2014-12-01T08:48:00Z</dcterms:created>
  <dc:creator>帕迪咨询</dc:creator>
  <cp:lastModifiedBy>Administrator</cp:lastModifiedBy>
  <cp:lastPrinted>2007-07-25T08:25:00Z</cp:lastPrinted>
  <dcterms:modified xsi:type="dcterms:W3CDTF">2019-11-23T03:51:40Z</dcterms:modified>
  <dc:title>帕迪课程</dc:title>
  <cp:revision>195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