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B5B7" w14:textId="1E5ACEB5" w:rsidR="00DC2A42" w:rsidRPr="00DC2A42" w:rsidRDefault="00DC2A42" w:rsidP="00DC2A42">
      <w:pPr>
        <w:pStyle w:val="1"/>
        <w:jc w:val="center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商品归类</w:t>
      </w:r>
      <w:r w:rsidR="00FA451F">
        <w:rPr>
          <w:rFonts w:ascii="微软雅黑" w:eastAsia="微软雅黑" w:hAnsi="微软雅黑" w:hint="eastAsia"/>
        </w:rPr>
        <w:t>技巧</w:t>
      </w:r>
      <w:r w:rsidRPr="00DC2A42">
        <w:rPr>
          <w:rFonts w:ascii="微软雅黑" w:eastAsia="微软雅黑" w:hAnsi="微软雅黑" w:hint="eastAsia"/>
        </w:rPr>
        <w:t>及归类争议</w:t>
      </w:r>
      <w:r w:rsidR="00FA451F">
        <w:rPr>
          <w:rFonts w:ascii="微软雅黑" w:eastAsia="微软雅黑" w:hAnsi="微软雅黑" w:hint="eastAsia"/>
        </w:rPr>
        <w:t>线上直播课</w:t>
      </w:r>
    </w:p>
    <w:p w14:paraId="77F7477E" w14:textId="77777777" w:rsidR="00FA451F" w:rsidRDefault="00514D02" w:rsidP="00FA451F">
      <w:pPr>
        <w:snapToGrid w:val="0"/>
        <w:rPr>
          <w:rFonts w:ascii="宋体" w:hAnsi="宋体"/>
          <w:b/>
          <w:szCs w:val="21"/>
        </w:rPr>
      </w:pPr>
      <w:r w:rsidRPr="00FA451F">
        <w:rPr>
          <w:rFonts w:ascii="微软雅黑" w:eastAsia="微软雅黑" w:hAnsi="微软雅黑" w:hint="eastAsia"/>
          <w:b/>
          <w:bCs/>
        </w:rPr>
        <w:t>培训时间：</w:t>
      </w:r>
      <w:r w:rsidR="001D4E00" w:rsidRPr="00514D02">
        <w:rPr>
          <w:rFonts w:ascii="微软雅黑" w:eastAsia="微软雅黑" w:hAnsi="微软雅黑"/>
        </w:rPr>
        <w:t xml:space="preserve"> </w:t>
      </w:r>
      <w:r w:rsidR="00FA451F" w:rsidRPr="00FA451F">
        <w:rPr>
          <w:rFonts w:ascii="微软雅黑" w:eastAsia="微软雅黑" w:hAnsi="微软雅黑" w:hint="eastAsia"/>
          <w:color w:val="00B0F0"/>
        </w:rPr>
        <w:t>第一节5月19-20日每晚19:00-20:30</w:t>
      </w:r>
      <w:r w:rsidR="00FA451F" w:rsidRPr="00FA451F">
        <w:rPr>
          <w:rFonts w:ascii="宋体" w:hAnsi="宋体" w:hint="eastAsia"/>
          <w:b/>
          <w:color w:val="00B0F0"/>
          <w:szCs w:val="21"/>
        </w:rPr>
        <w:t xml:space="preserve">   </w:t>
      </w:r>
      <w:r w:rsidR="00FA451F">
        <w:rPr>
          <w:rFonts w:ascii="宋体" w:hAnsi="宋体" w:hint="eastAsia"/>
          <w:b/>
          <w:szCs w:val="21"/>
        </w:rPr>
        <w:t xml:space="preserve">    </w:t>
      </w:r>
    </w:p>
    <w:p w14:paraId="2828BA91" w14:textId="3D8A2697" w:rsidR="00FA451F" w:rsidRPr="00FA451F" w:rsidRDefault="00FA451F" w:rsidP="00FA451F">
      <w:pPr>
        <w:snapToGrid w:val="0"/>
        <w:ind w:firstLineChars="550" w:firstLine="1155"/>
        <w:rPr>
          <w:rFonts w:ascii="微软雅黑" w:eastAsia="微软雅黑" w:hAnsi="微软雅黑"/>
          <w:color w:val="00B0F0"/>
        </w:rPr>
      </w:pPr>
      <w:r w:rsidRPr="00FA451F">
        <w:rPr>
          <w:rFonts w:ascii="微软雅黑" w:eastAsia="微软雅黑" w:hAnsi="微软雅黑" w:hint="eastAsia"/>
          <w:color w:val="00B0F0"/>
        </w:rPr>
        <w:t>第二节5月26-27日,每晚19:00-20:30</w:t>
      </w:r>
    </w:p>
    <w:p w14:paraId="068417C8" w14:textId="39514AEB" w:rsidR="00DC2A42" w:rsidRDefault="00DC2A42" w:rsidP="00DC2A42">
      <w:pPr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 w:hint="eastAsia"/>
          <w:b/>
          <w:bCs/>
        </w:rPr>
        <w:t>参会对象</w:t>
      </w:r>
      <w:r w:rsidRPr="00FA451F">
        <w:rPr>
          <w:rFonts w:ascii="微软雅黑" w:eastAsia="微软雅黑" w:hAnsi="微软雅黑"/>
          <w:b/>
          <w:bCs/>
        </w:rPr>
        <w:t xml:space="preserve">: </w:t>
      </w:r>
      <w:r w:rsidR="00FA451F" w:rsidRPr="00FA451F">
        <w:rPr>
          <w:rFonts w:ascii="微软雅黑" w:eastAsia="微软雅黑" w:hAnsi="微软雅黑" w:hint="eastAsia"/>
        </w:rPr>
        <w:t>（一）企业管理层</w:t>
      </w:r>
      <w:r w:rsidR="00FA451F" w:rsidRPr="00FA451F">
        <w:rPr>
          <w:rFonts w:ascii="微软雅黑" w:eastAsia="微软雅黑" w:hAnsi="微软雅黑"/>
        </w:rPr>
        <w:t>/公司高管、合</w:t>
      </w:r>
      <w:proofErr w:type="gramStart"/>
      <w:r w:rsidR="00FA451F" w:rsidRPr="00FA451F">
        <w:rPr>
          <w:rFonts w:ascii="微软雅黑" w:eastAsia="微软雅黑" w:hAnsi="微软雅黑"/>
        </w:rPr>
        <w:t>规</w:t>
      </w:r>
      <w:proofErr w:type="gramEnd"/>
      <w:r w:rsidR="00FA451F" w:rsidRPr="00FA451F">
        <w:rPr>
          <w:rFonts w:ascii="微软雅黑" w:eastAsia="微软雅黑" w:hAnsi="微软雅黑"/>
        </w:rPr>
        <w:t>经理、进出口部门经理、采购经理、物流经理、财务经理、关务主管、项目主管及其他相关人员。</w:t>
      </w:r>
    </w:p>
    <w:p w14:paraId="5E3F1F7A" w14:textId="77777777" w:rsidR="00FA451F" w:rsidRPr="00FA451F" w:rsidRDefault="00FA451F" w:rsidP="00FA451F">
      <w:pPr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 w:hint="eastAsia"/>
          <w:b/>
          <w:bCs/>
        </w:rPr>
        <w:t>内容的实用性：</w:t>
      </w:r>
      <w:r w:rsidRPr="00FA451F">
        <w:rPr>
          <w:rFonts w:ascii="微软雅黑" w:eastAsia="微软雅黑" w:hAnsi="微软雅黑" w:hint="eastAsia"/>
        </w:rPr>
        <w:t>讲授和分享商品归类海关管理和实务操作技巧，对企业的关务工作提供切实的指导和帮助；</w:t>
      </w:r>
    </w:p>
    <w:p w14:paraId="36A78335" w14:textId="77777777" w:rsidR="00FA451F" w:rsidRPr="00FA451F" w:rsidRDefault="00FA451F" w:rsidP="00FA451F">
      <w:pPr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 w:hint="eastAsia"/>
          <w:b/>
          <w:bCs/>
        </w:rPr>
        <w:t>讲解的实战性：</w:t>
      </w:r>
      <w:r w:rsidRPr="00FA451F">
        <w:rPr>
          <w:rFonts w:ascii="微软雅黑" w:eastAsia="微软雅黑" w:hAnsi="微软雅黑" w:hint="eastAsia"/>
        </w:rPr>
        <w:t>以企业日常经营活动中实际发生的典型案例来解析课程内容，以成功的经验解决学员实际工作中的难题；</w:t>
      </w:r>
    </w:p>
    <w:p w14:paraId="7EB3E1C0" w14:textId="536153B5" w:rsidR="00FA451F" w:rsidRPr="00FA451F" w:rsidRDefault="00FA451F" w:rsidP="00FA451F">
      <w:pPr>
        <w:snapToGrid w:val="0"/>
        <w:rPr>
          <w:rFonts w:ascii="微软雅黑" w:eastAsia="微软雅黑" w:hAnsi="微软雅黑" w:hint="eastAsia"/>
        </w:rPr>
      </w:pPr>
      <w:r w:rsidRPr="00FA451F">
        <w:rPr>
          <w:rFonts w:ascii="微软雅黑" w:eastAsia="微软雅黑" w:hAnsi="微软雅黑" w:hint="eastAsia"/>
          <w:b/>
          <w:bCs/>
        </w:rPr>
        <w:t>知识的系统性：</w:t>
      </w:r>
      <w:r w:rsidRPr="00FA451F">
        <w:rPr>
          <w:rFonts w:ascii="微软雅黑" w:eastAsia="微软雅黑" w:hAnsi="微软雅黑" w:hint="eastAsia"/>
        </w:rPr>
        <w:t>把握企业商品归类工作难点和盲点，让学员在全程案例教学过程中，充分理解和掌握海关商品归类的正确操作。</w:t>
      </w:r>
    </w:p>
    <w:p w14:paraId="1491039D" w14:textId="77777777" w:rsidR="00DC2A42" w:rsidRPr="00DC2A42" w:rsidRDefault="00DC2A42" w:rsidP="00DC2A42">
      <w:pPr>
        <w:snapToGrid w:val="0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报名方式</w:t>
      </w:r>
      <w:r w:rsidRPr="00DC2A42">
        <w:rPr>
          <w:rFonts w:ascii="微软雅黑" w:eastAsia="微软雅黑" w:hAnsi="微软雅黑"/>
        </w:rPr>
        <w:t>:  029-86111221   手机/微信：</w:t>
      </w:r>
      <w:r w:rsidR="006570B1">
        <w:rPr>
          <w:rFonts w:ascii="微软雅黑" w:eastAsia="微软雅黑" w:hAnsi="微软雅黑"/>
        </w:rPr>
        <w:t>180 9218 60</w:t>
      </w:r>
      <w:r w:rsidR="006570B1">
        <w:rPr>
          <w:rFonts w:ascii="微软雅黑" w:eastAsia="微软雅黑" w:hAnsi="微软雅黑" w:hint="eastAsia"/>
        </w:rPr>
        <w:t>88</w:t>
      </w:r>
      <w:r w:rsidR="006570B1">
        <w:rPr>
          <w:rFonts w:ascii="微软雅黑" w:eastAsia="微软雅黑" w:hAnsi="微软雅黑"/>
        </w:rPr>
        <w:t xml:space="preserve"> </w:t>
      </w:r>
      <w:r w:rsidR="006570B1">
        <w:rPr>
          <w:rFonts w:ascii="微软雅黑" w:eastAsia="微软雅黑" w:hAnsi="微软雅黑" w:hint="eastAsia"/>
        </w:rPr>
        <w:t>李悦</w:t>
      </w:r>
      <w:r w:rsidRPr="00DC2A42">
        <w:rPr>
          <w:rFonts w:ascii="微软雅黑" w:eastAsia="微软雅黑" w:hAnsi="微软雅黑"/>
        </w:rPr>
        <w:t xml:space="preserve">    在线QQ：</w:t>
      </w:r>
      <w:r w:rsidR="006570B1">
        <w:rPr>
          <w:rFonts w:ascii="微软雅黑" w:eastAsia="微软雅黑" w:hAnsi="微软雅黑" w:hint="eastAsia"/>
        </w:rPr>
        <w:t>164172961</w:t>
      </w:r>
    </w:p>
    <w:p w14:paraId="1A445B1B" w14:textId="74EC2586" w:rsidR="00DC2A42" w:rsidRPr="00DC2A42" w:rsidRDefault="00FA451F" w:rsidP="00DC2A42">
      <w:pPr>
        <w:pStyle w:val="a7"/>
        <w:snapToGrid w:val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 w:val="0"/>
          <w:bCs w:val="0"/>
          <w:noProof/>
          <w:kern w:val="2"/>
          <w:sz w:val="21"/>
          <w:szCs w:val="22"/>
        </w:rPr>
        <w:drawing>
          <wp:anchor distT="0" distB="0" distL="114300" distR="114300" simplePos="0" relativeHeight="251660288" behindDoc="0" locked="0" layoutInCell="1" allowOverlap="1" wp14:anchorId="6A8290B1" wp14:editId="02A73BBA">
            <wp:simplePos x="0" y="0"/>
            <wp:positionH relativeFrom="column">
              <wp:posOffset>5400675</wp:posOffset>
            </wp:positionH>
            <wp:positionV relativeFrom="paragraph">
              <wp:posOffset>640715</wp:posOffset>
            </wp:positionV>
            <wp:extent cx="1109345" cy="1402080"/>
            <wp:effectExtent l="0" t="0" r="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</w:rPr>
        <w:t>讲师介绍</w:t>
      </w:r>
    </w:p>
    <w:p w14:paraId="619BA75D" w14:textId="2DC4CBAB" w:rsidR="00FA451F" w:rsidRPr="00FA451F" w:rsidRDefault="00FA451F" w:rsidP="00FA451F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本次特邀海关专家：（</w:t>
      </w:r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Mr. Leon Wang）</w:t>
      </w:r>
    </w:p>
    <w:p w14:paraId="2B708004" w14:textId="77777777" w:rsidR="00FA451F" w:rsidRPr="00FA451F" w:rsidRDefault="00FA451F" w:rsidP="00FA451F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中国进出口海关事务、贸易合</w:t>
      </w:r>
      <w:proofErr w:type="gramStart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规</w:t>
      </w:r>
      <w:proofErr w:type="gramEnd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领域“实战派”关务专家，现任职于海关总署</w:t>
      </w:r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-上海海关学院，曾在上海海关工作；中国德国商会海关事务高级培训师、关务高级顾问；国内多家知名律师事务所、会计事务所海关事务高级顾问；同时为SHCC海关税收研究中心和关务研究中心专家组成员，中国海关学会会员。</w:t>
      </w:r>
    </w:p>
    <w:p w14:paraId="15EBDC24" w14:textId="77777777" w:rsidR="00FA451F" w:rsidRPr="00FA451F" w:rsidRDefault="00FA451F" w:rsidP="00FA451F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王老师主要从事中国关务研究、咨询与培训工作，如</w:t>
      </w:r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HS编码专业审核/专业咨询报告出具、价格申报确认/特许权使用费/转移定价审核、关务风险防控与内审、关务筹划与合</w:t>
      </w:r>
      <w:proofErr w:type="gramStart"/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规</w:t>
      </w:r>
      <w:proofErr w:type="gramEnd"/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管理、AEO高级认证辅导等；王老师长期利用自己的专业知识与实践经验为多家世界500强企业及国外商会提供进出口货物通关事务的培训与贸易合</w:t>
      </w:r>
      <w:proofErr w:type="gramStart"/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规</w:t>
      </w:r>
      <w:proofErr w:type="gramEnd"/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咨询工作；王老师长期致力于关务管理规律的总结和传播，他的培训亦是多年来不断学习和提炼的智慧凝结。王老师坚持选择对关务人员有针对性的实用内容，在培训过程中，精心设计大量案例，用形象通俗的语言来阐明相对枯燥的实务操作，内容</w:t>
      </w: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扎实，形式活泼，深受学员喜爱。</w:t>
      </w:r>
    </w:p>
    <w:p w14:paraId="14691DE2" w14:textId="77777777" w:rsidR="00FA451F" w:rsidRPr="00FA451F" w:rsidRDefault="00FA451F" w:rsidP="00FA451F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</w:p>
    <w:p w14:paraId="1FAC218C" w14:textId="77777777" w:rsidR="00FA451F" w:rsidRPr="00FA451F" w:rsidRDefault="00FA451F" w:rsidP="00FA451F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曾服务过企业</w:t>
      </w:r>
      <w:r w:rsidRPr="00FA451F"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  <w:t>&amp;案例：</w:t>
      </w:r>
    </w:p>
    <w:p w14:paraId="298FC569" w14:textId="77777777" w:rsidR="00FA451F" w:rsidRPr="00FA451F" w:rsidRDefault="00FA451F" w:rsidP="00FA451F">
      <w:pPr>
        <w:pStyle w:val="a7"/>
        <w:snapToGrid w:val="0"/>
        <w:jc w:val="left"/>
        <w:rPr>
          <w:rFonts w:ascii="微软雅黑" w:eastAsia="微软雅黑" w:hAnsi="微软雅黑"/>
          <w:b w:val="0"/>
          <w:bCs w:val="0"/>
          <w:kern w:val="2"/>
          <w:sz w:val="21"/>
          <w:szCs w:val="22"/>
        </w:rPr>
      </w:pP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美国大使馆商务处、法国驻上海总领事馆商务处、博</w:t>
      </w:r>
      <w:proofErr w:type="gramStart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世</w:t>
      </w:r>
      <w:proofErr w:type="gramEnd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（中国）投资有限公司、金佰利（中国）有限公司、欧莱</w:t>
      </w:r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lastRenderedPageBreak/>
        <w:t>雅（中国）有限公司、爱</w:t>
      </w:r>
      <w:proofErr w:type="gramStart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玛仕</w:t>
      </w:r>
      <w:proofErr w:type="gramEnd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（中国）有限公司、罗地亚（中国）投资有限公司、科莱恩化工（中国）有限公司、日产（中国）投资有限公司、中国</w:t>
      </w:r>
      <w:proofErr w:type="gramStart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一</w:t>
      </w:r>
      <w:proofErr w:type="gramEnd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汽进出口有限公司、毕克化学技术咨询（上海）有限公司、苏州三星电子有限公司、</w:t>
      </w:r>
      <w:proofErr w:type="gramStart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圣戈班</w:t>
      </w:r>
      <w:proofErr w:type="gramEnd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研发（上海）有限公司、中国东风汽车进出口有限公司、</w:t>
      </w:r>
      <w:proofErr w:type="gramStart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堡盟电子</w:t>
      </w:r>
      <w:proofErr w:type="gramEnd"/>
      <w:r w:rsidRPr="00FA451F">
        <w:rPr>
          <w:rFonts w:ascii="微软雅黑" w:eastAsia="微软雅黑" w:hAnsi="微软雅黑" w:hint="eastAsia"/>
          <w:b w:val="0"/>
          <w:bCs w:val="0"/>
          <w:kern w:val="2"/>
          <w:sz w:val="21"/>
          <w:szCs w:val="22"/>
        </w:rPr>
        <w:t>（上海）有限公司、州）有限公司、大陆汽车系统（常熟）有限公司、苏州松下系统科技有限公司‥‥‥</w:t>
      </w:r>
    </w:p>
    <w:p w14:paraId="62A71BB6" w14:textId="1946FABB" w:rsidR="00DC2A42" w:rsidRPr="00DC2A42" w:rsidRDefault="00DC2A42" w:rsidP="00DC2A42">
      <w:pPr>
        <w:pStyle w:val="a7"/>
        <w:snapToGrid w:val="0"/>
        <w:jc w:val="left"/>
        <w:rPr>
          <w:rFonts w:ascii="微软雅黑" w:eastAsia="微软雅黑" w:hAnsi="微软雅黑"/>
        </w:rPr>
      </w:pPr>
      <w:r w:rsidRPr="00DC2A42">
        <w:rPr>
          <w:rFonts w:ascii="微软雅黑" w:eastAsia="微软雅黑" w:hAnsi="微软雅黑" w:hint="eastAsia"/>
        </w:rPr>
        <w:t>课程</w:t>
      </w:r>
      <w:r w:rsidR="00FA451F">
        <w:rPr>
          <w:rFonts w:ascii="微软雅黑" w:eastAsia="微软雅黑" w:hAnsi="微软雅黑" w:hint="eastAsia"/>
        </w:rPr>
        <w:t>内容</w:t>
      </w:r>
    </w:p>
    <w:p w14:paraId="469D6DE2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  <w:color w:val="00B0F0"/>
        </w:rPr>
      </w:pPr>
      <w:r w:rsidRPr="00FA451F">
        <w:rPr>
          <w:rFonts w:ascii="微软雅黑" w:eastAsia="微软雅黑" w:hAnsi="微软雅黑" w:hint="eastAsia"/>
          <w:color w:val="00B0F0"/>
        </w:rPr>
        <w:t>第一节、案例讲解：商品归类技巧方法及归类争议（汽车部件、零部件、机械行业篇）</w:t>
      </w:r>
    </w:p>
    <w:p w14:paraId="208D5A29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1.</w:t>
      </w:r>
      <w:r w:rsidRPr="00FA451F">
        <w:rPr>
          <w:rFonts w:ascii="微软雅黑" w:eastAsia="微软雅黑" w:hAnsi="微软雅黑"/>
        </w:rPr>
        <w:tab/>
        <w:t>归类总规则（第87章结构）的解析及运用</w:t>
      </w:r>
    </w:p>
    <w:p w14:paraId="69C88F50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2.</w:t>
      </w:r>
      <w:r w:rsidRPr="00FA451F">
        <w:rPr>
          <w:rFonts w:ascii="微软雅黑" w:eastAsia="微软雅黑" w:hAnsi="微软雅黑"/>
        </w:rPr>
        <w:tab/>
        <w:t>（汽车、零部件）商品税</w:t>
      </w:r>
      <w:proofErr w:type="gramStart"/>
      <w:r w:rsidRPr="00FA451F">
        <w:rPr>
          <w:rFonts w:ascii="微软雅黑" w:eastAsia="微软雅黑" w:hAnsi="微软雅黑"/>
        </w:rPr>
        <w:t>号确定</w:t>
      </w:r>
      <w:proofErr w:type="gramEnd"/>
      <w:r w:rsidRPr="00FA451F">
        <w:rPr>
          <w:rFonts w:ascii="微软雅黑" w:eastAsia="微软雅黑" w:hAnsi="微软雅黑"/>
        </w:rPr>
        <w:t>与情况说明书写要点</w:t>
      </w:r>
    </w:p>
    <w:p w14:paraId="4E2EE7A6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3.</w:t>
      </w:r>
      <w:r w:rsidRPr="00FA451F">
        <w:rPr>
          <w:rFonts w:ascii="微软雅黑" w:eastAsia="微软雅黑" w:hAnsi="微软雅黑"/>
        </w:rPr>
        <w:tab/>
        <w:t>（机电、机械）商品税</w:t>
      </w:r>
      <w:proofErr w:type="gramStart"/>
      <w:r w:rsidRPr="00FA451F">
        <w:rPr>
          <w:rFonts w:ascii="微软雅黑" w:eastAsia="微软雅黑" w:hAnsi="微软雅黑"/>
        </w:rPr>
        <w:t>号确定</w:t>
      </w:r>
      <w:proofErr w:type="gramEnd"/>
      <w:r w:rsidRPr="00FA451F">
        <w:rPr>
          <w:rFonts w:ascii="微软雅黑" w:eastAsia="微软雅黑" w:hAnsi="微软雅黑"/>
        </w:rPr>
        <w:t>与情况说明书写要点</w:t>
      </w:r>
    </w:p>
    <w:p w14:paraId="7879A13F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4.</w:t>
      </w:r>
      <w:r w:rsidRPr="00FA451F">
        <w:rPr>
          <w:rFonts w:ascii="微软雅黑" w:eastAsia="微软雅黑" w:hAnsi="微软雅黑"/>
        </w:rPr>
        <w:tab/>
      </w:r>
      <w:proofErr w:type="gramStart"/>
      <w:r w:rsidRPr="00FA451F">
        <w:rPr>
          <w:rFonts w:ascii="微软雅黑" w:eastAsia="微软雅黑" w:hAnsi="微软雅黑"/>
        </w:rPr>
        <w:t>贱</w:t>
      </w:r>
      <w:proofErr w:type="gramEnd"/>
      <w:r w:rsidRPr="00FA451F">
        <w:rPr>
          <w:rFonts w:ascii="微软雅黑" w:eastAsia="微软雅黑" w:hAnsi="微软雅黑"/>
        </w:rPr>
        <w:t>金属机器制品类归类方法与要点解析</w:t>
      </w:r>
    </w:p>
    <w:p w14:paraId="6D2BD4D6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5.</w:t>
      </w:r>
      <w:r w:rsidRPr="00FA451F">
        <w:rPr>
          <w:rFonts w:ascii="微软雅黑" w:eastAsia="微软雅黑" w:hAnsi="微软雅黑"/>
        </w:rPr>
        <w:tab/>
        <w:t>机械（84章）与电气产品（85章）归类精讲</w:t>
      </w:r>
    </w:p>
    <w:p w14:paraId="459105C3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6.</w:t>
      </w:r>
      <w:r w:rsidRPr="00FA451F">
        <w:rPr>
          <w:rFonts w:ascii="微软雅黑" w:eastAsia="微软雅黑" w:hAnsi="微软雅黑"/>
        </w:rPr>
        <w:tab/>
        <w:t>进出口机器零部件的归类思路及其操作技巧解析</w:t>
      </w:r>
    </w:p>
    <w:p w14:paraId="6796D298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7.</w:t>
      </w:r>
      <w:r w:rsidRPr="00FA451F">
        <w:rPr>
          <w:rFonts w:ascii="微软雅黑" w:eastAsia="微软雅黑" w:hAnsi="微软雅黑"/>
        </w:rPr>
        <w:tab/>
        <w:t>海关对组合机器和多功能机组的归类思路及现行的操作方法</w:t>
      </w:r>
    </w:p>
    <w:p w14:paraId="2019F95F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8.</w:t>
      </w:r>
      <w:r w:rsidRPr="00FA451F">
        <w:rPr>
          <w:rFonts w:ascii="微软雅黑" w:eastAsia="微软雅黑" w:hAnsi="微软雅黑"/>
        </w:rPr>
        <w:tab/>
        <w:t>零部件的“通用性”与“专用性”判断</w:t>
      </w:r>
    </w:p>
    <w:p w14:paraId="1F80776C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9.</w:t>
      </w:r>
      <w:r w:rsidRPr="00FA451F">
        <w:rPr>
          <w:rFonts w:ascii="微软雅黑" w:eastAsia="微软雅黑" w:hAnsi="微软雅黑"/>
        </w:rPr>
        <w:tab/>
        <w:t>汽车及其零部件的归类方法与要点解析</w:t>
      </w:r>
    </w:p>
    <w:p w14:paraId="1E722FC5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10.</w:t>
      </w:r>
      <w:r w:rsidRPr="00FA451F">
        <w:rPr>
          <w:rFonts w:ascii="微软雅黑" w:eastAsia="微软雅黑" w:hAnsi="微软雅黑"/>
        </w:rPr>
        <w:tab/>
        <w:t>进出口商品报验状态与商品归类筹划</w:t>
      </w:r>
    </w:p>
    <w:p w14:paraId="1D9F61A0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11.</w:t>
      </w:r>
      <w:r w:rsidRPr="00FA451F">
        <w:rPr>
          <w:rFonts w:ascii="微软雅黑" w:eastAsia="微软雅黑" w:hAnsi="微软雅黑"/>
        </w:rPr>
        <w:tab/>
        <w:t>商品税</w:t>
      </w:r>
      <w:proofErr w:type="gramStart"/>
      <w:r w:rsidRPr="00FA451F">
        <w:rPr>
          <w:rFonts w:ascii="微软雅黑" w:eastAsia="微软雅黑" w:hAnsi="微软雅黑"/>
        </w:rPr>
        <w:t>号确定</w:t>
      </w:r>
      <w:proofErr w:type="gramEnd"/>
      <w:r w:rsidRPr="00FA451F">
        <w:rPr>
          <w:rFonts w:ascii="微软雅黑" w:eastAsia="微软雅黑" w:hAnsi="微软雅黑"/>
        </w:rPr>
        <w:t>基本思路与解决路径选择</w:t>
      </w:r>
    </w:p>
    <w:p w14:paraId="27C221E7" w14:textId="56E0816A" w:rsidR="006570B1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12.</w:t>
      </w:r>
      <w:r w:rsidRPr="00FA451F">
        <w:rPr>
          <w:rFonts w:ascii="微软雅黑" w:eastAsia="微软雅黑" w:hAnsi="微软雅黑"/>
        </w:rPr>
        <w:tab/>
        <w:t>全国（区域）通关一体化商品税号的协调</w:t>
      </w:r>
    </w:p>
    <w:p w14:paraId="7DD1B285" w14:textId="77777777" w:rsidR="00FA451F" w:rsidRDefault="00FA451F" w:rsidP="00FA451F">
      <w:pPr>
        <w:widowControl/>
        <w:adjustRightInd w:val="0"/>
        <w:snapToGrid w:val="0"/>
        <w:rPr>
          <w:rFonts w:ascii="微软雅黑" w:eastAsia="微软雅黑" w:hAnsi="微软雅黑" w:hint="eastAsia"/>
        </w:rPr>
      </w:pPr>
    </w:p>
    <w:p w14:paraId="3ABB6B5D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  <w:color w:val="00B0F0"/>
        </w:rPr>
      </w:pPr>
      <w:r w:rsidRPr="00FA451F">
        <w:rPr>
          <w:rFonts w:ascii="微软雅黑" w:eastAsia="微软雅黑" w:hAnsi="微软雅黑" w:hint="eastAsia"/>
          <w:color w:val="00B0F0"/>
        </w:rPr>
        <w:t>第二节、案例讲解：商品归类技巧及归类争议（危化品、原料、化工行业篇）</w:t>
      </w:r>
    </w:p>
    <w:p w14:paraId="4312A926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1.</w:t>
      </w:r>
      <w:r w:rsidRPr="00FA451F">
        <w:rPr>
          <w:rFonts w:ascii="微软雅黑" w:eastAsia="微软雅黑" w:hAnsi="微软雅黑"/>
        </w:rPr>
        <w:tab/>
        <w:t>危、</w:t>
      </w:r>
      <w:proofErr w:type="gramStart"/>
      <w:r w:rsidRPr="00FA451F">
        <w:rPr>
          <w:rFonts w:ascii="微软雅黑" w:eastAsia="微软雅黑" w:hAnsi="微软雅黑"/>
        </w:rPr>
        <w:t>化品归类</w:t>
      </w:r>
      <w:proofErr w:type="gramEnd"/>
      <w:r w:rsidRPr="00FA451F">
        <w:rPr>
          <w:rFonts w:ascii="微软雅黑" w:eastAsia="微软雅黑" w:hAnsi="微软雅黑"/>
        </w:rPr>
        <w:t>总规则分类要素</w:t>
      </w:r>
    </w:p>
    <w:p w14:paraId="3DEFF2E4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2.</w:t>
      </w:r>
      <w:r w:rsidRPr="00FA451F">
        <w:rPr>
          <w:rFonts w:ascii="微软雅黑" w:eastAsia="微软雅黑" w:hAnsi="微软雅黑"/>
        </w:rPr>
        <w:tab/>
        <w:t>化工类商品申报规范及要求</w:t>
      </w:r>
    </w:p>
    <w:p w14:paraId="3945F7BC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3.</w:t>
      </w:r>
      <w:r w:rsidRPr="00FA451F">
        <w:rPr>
          <w:rFonts w:ascii="微软雅黑" w:eastAsia="微软雅黑" w:hAnsi="微软雅黑"/>
        </w:rPr>
        <w:tab/>
        <w:t>化工品归类方法与要点解析</w:t>
      </w:r>
    </w:p>
    <w:p w14:paraId="4C3DB825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4.</w:t>
      </w:r>
      <w:r w:rsidRPr="00FA451F">
        <w:rPr>
          <w:rFonts w:ascii="微软雅黑" w:eastAsia="微软雅黑" w:hAnsi="微软雅黑"/>
        </w:rPr>
        <w:tab/>
        <w:t>危化品、化工</w:t>
      </w:r>
      <w:proofErr w:type="gramStart"/>
      <w:r w:rsidRPr="00FA451F">
        <w:rPr>
          <w:rFonts w:ascii="微软雅黑" w:eastAsia="微软雅黑" w:hAnsi="微软雅黑"/>
        </w:rPr>
        <w:t>品商品</w:t>
      </w:r>
      <w:proofErr w:type="gramEnd"/>
      <w:r w:rsidRPr="00FA451F">
        <w:rPr>
          <w:rFonts w:ascii="微软雅黑" w:eastAsia="微软雅黑" w:hAnsi="微软雅黑"/>
        </w:rPr>
        <w:t>归类难点分析</w:t>
      </w:r>
    </w:p>
    <w:p w14:paraId="76CE3CE7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5.</w:t>
      </w:r>
      <w:r w:rsidRPr="00FA451F">
        <w:rPr>
          <w:rFonts w:ascii="微软雅黑" w:eastAsia="微软雅黑" w:hAnsi="微软雅黑"/>
        </w:rPr>
        <w:tab/>
        <w:t>海关化验与社会化验的辩证关系</w:t>
      </w:r>
    </w:p>
    <w:p w14:paraId="61036579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6.</w:t>
      </w:r>
      <w:r w:rsidRPr="00FA451F">
        <w:rPr>
          <w:rFonts w:ascii="微软雅黑" w:eastAsia="微软雅黑" w:hAnsi="微软雅黑"/>
        </w:rPr>
        <w:tab/>
        <w:t>海关化验的组织结构及其法律地位</w:t>
      </w:r>
    </w:p>
    <w:p w14:paraId="5A58C107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7.</w:t>
      </w:r>
      <w:r w:rsidRPr="00FA451F">
        <w:rPr>
          <w:rFonts w:ascii="微软雅黑" w:eastAsia="微软雅黑" w:hAnsi="微软雅黑"/>
        </w:rPr>
        <w:tab/>
        <w:t>海关化验工作流程及其管理相对人的权利和义务</w:t>
      </w:r>
    </w:p>
    <w:p w14:paraId="19F1FCDE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8.</w:t>
      </w:r>
      <w:r w:rsidRPr="00FA451F">
        <w:rPr>
          <w:rFonts w:ascii="微软雅黑" w:eastAsia="微软雅黑" w:hAnsi="微软雅黑"/>
        </w:rPr>
        <w:tab/>
        <w:t>共聚物、共混物、改性聚合物的归类技巧</w:t>
      </w:r>
    </w:p>
    <w:p w14:paraId="737E8386" w14:textId="77777777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9.</w:t>
      </w:r>
      <w:r w:rsidRPr="00FA451F">
        <w:rPr>
          <w:rFonts w:ascii="微软雅黑" w:eastAsia="微软雅黑" w:hAnsi="微软雅黑"/>
        </w:rPr>
        <w:tab/>
        <w:t>商品归类差错与不救措施</w:t>
      </w:r>
    </w:p>
    <w:p w14:paraId="48733553" w14:textId="57889255" w:rsidR="00FA451F" w:rsidRPr="00FA451F" w:rsidRDefault="00FA451F" w:rsidP="00FA451F">
      <w:pPr>
        <w:widowControl/>
        <w:adjustRightInd w:val="0"/>
        <w:snapToGrid w:val="0"/>
        <w:rPr>
          <w:rFonts w:ascii="微软雅黑" w:eastAsia="微软雅黑" w:hAnsi="微软雅黑"/>
        </w:rPr>
      </w:pPr>
      <w:r w:rsidRPr="00FA451F">
        <w:rPr>
          <w:rFonts w:ascii="微软雅黑" w:eastAsia="微软雅黑" w:hAnsi="微软雅黑"/>
        </w:rPr>
        <w:t>10.</w:t>
      </w:r>
      <w:r w:rsidRPr="00FA451F">
        <w:rPr>
          <w:rFonts w:ascii="微软雅黑" w:eastAsia="微软雅黑" w:hAnsi="微软雅黑"/>
        </w:rPr>
        <w:tab/>
        <w:t>危化品、化工行业出口相关政策、难点</w:t>
      </w:r>
    </w:p>
    <w:p w14:paraId="30F8F67F" w14:textId="77777777" w:rsidR="00FA451F" w:rsidRPr="00FA451F" w:rsidRDefault="00FA451F" w:rsidP="00FA451F">
      <w:pPr>
        <w:widowControl/>
        <w:adjustRightInd w:val="0"/>
        <w:snapToGrid w:val="0"/>
        <w:rPr>
          <w:rFonts w:ascii="等线" w:eastAsia="等线" w:hAnsi="等线" w:hint="eastAsia"/>
          <w:color w:val="0070C0"/>
          <w:w w:val="110"/>
          <w:kern w:val="0"/>
          <w:sz w:val="44"/>
          <w:szCs w:val="44"/>
        </w:rPr>
      </w:pPr>
    </w:p>
    <w:p w14:paraId="5D9B64DF" w14:textId="77777777" w:rsidR="006570B1" w:rsidRPr="00D1563E" w:rsidRDefault="006570B1" w:rsidP="006570B1">
      <w:pPr>
        <w:widowControl/>
        <w:adjustRightInd w:val="0"/>
        <w:snapToGrid w:val="0"/>
        <w:jc w:val="center"/>
        <w:rPr>
          <w:rFonts w:ascii="等线" w:eastAsia="等线" w:hAnsi="等线"/>
          <w:color w:val="0070C0"/>
          <w:w w:val="110"/>
          <w:kern w:val="0"/>
          <w:sz w:val="44"/>
          <w:szCs w:val="44"/>
        </w:rPr>
      </w:pPr>
      <w:r w:rsidRPr="00D1563E">
        <w:rPr>
          <w:rFonts w:ascii="等线" w:eastAsia="等线" w:hAnsi="等线" w:hint="eastAsia"/>
          <w:color w:val="0070C0"/>
          <w:w w:val="110"/>
          <w:kern w:val="0"/>
          <w:sz w:val="44"/>
          <w:szCs w:val="44"/>
        </w:rPr>
        <w:t>报 名 回 执 表</w:t>
      </w:r>
    </w:p>
    <w:p w14:paraId="2D79A391" w14:textId="77777777" w:rsidR="006570B1" w:rsidRPr="00D1563E" w:rsidRDefault="006570B1" w:rsidP="006570B1">
      <w:pPr>
        <w:widowControl/>
        <w:adjustRightInd w:val="0"/>
        <w:snapToGrid w:val="0"/>
        <w:jc w:val="center"/>
        <w:rPr>
          <w:rFonts w:ascii="等线" w:eastAsia="等线" w:hAnsi="等线"/>
          <w:color w:val="595959"/>
          <w:w w:val="110"/>
          <w:kern w:val="0"/>
          <w:sz w:val="44"/>
          <w:szCs w:val="44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6570B1" w:rsidRPr="00D1563E" w14:paraId="444654DB" w14:textId="77777777" w:rsidTr="00683B0B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14:paraId="2E84C260" w14:textId="77777777" w:rsidR="006570B1" w:rsidRPr="00D1563E" w:rsidRDefault="006570B1" w:rsidP="00683B0B">
            <w:pPr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lastRenderedPageBreak/>
              <w:t>报名回执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请发到：</w:t>
            </w:r>
            <w:hyperlink r:id="rId8" w:history="1">
              <w:r w:rsidRPr="00D1563E">
                <w:rPr>
                  <w:rStyle w:val="a9"/>
                  <w:rFonts w:ascii="等线" w:eastAsia="等线" w:hAnsi="等线"/>
                  <w:szCs w:val="21"/>
                </w:rPr>
                <w:t>wtt@wtt6.com</w:t>
              </w:r>
            </w:hyperlink>
            <w:r w:rsidRPr="00D1563E">
              <w:rPr>
                <w:rFonts w:ascii="等线" w:eastAsia="等线" w:hAnsi="等线"/>
                <w:color w:val="595959"/>
                <w:szCs w:val="21"/>
              </w:rPr>
              <w:t xml:space="preserve">                   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 xml:space="preserve"> 180</w:t>
            </w:r>
            <w:r w:rsidRPr="00D1563E">
              <w:rPr>
                <w:rFonts w:ascii="等线" w:eastAsia="等线" w:hAnsi="等线" w:cs="Arial"/>
                <w:color w:val="595959"/>
                <w:kern w:val="0"/>
                <w:szCs w:val="21"/>
              </w:rPr>
              <w:t xml:space="preserve"> 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9218</w:t>
            </w:r>
            <w:r w:rsidRPr="00D1563E">
              <w:rPr>
                <w:rFonts w:ascii="等线" w:eastAsia="等线" w:hAnsi="等线" w:cs="Arial"/>
                <w:color w:val="595959"/>
                <w:kern w:val="0"/>
                <w:szCs w:val="21"/>
              </w:rPr>
              <w:t xml:space="preserve"> 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60</w:t>
            </w:r>
            <w:r w:rsidR="007578A7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88</w:t>
            </w:r>
            <w:r w:rsidRPr="00D1563E">
              <w:rPr>
                <w:rFonts w:ascii="等线" w:eastAsia="等线" w:hAnsi="等线" w:cs="Arial"/>
                <w:color w:val="595959"/>
                <w:kern w:val="0"/>
                <w:szCs w:val="21"/>
              </w:rPr>
              <w:t xml:space="preserve"> 张诚</w:t>
            </w:r>
            <w:r w:rsidRPr="00D1563E">
              <w:rPr>
                <w:rFonts w:ascii="等线" w:eastAsia="等线" w:hAnsi="等线" w:cs="Arial" w:hint="eastAsia"/>
                <w:color w:val="595959"/>
                <w:kern w:val="0"/>
                <w:szCs w:val="21"/>
              </w:rPr>
              <w:t>（会务组收）</w:t>
            </w:r>
          </w:p>
          <w:p w14:paraId="3621A867" w14:textId="77777777" w:rsidR="006570B1" w:rsidRPr="00D1563E" w:rsidRDefault="006570B1" w:rsidP="00683B0B">
            <w:pPr>
              <w:snapToGrid w:val="0"/>
              <w:ind w:firstLineChars="200" w:firstLine="420"/>
              <w:rPr>
                <w:rFonts w:ascii="等线" w:eastAsia="等线" w:hAnsi="等线" w:cs="Arial"/>
                <w:b/>
                <w:bCs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我单位共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 ___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人确定报名参加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>_ 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月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__  _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日在</w:t>
            </w:r>
            <w:r w:rsidRPr="00D1563E"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 __     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举办的《</w:t>
            </w:r>
            <w:r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/>
                <w:color w:val="595959"/>
                <w:kern w:val="0"/>
                <w:szCs w:val="21"/>
              </w:rPr>
              <w:t xml:space="preserve">                                  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》培训班。</w:t>
            </w:r>
          </w:p>
        </w:tc>
      </w:tr>
      <w:tr w:rsidR="006570B1" w:rsidRPr="00D1563E" w14:paraId="4ABD6B9F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1C71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EE71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636FD513" w14:textId="77777777" w:rsidTr="00683B0B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54A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29E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F1A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220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53B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88C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68D21EAD" w14:textId="77777777" w:rsidTr="00683B0B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1803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0A5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6D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9DE" w14:textId="77777777" w:rsidR="006570B1" w:rsidRPr="00D1563E" w:rsidRDefault="006570B1" w:rsidP="00683B0B">
            <w:pPr>
              <w:adjustRightInd w:val="0"/>
              <w:snapToGrid w:val="0"/>
              <w:ind w:firstLineChars="50" w:firstLine="105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2D8" w14:textId="77777777" w:rsidR="006570B1" w:rsidRPr="00D1563E" w:rsidRDefault="006570B1" w:rsidP="00683B0B">
            <w:pPr>
              <w:adjustRightInd w:val="0"/>
              <w:snapToGrid w:val="0"/>
              <w:ind w:firstLineChars="200" w:firstLine="42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993" w14:textId="77777777" w:rsidR="006570B1" w:rsidRPr="00D1563E" w:rsidRDefault="006570B1" w:rsidP="00683B0B">
            <w:pPr>
              <w:adjustRightInd w:val="0"/>
              <w:snapToGrid w:val="0"/>
              <w:ind w:firstLineChars="700" w:firstLine="147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E-mail</w:t>
            </w:r>
          </w:p>
        </w:tc>
      </w:tr>
      <w:tr w:rsidR="006570B1" w:rsidRPr="00D1563E" w14:paraId="13886B2C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E7A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349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9FC1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67C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85C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2BF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0CDDA863" w14:textId="77777777" w:rsidTr="00683B0B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2C08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1FD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B14E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409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7A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B97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31DE336A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8561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28C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933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EA2A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08C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82AE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7F1D28FC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A0F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F0A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84F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3B46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A779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BE3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0DBE9831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FC3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B31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7F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FCC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B9D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1C18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</w:p>
        </w:tc>
      </w:tr>
      <w:tr w:rsidR="006570B1" w:rsidRPr="00D1563E" w14:paraId="524C6B28" w14:textId="77777777" w:rsidTr="00683B0B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09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7572" w14:textId="77777777" w:rsidR="006570B1" w:rsidRPr="00D1563E" w:rsidRDefault="006570B1" w:rsidP="00683B0B">
            <w:pPr>
              <w:snapToGrid w:val="0"/>
              <w:rPr>
                <w:rFonts w:ascii="等线" w:eastAsia="等线" w:hAnsi="等线"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□电汇 □现金 □支票 付款总金额</w:t>
            </w:r>
            <w:r w:rsidRPr="00D1563E">
              <w:rPr>
                <w:rFonts w:ascii="等线" w:eastAsia="等线" w:hAnsi="等线" w:hint="eastAsia"/>
                <w:color w:val="595959"/>
                <w:szCs w:val="21"/>
                <w:u w:val="single"/>
              </w:rPr>
              <w:t xml:space="preserve">：          </w:t>
            </w: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 xml:space="preserve"> （培训费、资料、讲义、合影、午餐、饮料、茶点）                                      </w:t>
            </w:r>
            <w:r w:rsidRPr="00D1563E">
              <w:rPr>
                <w:rFonts w:ascii="等线" w:eastAsia="等线" w:hAnsi="等线" w:hint="eastAsia"/>
                <w:b/>
                <w:noProof/>
                <w:color w:val="595959"/>
                <w:kern w:val="0"/>
                <w:szCs w:val="21"/>
              </w:rPr>
              <w:drawing>
                <wp:anchor distT="0" distB="0" distL="114300" distR="114300" simplePos="0" relativeHeight="251659264" behindDoc="1" locked="0" layoutInCell="1" allowOverlap="1" wp14:anchorId="231087F2" wp14:editId="4C3C0862">
                  <wp:simplePos x="0" y="0"/>
                  <wp:positionH relativeFrom="column">
                    <wp:posOffset>3107690</wp:posOffset>
                  </wp:positionH>
                  <wp:positionV relativeFrom="paragraph">
                    <wp:posOffset>73025</wp:posOffset>
                  </wp:positionV>
                  <wp:extent cx="1543050" cy="1457325"/>
                  <wp:effectExtent l="0" t="0" r="0" b="9525"/>
                  <wp:wrapNone/>
                  <wp:docPr id="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70B1" w:rsidRPr="00D1563E" w14:paraId="5AABE715" w14:textId="77777777" w:rsidTr="00683B0B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814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b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kern w:val="0"/>
                <w:szCs w:val="21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C59" w14:textId="77777777" w:rsidR="006570B1" w:rsidRPr="00D1563E" w:rsidRDefault="006570B1" w:rsidP="00683B0B">
            <w:pPr>
              <w:widowControl/>
              <w:adjustRightInd w:val="0"/>
              <w:snapToGrid w:val="0"/>
              <w:rPr>
                <w:rFonts w:ascii="等线" w:eastAsia="等线" w:hAnsi="等线"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预定：双人房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间；单人房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间，住宿时间：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月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至 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  <w:u w:val="single"/>
              </w:rPr>
              <w:t>__</w:t>
            </w:r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 xml:space="preserve"> 日(不用</w:t>
            </w:r>
            <w:proofErr w:type="gramStart"/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预定请留空</w:t>
            </w:r>
            <w:proofErr w:type="gramEnd"/>
            <w:r w:rsidRPr="00D1563E">
              <w:rPr>
                <w:rFonts w:ascii="等线" w:eastAsia="等线" w:hAnsi="等线" w:hint="eastAsia"/>
                <w:color w:val="595959"/>
                <w:kern w:val="0"/>
                <w:szCs w:val="21"/>
              </w:rPr>
              <w:t>)</w:t>
            </w:r>
          </w:p>
        </w:tc>
      </w:tr>
      <w:tr w:rsidR="006570B1" w:rsidRPr="00D1563E" w14:paraId="36406C16" w14:textId="77777777" w:rsidTr="00683B0B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5AD" w14:textId="77777777" w:rsidR="006570B1" w:rsidRPr="00D1563E" w:rsidRDefault="006570B1" w:rsidP="00683B0B">
            <w:pPr>
              <w:widowControl/>
              <w:adjustRightInd w:val="0"/>
              <w:snapToGrid w:val="0"/>
              <w:jc w:val="center"/>
              <w:rPr>
                <w:rFonts w:ascii="等线" w:eastAsia="等线" w:hAnsi="等线"/>
                <w:b/>
                <w:color w:val="595959"/>
                <w:kern w:val="0"/>
                <w:szCs w:val="21"/>
              </w:rPr>
            </w:pPr>
            <w:r w:rsidRPr="00D1563E">
              <w:rPr>
                <w:rFonts w:ascii="等线" w:eastAsia="等线" w:hAnsi="等线" w:hint="eastAsia"/>
                <w:b/>
                <w:color w:val="595959"/>
                <w:szCs w:val="21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417" w14:textId="77777777" w:rsidR="006570B1" w:rsidRPr="00D1563E" w:rsidRDefault="006570B1" w:rsidP="00683B0B">
            <w:pPr>
              <w:adjustRightInd w:val="0"/>
              <w:snapToGrid w:val="0"/>
              <w:spacing w:line="340" w:lineRule="exact"/>
              <w:rPr>
                <w:rFonts w:ascii="等线" w:eastAsia="等线" w:hAnsi="等线"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开户名：西安世商管理咨询有限公司</w:t>
            </w:r>
          </w:p>
          <w:p w14:paraId="4A2F82F7" w14:textId="77777777" w:rsidR="006570B1" w:rsidRPr="00D1563E" w:rsidRDefault="006570B1" w:rsidP="00683B0B">
            <w:pPr>
              <w:adjustRightInd w:val="0"/>
              <w:snapToGrid w:val="0"/>
              <w:spacing w:line="340" w:lineRule="exact"/>
              <w:rPr>
                <w:rFonts w:ascii="等线" w:eastAsia="等线" w:hAnsi="等线"/>
                <w:color w:val="595959"/>
                <w:szCs w:val="21"/>
              </w:rPr>
            </w:pPr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开户行：华夏银行西安经济技术开发区支行</w:t>
            </w:r>
          </w:p>
          <w:p w14:paraId="1BC02B0E" w14:textId="77777777" w:rsidR="006570B1" w:rsidRPr="00D1563E" w:rsidRDefault="006570B1" w:rsidP="00683B0B">
            <w:pPr>
              <w:snapToGrid w:val="0"/>
              <w:rPr>
                <w:rFonts w:ascii="等线" w:eastAsia="等线" w:hAnsi="等线"/>
                <w:color w:val="595959"/>
                <w:szCs w:val="21"/>
              </w:rPr>
            </w:pPr>
            <w:proofErr w:type="gramStart"/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>账</w:t>
            </w:r>
            <w:proofErr w:type="gramEnd"/>
            <w:r w:rsidRPr="00D1563E">
              <w:rPr>
                <w:rFonts w:ascii="等线" w:eastAsia="等线" w:hAnsi="等线" w:hint="eastAsia"/>
                <w:color w:val="595959"/>
                <w:szCs w:val="21"/>
              </w:rPr>
              <w:t xml:space="preserve">  户：5631 2000 0181 0200 0181 35</w:t>
            </w:r>
          </w:p>
        </w:tc>
      </w:tr>
    </w:tbl>
    <w:p w14:paraId="607F6414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      </w:t>
      </w:r>
      <w:r w:rsidRPr="00D1563E">
        <w:rPr>
          <w:rFonts w:ascii="等线" w:eastAsia="等线" w:hAnsi="等线" w:hint="eastAsia"/>
          <w:color w:val="595959"/>
          <w:szCs w:val="21"/>
        </w:rPr>
        <w:tab/>
      </w:r>
    </w:p>
    <w:p w14:paraId="122F362D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>开票信息；增值税普通发票□ /</w:t>
      </w:r>
      <w:r w:rsidRPr="00D1563E">
        <w:rPr>
          <w:rFonts w:ascii="等线" w:eastAsia="等线" w:hAnsi="等线"/>
          <w:color w:val="595959"/>
          <w:szCs w:val="21"/>
        </w:rPr>
        <w:t xml:space="preserve"> </w:t>
      </w:r>
      <w:r w:rsidRPr="00D1563E">
        <w:rPr>
          <w:rFonts w:ascii="等线" w:eastAsia="等线" w:hAnsi="等线" w:hint="eastAsia"/>
          <w:color w:val="595959"/>
          <w:szCs w:val="21"/>
        </w:rPr>
        <w:t>增值税专用发票□</w:t>
      </w:r>
    </w:p>
    <w:p w14:paraId="383E06D5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>发票抬头：</w:t>
      </w:r>
    </w:p>
    <w:p w14:paraId="3E98F2D8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开户银行： </w:t>
      </w:r>
    </w:p>
    <w:p w14:paraId="0CA91DAA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帐    号： </w:t>
      </w:r>
    </w:p>
    <w:p w14:paraId="4EE3CA64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税    号： </w:t>
      </w:r>
    </w:p>
    <w:p w14:paraId="13D82AAF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地    址： </w:t>
      </w:r>
    </w:p>
    <w:p w14:paraId="66EA3292" w14:textId="77777777" w:rsidR="006570B1" w:rsidRPr="00D1563E" w:rsidRDefault="006570B1" w:rsidP="006570B1">
      <w:pPr>
        <w:widowControl/>
        <w:snapToGrid w:val="0"/>
        <w:jc w:val="left"/>
        <w:rPr>
          <w:rFonts w:ascii="等线" w:eastAsia="等线" w:hAnsi="等线"/>
          <w:color w:val="595959"/>
          <w:szCs w:val="21"/>
        </w:rPr>
      </w:pPr>
      <w:r w:rsidRPr="00D1563E">
        <w:rPr>
          <w:rFonts w:ascii="等线" w:eastAsia="等线" w:hAnsi="等线" w:hint="eastAsia"/>
          <w:color w:val="595959"/>
          <w:szCs w:val="21"/>
        </w:rPr>
        <w:t xml:space="preserve">电    话： </w:t>
      </w:r>
    </w:p>
    <w:p w14:paraId="41A2F151" w14:textId="77777777" w:rsidR="00DC2A42" w:rsidRPr="006570B1" w:rsidRDefault="00DC2A42" w:rsidP="00DC2A42">
      <w:pPr>
        <w:snapToGrid w:val="0"/>
        <w:rPr>
          <w:rFonts w:ascii="微软雅黑" w:eastAsia="微软雅黑" w:hAnsi="微软雅黑"/>
        </w:rPr>
      </w:pPr>
    </w:p>
    <w:sectPr w:rsidR="00DC2A42" w:rsidRPr="006570B1" w:rsidSect="00BE7A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3FA8" w14:textId="77777777" w:rsidR="00FA2393" w:rsidRDefault="00FA2393" w:rsidP="00DC2A42">
      <w:r>
        <w:separator/>
      </w:r>
    </w:p>
  </w:endnote>
  <w:endnote w:type="continuationSeparator" w:id="0">
    <w:p w14:paraId="4E936E9E" w14:textId="77777777" w:rsidR="00FA2393" w:rsidRDefault="00FA2393" w:rsidP="00DC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E207" w14:textId="77777777" w:rsidR="00FA451F" w:rsidRDefault="00FA4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FDC4" w14:textId="77777777" w:rsidR="00FA451F" w:rsidRDefault="00FA45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B4E6" w14:textId="77777777" w:rsidR="00FA451F" w:rsidRDefault="00FA4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A956" w14:textId="77777777" w:rsidR="00FA2393" w:rsidRDefault="00FA2393" w:rsidP="00DC2A42">
      <w:r>
        <w:separator/>
      </w:r>
    </w:p>
  </w:footnote>
  <w:footnote w:type="continuationSeparator" w:id="0">
    <w:p w14:paraId="098744F0" w14:textId="77777777" w:rsidR="00FA2393" w:rsidRDefault="00FA2393" w:rsidP="00DC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8ED1A" w14:textId="77777777" w:rsidR="00FA451F" w:rsidRDefault="00FA451F" w:rsidP="00FA451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44D1C" w14:textId="77777777" w:rsidR="00FA451F" w:rsidRDefault="00FA451F" w:rsidP="00FA451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575C" w14:textId="77777777" w:rsidR="00FA451F" w:rsidRDefault="00FA4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465"/>
    <w:rsid w:val="00001423"/>
    <w:rsid w:val="00032BA6"/>
    <w:rsid w:val="001021D9"/>
    <w:rsid w:val="00131365"/>
    <w:rsid w:val="001366F5"/>
    <w:rsid w:val="001D4E00"/>
    <w:rsid w:val="00213D66"/>
    <w:rsid w:val="002D2412"/>
    <w:rsid w:val="00335243"/>
    <w:rsid w:val="0038052D"/>
    <w:rsid w:val="00391565"/>
    <w:rsid w:val="004230AB"/>
    <w:rsid w:val="0042426E"/>
    <w:rsid w:val="004568FD"/>
    <w:rsid w:val="00514D02"/>
    <w:rsid w:val="00583F99"/>
    <w:rsid w:val="00621C15"/>
    <w:rsid w:val="006570B1"/>
    <w:rsid w:val="006D1A8C"/>
    <w:rsid w:val="00750090"/>
    <w:rsid w:val="00754465"/>
    <w:rsid w:val="007578A7"/>
    <w:rsid w:val="007E787A"/>
    <w:rsid w:val="00825DDA"/>
    <w:rsid w:val="00835C7A"/>
    <w:rsid w:val="00857C39"/>
    <w:rsid w:val="00885CE3"/>
    <w:rsid w:val="00925EDE"/>
    <w:rsid w:val="00963646"/>
    <w:rsid w:val="009712EA"/>
    <w:rsid w:val="009756AC"/>
    <w:rsid w:val="009B534F"/>
    <w:rsid w:val="009E7E5E"/>
    <w:rsid w:val="00A1075B"/>
    <w:rsid w:val="00A566F7"/>
    <w:rsid w:val="00A7744E"/>
    <w:rsid w:val="00AA0C90"/>
    <w:rsid w:val="00B9527D"/>
    <w:rsid w:val="00BA6887"/>
    <w:rsid w:val="00BE7A88"/>
    <w:rsid w:val="00C41265"/>
    <w:rsid w:val="00CC0272"/>
    <w:rsid w:val="00CF621B"/>
    <w:rsid w:val="00D04345"/>
    <w:rsid w:val="00D27CE0"/>
    <w:rsid w:val="00D937BF"/>
    <w:rsid w:val="00DB5CC4"/>
    <w:rsid w:val="00DC2A42"/>
    <w:rsid w:val="00E3011C"/>
    <w:rsid w:val="00F17966"/>
    <w:rsid w:val="00F24A18"/>
    <w:rsid w:val="00F324E4"/>
    <w:rsid w:val="00F34545"/>
    <w:rsid w:val="00F36DEB"/>
    <w:rsid w:val="00F851AF"/>
    <w:rsid w:val="00F928BA"/>
    <w:rsid w:val="00F972B0"/>
    <w:rsid w:val="00FA2393"/>
    <w:rsid w:val="00FA451F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4713"/>
  <w15:chartTrackingRefBased/>
  <w15:docId w15:val="{E565DD44-BF64-49F7-ABA3-33392070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2A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A4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C2A42"/>
    <w:rPr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C2A4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DC2A42"/>
    <w:rPr>
      <w:b/>
      <w:bCs/>
      <w:kern w:val="28"/>
      <w:sz w:val="32"/>
      <w:szCs w:val="32"/>
    </w:rPr>
  </w:style>
  <w:style w:type="character" w:styleId="a9">
    <w:name w:val="Hyperlink"/>
    <w:uiPriority w:val="99"/>
    <w:unhideWhenUsed/>
    <w:rsid w:val="006570B1"/>
    <w:rPr>
      <w:color w:val="0000FF"/>
      <w:u w:val="single"/>
    </w:rPr>
  </w:style>
  <w:style w:type="paragraph" w:styleId="aa">
    <w:name w:val="No Spacing"/>
    <w:uiPriority w:val="1"/>
    <w:qFormat/>
    <w:rsid w:val="00FA451F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t@wtt6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8A06-4C0F-4ADD-BAEF-20DDB40B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故剑淘宝店</dc:creator>
  <cp:keywords/>
  <dc:description/>
  <cp:lastModifiedBy>微软</cp:lastModifiedBy>
  <cp:revision>2</cp:revision>
  <dcterms:created xsi:type="dcterms:W3CDTF">2020-04-29T03:06:00Z</dcterms:created>
  <dcterms:modified xsi:type="dcterms:W3CDTF">2020-04-29T03:06:00Z</dcterms:modified>
</cp:coreProperties>
</file>