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6.11-13 周四、周六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6.11-13 周四、周六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首席财务官高端实战班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首席财务官高端实战班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：黄海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（原世界500强企业首席财务官CFO）</w:t>
      </w:r>
    </w:p>
    <w:p>
      <w:pPr>
        <w:jc w:val="left"/>
        <w:rPr>
          <w:rFonts w:hint="eastAsia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郭伟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  <w:t>（历任税务局长、国内著名税务争议解决与危机处理专家）</w:t>
      </w:r>
    </w:p>
    <w:p>
      <w:pPr>
        <w:jc w:val="left"/>
        <w:rPr>
          <w:rFonts w:hint="default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林少刚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  <w:lang w:val="en-US" w:eastAsia="zh-CN"/>
        </w:rPr>
        <w:t>（中国注册会计师（CICPA）、创新型高端财务管理专家）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财务总监、经理、会计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18:00至20:00</w:t>
      </w:r>
    </w:p>
    <w:p>
      <w:pPr>
        <w:ind w:firstLine="1400" w:firstLineChars="5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ind w:firstLine="1400" w:firstLineChars="5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《全面预算与财务管理创新》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全面了解全面预算管理理念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全面了解全面预算的编制方法和要点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通过预算全面管理企业运作的方法及控制点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了解全面预算的全面管理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了解创新型财务创新模块及方法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《税务谋略与规划》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了解国家税制改革的方向以及对企业利润产生的影响，做好相应的准备；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把握过渡期纳税规划的方法，针对税制和税务机关的双重改革过程中可能发生的问题，构建健康的企业经营赢利管理新模式；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防范税务风险，提升税务筹划思考力，开拓安全纳税、合法节税新思维，合理合规降低税务成本，提高公司赢利水平。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《业财融合：财务如何为企业创造价值》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了解业财融合如何提升企业利润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了解业财融合是如何实施的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425" w:leftChars="0" w:hanging="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如何培养人员能力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《全面预算与财务管理创新》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全面预算管理已经成为现代企业的标准管理体系，是企业内部管理控制的一种主要方法。预算体系健全的企业，可以在年末即已可准确地预测到下一年的经营情况及经营成果，以达到股东会预期的业绩要求，并能未雨绸缪地提前调配相应的资源以保证预算的达成，当出现了如本次疫情类似的突发性变化时，公司可以及时灵活地调整预算，使公司的经营始终在有计划有控制地状态下运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此外，现代企业对对财务管理也提出了更高的要求，账房先生式的财务已退出历史舞台，取而代之的创新型的业财融合型的财务。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《税务谋略与规划》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 xml:space="preserve">    企业与个人的涉税规划是需要整体的去思考，这与拍一部影视剧的流程类似，它是一项非常复杂的系统工程。这其中的涉税痛点多多。列举如下：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企业与个人的收益是，劳动所得还是劳务所得，其中所对应的涉税规定也不尽相同。如何将收益方式多样化，细分化，并设置在多国，多地，避免被一网打尽是关键；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公司、合伙人、投资方、高管、其他人员、外包的合作伙伴……，群体不同，需求不同，架构也不同，所对应的涉税方案也具有多样性，如何以最小的代价获取最大的收益是关键；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股东个人消费与公司费用的划分；个人理财的思维方式与实现收入完整链条的思考；个人投融资的思考；财产传承的涉税关键点；如何与客户共同创造“税悟”价值；如何应对今后可能再次出现的税务稽查……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由于郭伟老师曾就职于税务局，并在二十九岁（1992年）任某地主管业务的税务局长，所以，“实战性、实用性”是贯穿课程的全部。课程的三大亮点：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一是、分析涉税政策出台的背景及如何运用，而不是“读文件”；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二是、把发生在其它公司或媒体关注的涉税案例，用通俗易懂的语言（画面）进行讲解，不是新闻播报式的只读不分析；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三是、把自己对客户的高端税务顾问服务、税务危机处理经验在课堂上进行分享，课堂上只负责教授如何进行涉税判断，是能力的提高，并非税务扫盲课程。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《业财融合：财务如何为企业创造价值》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  <w:t>中国经济新常态下，原材料、劳动力价格不断上升，竞争越趋激烈，利润越来越薄，如何降本增效，提高企业竞争力? 如何从企业内部挖潜提升绩效?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  <w:t>没有人可以对抗趋势，互联网经济已蓬勃发展，冲击到大量传统企业的生态环境，如何转型? 如何进行战略重构? 如何在进行产品服务和业务模式创新的同时，提升战略执行力?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default" w:cs="Times New Roman"/>
          <w:b w:val="0"/>
          <w:bCs/>
          <w:kern w:val="2"/>
          <w:sz w:val="21"/>
          <w:szCs w:val="22"/>
          <w:lang w:val="en-US" w:eastAsia="zh-CN" w:bidi="ar-SA"/>
        </w:rPr>
        <w:t>管理层迫切希望财务能切实承担起降本增效、支持经营决策的重责大任，但现实情况是相当多的财务人员精通财务专业知识，却不懂经营、管理、战略及价值创造之道，当财务与业务不在同一频道时，就发生了业财冲突，一句话，财务语言与业务语言无法沟通。华为任正非先生在给华为财务的多次谈话中均指出，财务人员对业务不熟悉，绝大多数华为财务人员无法画出华为的产品结构图，财务人员如果不想继续当低价值的账房先生，就要主动融入业务，“功夫在诗外”，财务人员迫切需要了解经营决策的本质，管理者的需求是什么？业财如何融合？如何创造价值？本课程将揭开答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第一天：</w:t>
      </w:r>
      <w:r>
        <w:rPr>
          <w:rFonts w:hint="eastAsia" w:cs="Times New Roman"/>
          <w:b/>
          <w:bCs w:val="0"/>
          <w:kern w:val="2"/>
          <w:sz w:val="21"/>
          <w:szCs w:val="22"/>
          <w:lang w:val="en-US" w:eastAsia="zh-CN" w:bidi="ar-SA"/>
        </w:rPr>
        <w:t>《全面预算与财务管理创新》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一、战略导向下的全面预算管理之“道” 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战略导向驱动全面预算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【案例】自娱自乐的预算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全面预算管理特点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全员参与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全过程管理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全面预算管理流程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预算编制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预算控制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预算分析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预算反馈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预算考核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【案例】轻松搞定“封建早朝式”预算管理委员会的问题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全面预算管理组织架构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组织机构构成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全面预算管理委员会及职责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预算基层单位及职责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全面预算编制依据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预算委员会下达的预算目标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公司历史最好水平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所在行业平均水平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所在行业最好水平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解决预算松驰的方法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【单元测试题】 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二、全面预算编制之“法”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定期预算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定期预算介绍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滚动预算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滚动预算介绍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增量预算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增量预算介绍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零基预算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零基预算介绍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弹性预算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弹性预算介绍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【案例】某企业弹性预算编制过程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概率预算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概率预算介绍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固定预算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固定预算介绍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适用范围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【单元测试题】根据各企业的主要特点选择最适用的预算方法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三、编制全面预算所需的前期数据及其取得途径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销售收入预测的主要方法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市场占有率推算法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IBM的WATERFALL预测法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IBM的销售订单预测法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客户咨询法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销售预测方法总结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【案例】三拍预算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【讨论】治愈预算目标懒惰的三级递进目标解决法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【案例】离夏威夷只剩下180公里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费用的主要预算方法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成本费用预算编制基本方法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组织各部门提交部门费用预算的2种方式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【案例】费用预算申报的江湖套路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【讨论】解决“杰克·韦尔奇死结”难题的有效方法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【讨论】当预算费用不够分时，如何解决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【单元测试题】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四、全面预算的全面管理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【案例】安徒生童话《红舞鞋》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预算预警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【分享】某上市公司23个预算预警指标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预算反馈</w:t>
      </w:r>
    </w:p>
    <w:p>
      <w:pPr>
        <w:numPr>
          <w:ilvl w:val="0"/>
          <w:numId w:val="2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重大问题及时反馈</w:t>
      </w:r>
    </w:p>
    <w:p>
      <w:pPr>
        <w:numPr>
          <w:ilvl w:val="0"/>
          <w:numId w:val="2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预算分析差异反馈</w:t>
      </w:r>
    </w:p>
    <w:p>
      <w:pPr>
        <w:numPr>
          <w:ilvl w:val="0"/>
          <w:numId w:val="2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预算差异原因反馈</w:t>
      </w:r>
    </w:p>
    <w:p>
      <w:pPr>
        <w:numPr>
          <w:ilvl w:val="0"/>
          <w:numId w:val="2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预算整改方案反馈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预算分析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【案例】连环替代法和5W法分析预算差异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预算控制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预算调整条件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预算调整依据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预算调整程序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预算调整时间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预算考核</w:t>
      </w:r>
    </w:p>
    <w:p>
      <w:pPr>
        <w:numPr>
          <w:ilvl w:val="0"/>
          <w:numId w:val="2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编制质量考核</w:t>
      </w:r>
    </w:p>
    <w:p>
      <w:pPr>
        <w:numPr>
          <w:ilvl w:val="0"/>
          <w:numId w:val="2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执行情况考核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【案例】“牧羊人”成为穷光蛋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【互动】用处罚的方式/用鼓励的方式哪个考核效果会更好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【动画】绩效考评原则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五、财务管理创新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财务管理战略模式创新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财务前置管理方式创新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财务对业务管理创新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财务对风险管控创新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不良资产盘活模式创新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财务团队建设创新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财务用工方式创新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资金管理模式创新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会计核算创新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财务盈利模式创新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财务对实物资产管理创新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财务对供应链管理创新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财务对客户端管理创新</w:t>
      </w:r>
    </w:p>
    <w:p>
      <w:pPr>
        <w:numPr>
          <w:ilvl w:val="0"/>
          <w:numId w:val="2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财务对竞争对手管理创新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第二天：《税务谋略与规划》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一、个税改革政策解析与应对篇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个税改革的六大关键词解析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纳税人识别号制度实行所带来的挑战及应对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个人银行卡里的资金往来被税务监管后的应对措施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与个税改革相关的政策、案例、知识点解析： 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工薪所得与劳务所得联系和区别；个税申报与社保缴纳的关联性；公账转个人银行卡；股东与公司资金往来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二、物料管理与库存控制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社保费征收改革的三大关键词解析；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如何将公司进行拆分，充分享受小微企业的税（费）优惠政策；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“全日制和非全日制、完成一定工作任务用工”的社保费缴纳政策解析；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如何在“合伙人制度、共享经济、零工经济”中进行节税（费）规划与安排；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社保费的顶层设计。如何在三法融合（劳动法、社保法、税法）基础之上，针对企业实际情况的战略设计。 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与社保改革相关的政策、案例、知识点解析： </w:t>
      </w:r>
    </w:p>
    <w:p>
      <w:pPr>
        <w:numPr>
          <w:ilvl w:val="0"/>
          <w:numId w:val="2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劳务派遣；业务外包；灵活用工；公司的工会；多元化用工的三种模式；部门公司化的选择与运用；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szCs w:val="22"/>
          <w:lang w:eastAsia="zh-CN"/>
        </w:rPr>
      </w:pPr>
    </w:p>
    <w:p>
      <w:pPr>
        <w:widowControl w:val="0"/>
        <w:numPr>
          <w:ilvl w:val="0"/>
          <w:numId w:val="30"/>
        </w:numPr>
        <w:jc w:val="left"/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节税（费）工具和管道的选择及运用篇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“疫情”涉税优惠政策解析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国内“税收洼地”的选择及运用；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公司营销费用的节税规划与安排；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部门公司化下的节税规划与安排；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税前法定扣除项目的政策解析与运用；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公司与个人费用混合使用的节税规划与安排；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个人独资与小微企业核定征收的政策解析与运用；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公司股东、高管、员工薪酬体系的节税规划与安排；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相关案例、知识点解析： 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发票政策；无票成本与无票收入的处理；违约与赔偿金；公司税务管理；公司高管的涉税思维方式；如何成为创造价值型的财务部门；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第三天：《业财融合：财务如何为企业创造价值》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案例：</w:t>
      </w:r>
      <w:r>
        <w:rPr>
          <w:rFonts w:hint="eastAsia"/>
          <w:b w:val="0"/>
          <w:bCs/>
          <w:szCs w:val="22"/>
          <w:lang w:eastAsia="zh-CN"/>
        </w:rPr>
        <w:t>一位董事长的绝笔信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一、业财融合提升企业利润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目前企业存在的问题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业财融合如何提升企业利润？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案例1：从濒临破产到香港联交所上市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业财融合提升数据价值创造能力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业财融合支持科学绩效考核体系实施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二、从华为看业财融合实施之道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高层推动、支持与认可: 前沿CFO体系 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案例2：华为IFS变革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财务组织架构重组</w:t>
      </w:r>
    </w:p>
    <w:p>
      <w:pPr>
        <w:widowControl w:val="0"/>
        <w:numPr>
          <w:ilvl w:val="0"/>
          <w:numId w:val="3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财务组织搭建与职能分工</w:t>
      </w:r>
    </w:p>
    <w:p>
      <w:pPr>
        <w:widowControl w:val="0"/>
        <w:numPr>
          <w:ilvl w:val="0"/>
          <w:numId w:val="3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财务人员设置- 专业财务与业务财务的分工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案例3：华为财务架构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业财融合深度、广度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案例4：华为IFS 交易层面、项目层面、责任中心层面、监控与内审层面解读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三、业财融合财务人员能力培养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战略意识</w:t>
      </w:r>
    </w:p>
    <w:p>
      <w:pPr>
        <w:widowControl w:val="0"/>
        <w:numPr>
          <w:ilvl w:val="0"/>
          <w:numId w:val="3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企业战略的层次</w:t>
      </w:r>
    </w:p>
    <w:p>
      <w:pPr>
        <w:widowControl w:val="0"/>
        <w:numPr>
          <w:ilvl w:val="0"/>
          <w:numId w:val="3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企业战略的制定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演练1：如何制定公司战略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成本管理</w:t>
      </w:r>
    </w:p>
    <w:p>
      <w:pPr>
        <w:widowControl w:val="0"/>
        <w:numPr>
          <w:ilvl w:val="0"/>
          <w:numId w:val="3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成本性态与量本利分析</w:t>
      </w:r>
    </w:p>
    <w:p>
      <w:pPr>
        <w:widowControl w:val="0"/>
        <w:numPr>
          <w:ilvl w:val="0"/>
          <w:numId w:val="3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盈亏平衡点分析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资金管理与应收账款管理</w:t>
      </w:r>
    </w:p>
    <w:p>
      <w:pPr>
        <w:widowControl w:val="0"/>
        <w:numPr>
          <w:ilvl w:val="0"/>
          <w:numId w:val="3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资金管理体系</w:t>
      </w:r>
    </w:p>
    <w:p>
      <w:pPr>
        <w:widowControl w:val="0"/>
        <w:numPr>
          <w:ilvl w:val="0"/>
          <w:numId w:val="3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应收账款信用评价体系建设</w:t>
      </w:r>
    </w:p>
    <w:p>
      <w:pPr>
        <w:widowControl w:val="0"/>
        <w:numPr>
          <w:ilvl w:val="0"/>
          <w:numId w:val="3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应收账款管理与催收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全面预算体系</w:t>
      </w:r>
    </w:p>
    <w:p>
      <w:pPr>
        <w:widowControl w:val="0"/>
        <w:numPr>
          <w:ilvl w:val="0"/>
          <w:numId w:val="3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预算管理的作用</w:t>
      </w:r>
    </w:p>
    <w:p>
      <w:pPr>
        <w:widowControl w:val="0"/>
        <w:numPr>
          <w:ilvl w:val="0"/>
          <w:numId w:val="3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预算编制</w:t>
      </w:r>
    </w:p>
    <w:p>
      <w:pPr>
        <w:widowControl w:val="0"/>
        <w:numPr>
          <w:ilvl w:val="0"/>
          <w:numId w:val="3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预算授权</w:t>
      </w:r>
    </w:p>
    <w:p>
      <w:pPr>
        <w:widowControl w:val="0"/>
        <w:numPr>
          <w:ilvl w:val="0"/>
          <w:numId w:val="3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预算控制与分析</w:t>
      </w:r>
    </w:p>
    <w:p>
      <w:pPr>
        <w:widowControl w:val="0"/>
        <w:numPr>
          <w:ilvl w:val="0"/>
          <w:numId w:val="3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预算考核激励（EVA、基于平衡记分卡的业绩评价体系）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演练2：如何进行预算控制？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演练3：如何进行预算绩效激励？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经营分析与财务预测</w:t>
      </w:r>
    </w:p>
    <w:p>
      <w:pPr>
        <w:widowControl w:val="0"/>
        <w:numPr>
          <w:ilvl w:val="0"/>
          <w:numId w:val="4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经营分析的六种方法</w:t>
      </w:r>
    </w:p>
    <w:p>
      <w:pPr>
        <w:widowControl w:val="0"/>
        <w:numPr>
          <w:ilvl w:val="0"/>
          <w:numId w:val="4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经营分析的两大视角与三大目的</w:t>
      </w:r>
    </w:p>
    <w:p>
      <w:pPr>
        <w:widowControl w:val="0"/>
        <w:numPr>
          <w:ilvl w:val="0"/>
          <w:numId w:val="4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公司整体与责任中心经营分析</w:t>
      </w:r>
    </w:p>
    <w:p>
      <w:pPr>
        <w:widowControl w:val="0"/>
        <w:numPr>
          <w:ilvl w:val="0"/>
          <w:numId w:val="4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财务预测</w:t>
      </w:r>
    </w:p>
    <w:p>
      <w:pPr>
        <w:widowControl w:val="0"/>
        <w:numPr>
          <w:ilvl w:val="0"/>
          <w:numId w:val="3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演练4：如何制作精细化财务分析报告？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Cs w:val="22"/>
          <w:lang w:eastAsia="zh-CN"/>
        </w:rPr>
        <w:sectPr>
          <w:type w:val="continuous"/>
          <w:pgSz w:w="11906" w:h="16838"/>
          <w:pgMar w:top="720" w:right="720" w:bottom="720" w:left="740" w:header="0" w:footer="567" w:gutter="0"/>
          <w:cols w:equalWidth="0" w:num="2">
            <w:col w:w="500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  <w:r>
        <w:drawing>
          <wp:anchor distT="0" distB="0" distL="114300" distR="114300" simplePos="0" relativeHeight="2525440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25400</wp:posOffset>
            </wp:positionV>
            <wp:extent cx="1870710" cy="2275205"/>
            <wp:effectExtent l="0" t="0" r="15240" b="10795"/>
            <wp:wrapNone/>
            <wp:docPr id="13" name="图片 2" descr="1524453316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1524453316(1)"/>
                    <pic:cNvPicPr/>
                  </pic:nvPicPr>
                  <pic:blipFill>
                    <a:blip r:embed="rId7"/>
                    <a:srcRect l="1495" r="30650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275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105410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黄海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原世界500强企业首席财务官CFO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59.15pt;margin-top:8.3pt;height:168.75pt;width:307pt;z-index:251824128;mso-width-relative:page;mso-height-relative:page;" fillcolor="#FFFFFF" filled="t" stroked="f" coordsize="21600,21600" o:gfxdata="UEsDBAoAAAAAAIdO4kAAAAAAAAAAAAAAAAAEAAAAZHJzL1BLAwQUAAAACACHTuJAmNDTndoAAAAK&#10;AQAADwAAAGRycy9kb3ducmV2LnhtbE2PwU7DMAyG70i8Q2QkLhNLu7JSStMdkBAXxLSxiWvWmLa0&#10;cUqTdePtMSc42t+v35+L1dn2YsLRt44UxPMIBFLlTEu1gt3b000GwgdNRveOUME3eliVlxeFzo07&#10;0QanbagFl5DPtYImhCGX0lcNWu3nbkBi9uFGqwOPYy3NqE9cbnu5iKJUWt0SX2j0gI8NVt32aBW8&#10;Ln03w6+XTfWZxd3s7nnav6/XSl1fxdEDiIDn8BeGX31Wh5KdDu5IxoteQRJnCUcZpCkIDtwnC14c&#10;mCxvY5BlIf+/UP4A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NDTndoAAAAK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黄海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原世界500强企业首席财务官CFO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center" w:pos="5233"/>
        </w:tabs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企业上市全流程培训/咨询师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管理会计实战派专家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高级会计师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中国注册会计师（CPA）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中国注册税务师（CTA）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国际注册会计师（IPA）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国际注册财务管理师（CMA）</w:t>
      </w:r>
    </w:p>
    <w:p>
      <w:pPr>
        <w:numPr>
          <w:ilvl w:val="0"/>
          <w:numId w:val="4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高级国际财务管理师（SIFM）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清晰、严谨、幽默、实用、生动的培训风格</w:t>
      </w:r>
    </w:p>
    <w:p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培训课程运用大量的实例，紧密结合实际，深入浅出，通俗易懂，风格新颖，视角独到，内容充实缜密，逻辑性强，给人耳目一新的感觉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国药集团、美的集团、上海汽车集团、广汽菲亚特集团、合生元生物制品集团、红牛维他命饮料集团、广州地铁集团、中铁置业集团、中信集团（地产）、中建三局集团有限公司泸州古叙煤田集团、中亿丰建设集团股份、欧派集团、实丰文化股份集团、成都东能集团、佳兆业集团有限公司、万科集团、北大总裁EMBA班、衡水泰华集团、东莞诺基亚集团、香港和记黄埔珠海有限公司、广东世荣兆业股份集团、广东威尔医学科技股份集团、广东华发集团有限公司、广东建工集团有限公司、广东运达科技股份有限公司、广东建星集团有限公司、珠海华润电器有限公司、珠海恒利集团、江苏众鑫交通器材有限公司、珠海康晋电气股份、丹阳市博威汽车技术服务有限公司等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121285</wp:posOffset>
                </wp:positionV>
                <wp:extent cx="3898900" cy="2143125"/>
                <wp:effectExtent l="0" t="0" r="6350" b="9525"/>
                <wp:wrapNone/>
                <wp:docPr id="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郭伟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历任税务局长、国内著名税务争议解决与危机处理专家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4.75pt;margin-top:9.55pt;height:168.75pt;width:307pt;z-index:252015616;mso-width-relative:page;mso-height-relative:page;" fillcolor="#FFFFFF" filled="t" stroked="f" coordsize="21600,21600" o:gfxdata="UEsDBAoAAAAAAIdO4kAAAAAAAAAAAAAAAAAEAAAAZHJzL1BLAwQUAAAACACHTuJAQ+QXrNoAAAAJ&#10;AQAADwAAAGRycy9kb3ducmV2LnhtbE2PwU7DMBBE70j8g7VIXKrWSUtCG+L0gIS4IKqWIq5uvCQh&#10;8TrEblr+vssJjjszmn2Tr8+2EyMOvnGkIJ5FIJBKZxqqFOzfnqZLED5oMrpzhAp+0MO6uL7KdWbc&#10;ibY47kIluIR8phXUIfSZlL6s0Wo/cz0Se59usDrwOVTSDPrE5baT8yhKpdUN8Yda9/hYY9nujlbB&#10;a+LbCX6/bMuvZdxO7p/H94/NRqnbmzh6ABHwHP7C8IvP6FAw08EdyXjRKZivEk6yvopBsJ/eLVg4&#10;KFgkaQqyyOX/BcUFUEsDBBQAAAAIAIdO4kCRNBkk9wEAAOQDAAAOAAAAZHJzL2Uyb0RvYy54bWyt&#10;U82O0zAQviPxDpbvNElLoa2aroBVuSBALKs9u46dWHI8xnab9AXgDTjthTvP1edg7GTbFUgcED44&#10;4/n5ZuabyfqqbzU5COcVmJIWk5wSYThUytQlvf28fbagxAdmKqbBiJIehadXm6dP1p1diSk0oCvh&#10;CIIYv+psSZsQ7CrLPG9Ey/wErDBolOBaFvDp6qxyrEP0VmfTPH+RdeAq64AL71F7PRjpJuFLKXj4&#10;IKUXgeiSYm0h3S7du3hnmzVb1Y7ZRvGxDPYPVbRMGUx6hrpmgZG9U39AtYo78CDDhEObgZSKi9QD&#10;dlPkv3Vz0zArUi9Ijrdnmvz/g+XvDx8dURXOjhLDWhzR6fu30/3P04+vZLaM/HTWr9DtxqJj6F9D&#10;H31HvUdlbLuXro1fbIigHZk+ntkVfSAclbPFcrHM0cTRNi2ez4rpPOJkl3DrfHgroCVRKKnD8SVW&#10;2eGdD4Prg8tIdrVVWhMH4U6FJvEV8yajx5hBIBaQskHtXb17ox05MNyIbTpjEbV/7F3k8SSkv4dg&#10;+fVDKq0MYXHzx8UKSotP2MRQOq5ZKjem0YZ0yON88XKechiIjQx+2iApkfWB3SiFftejMYo7qI44&#10;iQ53tqT+y545QcneOlU3SFkxor3aB5AqJb4EjbC4Son1ce3jrj5+J6/Lz7n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PkF6zaAAAACQEAAA8AAAAAAAAAAQAgAAAAIgAAAGRycy9kb3ducmV2Lnht&#10;bFBLAQIUABQAAAAIAIdO4kCRNBkk9wEAAOQDAAAOAAAAAAAAAAEAIAAAACk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郭伟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历任税务局长、国内著名税务争议解决与危机处理专家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002060"/>
          <w:sz w:val="44"/>
          <w:szCs w:val="44"/>
          <w:lang w:eastAsia="zh-CN"/>
        </w:rPr>
        <w:drawing>
          <wp:anchor distT="0" distB="0" distL="114300" distR="114300" simplePos="0" relativeHeight="25237401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48260</wp:posOffset>
            </wp:positionV>
            <wp:extent cx="2008505" cy="2282190"/>
            <wp:effectExtent l="0" t="0" r="10795" b="3810"/>
            <wp:wrapSquare wrapText="bothSides"/>
            <wp:docPr id="10" name="图片 10" descr="C:\Users\1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1\Desktop\图片1.png图片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43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历任税务专管员、业务科长、税政科长、业务局长、第三届中国注册税务师协会常务理事；30年的涉税工作经验； 参与注册税务师行业“十一五”规划、税务顾问、税务筹划等业务准则的起草。</w:t>
      </w:r>
    </w:p>
    <w:p>
      <w:pPr>
        <w:numPr>
          <w:ilvl w:val="0"/>
          <w:numId w:val="43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《中国税务报》等十几家业内知名网站、报刊的专栏作者。</w:t>
      </w:r>
    </w:p>
    <w:p>
      <w:pPr>
        <w:numPr>
          <w:ilvl w:val="0"/>
          <w:numId w:val="43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创建中国第一家以个人名字命名的高端税务服务机构【郭伟税务工作室】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实战＋可用：30多年精炼节税锦囊，拒绝理论、现场答疑、力求实用。</w:t>
      </w:r>
    </w:p>
    <w:p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案例＋生动：向百家讲坛学习，让税务知识变得有趣，以案说法，通俗易懂。</w:t>
      </w:r>
    </w:p>
    <w:p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前瞻＋独特：深刻的行业背景和实战经验，站在专业领域的最前沿，帮助企业转换视角。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kern w:val="0"/>
          <w:szCs w:val="21"/>
        </w:rPr>
        <w:t>清华大学、北京大学、人民大学、中央财经大学、中国企业联合会等；铁道部、中国银行、兴业银行、中国五矿、中国有色、中煤集团、神华集团、中信集团、航天科工集团、联想集团、北汽集团、哈药集团、长虹集团、茅台集团、金蝶软件、航天信息、万科集团等；壳牌石油、日本索尼、住友、三井、韩国商会等；海南椰岛、联邦制药、中石油新疆、大连商场、恒泰医药等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sz w:val="28"/>
          <w:szCs w:val="28"/>
        </w:rPr>
        <w:drawing>
          <wp:anchor distT="0" distB="0" distL="114300" distR="114300" simplePos="0" relativeHeight="2523750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24130</wp:posOffset>
            </wp:positionV>
            <wp:extent cx="1961515" cy="2282190"/>
            <wp:effectExtent l="0" t="0" r="635" b="3810"/>
            <wp:wrapSquare wrapText="bothSides"/>
            <wp:docPr id="11" name="图片 2" descr="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003"/>
                    <pic:cNvPicPr/>
                  </pic:nvPicPr>
                  <pic:blipFill>
                    <a:blip r:embed="rId9"/>
                    <a:srcRect b="18586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181610</wp:posOffset>
                </wp:positionV>
                <wp:extent cx="3898900" cy="2143125"/>
                <wp:effectExtent l="0" t="0" r="6350" b="9525"/>
                <wp:wrapNone/>
                <wp:docPr id="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林少刚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中国注册会计师（CICPA）、创新型高端财务管理专家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2.9pt;margin-top:14.3pt;height:168.75pt;width:307pt;z-index:252182528;mso-width-relative:page;mso-height-relative:page;" fillcolor="#FFFFFF" filled="t" stroked="f" coordsize="21600,21600" o:gfxdata="UEsDBAoAAAAAAIdO4kAAAAAAAAAAAAAAAAAEAAAAZHJzL1BLAwQUAAAACACHTuJAcTBoENoAAAAJ&#10;AQAADwAAAGRycy9kb3ducmV2LnhtbE2PQU/DMAyF70j8h8hIXCaWdtNCKU13QEJcENMGiGvWmLa0&#10;cUqTdePf453gZD0/673PxfrkejHhGFpPGtJ5AgKp8ralWsPb6+NNBiJEQ9b0nlDDDwZYl5cXhcmt&#10;P9IWp12sBYdQyI2GJsYhlzJUDToT5n5AYu/Tj85ElmMt7WiOHO56uUgSJZ1piRsaM+BDg1W3OzgN&#10;L6vQzfD7eVt9ZWk3u32a3j82G62vr9LkHkTEU/w7hjM+o0PJTHt/IBtEr2GxYvLIM1Mg2FfLO17s&#10;NSyVSkGWhfz/QfkLUEsDBBQAAAAIAIdO4kDKrKtJ9wEAAOQDAAAOAAAAZHJzL2Uyb0RvYy54bWyt&#10;U02u0zAQ3iNxB8t7mqSl0FZNn4CnskGAeCDWrmMnlhyPsd0mvQDcgNXbsOdcPQdjJ22fQGKB8MIZ&#10;z883M99M1jd9q8lBOK/AlLSY5JQIw6FSpi7pp4/bJwtKfGCmYhqMKOlReHqzefxo3dmVmEIDuhKO&#10;IIjxq86WtAnBrrLM80a0zE/ACoNGCa5lAZ+uzirHOkRvdTbN82dZB66yDrjwHrW3g5FuEr6Ugod3&#10;UnoRiC4p1hbS7dK9i3e2WbNV7ZhtFB/LYP9QRcuUwaQXqFsWGNk79QdUq7gDDzJMOLQZSKm4SD1g&#10;N0X+Wzd3DbMi9YLkeHuhyf8/WP728N4RVZV0SYlhLY7o9P3b6f7n6cdXMltGfjrrV+h2Z9Ex9C+h&#10;xzmf9R6Vse1eujZ+sSGCdmT6eGFX9IFwVM4Wy8UyRxNH27R4Oium84iTXcOt8+G1gJZEoaQOx5dY&#10;ZYc3PgyuZ5eR7GqrtCYOwmcVmsRXzJuMHmMGgVhAyga1d/XulXbkwHAjtumMRdT+oXeRx5OQ/h6C&#10;5dfnVFoZwuLmj4sVlBYfsImhdFyzVG5Mow3pkMf54vk85TAQGxn8tEFSIusDu1EK/a5HYxR3UB1x&#10;Eh3ubEn9lz1zgpK9dapukLJiRHuxDyBVSnwNGmFxlRLr49rHXX34Tl7Xn3P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waBDaAAAACQEAAA8AAAAAAAAAAQAgAAAAIgAAAGRycy9kb3ducmV2Lnht&#10;bFBLAQIUABQAAAAIAIdO4kDKrKtJ9wEAAOQDAAAOAAAAAAAAAAEAIAAAACk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林少刚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中国注册会计师（CICPA）、创新型高端财务管理专家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知名高端财务管理专家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阿米巴经营实战专家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组织与机制变革专家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财政部管理会计师认证全国巡讲专家；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中国注册会计师（CPA）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美国注册管理会计师（CMA）</w:t>
      </w:r>
    </w:p>
    <w:p>
      <w:pPr>
        <w:numPr>
          <w:ilvl w:val="0"/>
          <w:numId w:val="4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中国注册税务师（CTA）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授课思路清晰</w:t>
      </w:r>
    </w:p>
    <w:p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授课方式深入浅出，易于接受和理解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  <w:lang w:val="zh-CN"/>
        </w:rPr>
        <w:t>华为、中国铝业、中国移动、中国联通、中国中车集团、中国有色集团、铁路总公司、国家电网、国家电投、中国神华、中国一汽、中国电子科技集团、中国通服、中广核、中国人寿、中国烟草、吉利汽车、美的集团、良品铺子集团、福田雷沃重工、潍柴动力、铃木汽车、普华永道事务所公开课、大金空调、三星电子、中国水环境集团、广钢集团、利宝保险中国有限公司、上海会畅股份、帅康电器、、云南能投、厦门建发股份、华电集团、建设银行、工商银行、中国银行、农业银行、光大银行、农商行、广州银行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等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6月19、20日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《Excel进阶和数据分析课程》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张剑悦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（原《计算机世界》大学教学总监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  <w:bookmarkStart w:id="0" w:name="_GoBack"/>
      <w:bookmarkEnd w:id="0"/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r>
        <w:drawing>
          <wp:inline distT="0" distB="0" distL="114300" distR="114300">
            <wp:extent cx="6215380" cy="3405505"/>
            <wp:effectExtent l="0" t="0" r="2540" b="8255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49C7B"/>
    <w:multiLevelType w:val="singleLevel"/>
    <w:tmpl w:val="82B49C7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8965195B"/>
    <w:multiLevelType w:val="singleLevel"/>
    <w:tmpl w:val="896519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EE216D7"/>
    <w:multiLevelType w:val="singleLevel"/>
    <w:tmpl w:val="8EE216D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959E5C5D"/>
    <w:multiLevelType w:val="singleLevel"/>
    <w:tmpl w:val="959E5C5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9AB5986F"/>
    <w:multiLevelType w:val="singleLevel"/>
    <w:tmpl w:val="9AB598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9C7AF654"/>
    <w:multiLevelType w:val="singleLevel"/>
    <w:tmpl w:val="9C7AF65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A9166A91"/>
    <w:multiLevelType w:val="singleLevel"/>
    <w:tmpl w:val="A9166A9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AB50265B"/>
    <w:multiLevelType w:val="singleLevel"/>
    <w:tmpl w:val="AB5026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AF374D91"/>
    <w:multiLevelType w:val="singleLevel"/>
    <w:tmpl w:val="AF374D9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BF792EAA"/>
    <w:multiLevelType w:val="singleLevel"/>
    <w:tmpl w:val="BF792E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">
    <w:nsid w:val="C1CA1259"/>
    <w:multiLevelType w:val="singleLevel"/>
    <w:tmpl w:val="C1CA125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E0FBF994"/>
    <w:multiLevelType w:val="singleLevel"/>
    <w:tmpl w:val="E0FBF99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E356A44F"/>
    <w:multiLevelType w:val="singleLevel"/>
    <w:tmpl w:val="E356A4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E3CEDDD7"/>
    <w:multiLevelType w:val="singleLevel"/>
    <w:tmpl w:val="E3CEDDD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>
    <w:nsid w:val="E3D26C95"/>
    <w:multiLevelType w:val="singleLevel"/>
    <w:tmpl w:val="E3D26C9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E3EB0409"/>
    <w:multiLevelType w:val="singleLevel"/>
    <w:tmpl w:val="E3EB04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ED6F15AD"/>
    <w:multiLevelType w:val="singleLevel"/>
    <w:tmpl w:val="ED6F15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F43FB7BE"/>
    <w:multiLevelType w:val="singleLevel"/>
    <w:tmpl w:val="F43FB7B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3">
    <w:nsid w:val="FAE166D4"/>
    <w:multiLevelType w:val="singleLevel"/>
    <w:tmpl w:val="FAE166D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4">
    <w:nsid w:val="022B1355"/>
    <w:multiLevelType w:val="singleLevel"/>
    <w:tmpl w:val="022B13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0B84B974"/>
    <w:multiLevelType w:val="singleLevel"/>
    <w:tmpl w:val="0B84B97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>
    <w:nsid w:val="12FC28D4"/>
    <w:multiLevelType w:val="singleLevel"/>
    <w:tmpl w:val="12FC28D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>
    <w:nsid w:val="1813B9C6"/>
    <w:multiLevelType w:val="singleLevel"/>
    <w:tmpl w:val="1813B9C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>
    <w:nsid w:val="2B2579ED"/>
    <w:multiLevelType w:val="singleLevel"/>
    <w:tmpl w:val="2B2579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2BDD5802"/>
    <w:multiLevelType w:val="singleLevel"/>
    <w:tmpl w:val="2BDD580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>
    <w:nsid w:val="2C44ABF2"/>
    <w:multiLevelType w:val="singleLevel"/>
    <w:tmpl w:val="2C44AB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2">
    <w:nsid w:val="48CC8FC8"/>
    <w:multiLevelType w:val="singleLevel"/>
    <w:tmpl w:val="48CC8FC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>
    <w:nsid w:val="49C5B915"/>
    <w:multiLevelType w:val="singleLevel"/>
    <w:tmpl w:val="49C5B91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5C68A2E7"/>
    <w:multiLevelType w:val="singleLevel"/>
    <w:tmpl w:val="5C68A2E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8">
    <w:nsid w:val="68DA8286"/>
    <w:multiLevelType w:val="singleLevel"/>
    <w:tmpl w:val="68DA828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9">
    <w:nsid w:val="7346FE87"/>
    <w:multiLevelType w:val="singleLevel"/>
    <w:tmpl w:val="7346FE8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0">
    <w:nsid w:val="738EAC99"/>
    <w:multiLevelType w:val="singleLevel"/>
    <w:tmpl w:val="738EAC9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74A56D5E"/>
    <w:multiLevelType w:val="singleLevel"/>
    <w:tmpl w:val="74A56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>
    <w:nsid w:val="77502834"/>
    <w:multiLevelType w:val="singleLevel"/>
    <w:tmpl w:val="775028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4">
    <w:nsid w:val="78040E2D"/>
    <w:multiLevelType w:val="singleLevel"/>
    <w:tmpl w:val="78040E2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5">
    <w:nsid w:val="7C0D1837"/>
    <w:multiLevelType w:val="singleLevel"/>
    <w:tmpl w:val="7C0D183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31"/>
  </w:num>
  <w:num w:numId="4">
    <w:abstractNumId w:val="34"/>
  </w:num>
  <w:num w:numId="5">
    <w:abstractNumId w:val="7"/>
  </w:num>
  <w:num w:numId="6">
    <w:abstractNumId w:val="24"/>
  </w:num>
  <w:num w:numId="7">
    <w:abstractNumId w:val="9"/>
  </w:num>
  <w:num w:numId="8">
    <w:abstractNumId w:val="39"/>
  </w:num>
  <w:num w:numId="9">
    <w:abstractNumId w:val="38"/>
  </w:num>
  <w:num w:numId="10">
    <w:abstractNumId w:val="0"/>
  </w:num>
  <w:num w:numId="11">
    <w:abstractNumId w:val="18"/>
  </w:num>
  <w:num w:numId="12">
    <w:abstractNumId w:val="15"/>
  </w:num>
  <w:num w:numId="13">
    <w:abstractNumId w:val="33"/>
  </w:num>
  <w:num w:numId="14">
    <w:abstractNumId w:val="45"/>
  </w:num>
  <w:num w:numId="15">
    <w:abstractNumId w:val="12"/>
  </w:num>
  <w:num w:numId="16">
    <w:abstractNumId w:val="2"/>
  </w:num>
  <w:num w:numId="17">
    <w:abstractNumId w:val="29"/>
  </w:num>
  <w:num w:numId="18">
    <w:abstractNumId w:val="35"/>
  </w:num>
  <w:num w:numId="19">
    <w:abstractNumId w:val="22"/>
  </w:num>
  <w:num w:numId="20">
    <w:abstractNumId w:val="13"/>
  </w:num>
  <w:num w:numId="21">
    <w:abstractNumId w:val="32"/>
  </w:num>
  <w:num w:numId="22">
    <w:abstractNumId w:val="27"/>
  </w:num>
  <w:num w:numId="23">
    <w:abstractNumId w:val="14"/>
  </w:num>
  <w:num w:numId="24">
    <w:abstractNumId w:val="40"/>
  </w:num>
  <w:num w:numId="25">
    <w:abstractNumId w:val="16"/>
  </w:num>
  <w:num w:numId="26">
    <w:abstractNumId w:val="26"/>
  </w:num>
  <w:num w:numId="27">
    <w:abstractNumId w:val="42"/>
  </w:num>
  <w:num w:numId="28">
    <w:abstractNumId w:val="30"/>
  </w:num>
  <w:num w:numId="29">
    <w:abstractNumId w:val="1"/>
  </w:num>
  <w:num w:numId="30">
    <w:abstractNumId w:val="17"/>
  </w:num>
  <w:num w:numId="31">
    <w:abstractNumId w:val="44"/>
  </w:num>
  <w:num w:numId="32">
    <w:abstractNumId w:val="6"/>
  </w:num>
  <w:num w:numId="33">
    <w:abstractNumId w:val="20"/>
  </w:num>
  <w:num w:numId="34">
    <w:abstractNumId w:val="3"/>
  </w:num>
  <w:num w:numId="35">
    <w:abstractNumId w:val="4"/>
  </w:num>
  <w:num w:numId="36">
    <w:abstractNumId w:val="11"/>
  </w:num>
  <w:num w:numId="37">
    <w:abstractNumId w:val="23"/>
  </w:num>
  <w:num w:numId="38">
    <w:abstractNumId w:val="5"/>
  </w:num>
  <w:num w:numId="39">
    <w:abstractNumId w:val="8"/>
  </w:num>
  <w:num w:numId="40">
    <w:abstractNumId w:val="25"/>
  </w:num>
  <w:num w:numId="41">
    <w:abstractNumId w:val="36"/>
  </w:num>
  <w:num w:numId="42">
    <w:abstractNumId w:val="10"/>
  </w:num>
  <w:num w:numId="43">
    <w:abstractNumId w:val="21"/>
  </w:num>
  <w:num w:numId="44">
    <w:abstractNumId w:val="19"/>
  </w:num>
  <w:num w:numId="45">
    <w:abstractNumId w:val="4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B546D2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A5B343E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2F5201C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5742BE1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2020-04-24T03:42:28Z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