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92" w:rsidRPr="00F44238" w:rsidRDefault="00A14C74" w:rsidP="00DC3956">
      <w:pPr>
        <w:spacing w:line="560" w:lineRule="exact"/>
        <w:jc w:val="center"/>
        <w:rPr>
          <w:rFonts w:ascii="微软雅黑" w:eastAsia="微软雅黑" w:hAnsi="微软雅黑" w:cstheme="minorBidi"/>
          <w:b/>
          <w:color w:val="0F243E" w:themeColor="text2" w:themeShade="80"/>
          <w:sz w:val="40"/>
          <w:szCs w:val="28"/>
        </w:rPr>
      </w:pPr>
      <w:bookmarkStart w:id="0" w:name="OLE_LINK1"/>
      <w:r w:rsidRPr="00F44238">
        <w:rPr>
          <w:rFonts w:ascii="微软雅黑" w:eastAsia="微软雅黑" w:hAnsi="微软雅黑" w:cstheme="minorBidi" w:hint="eastAsia"/>
          <w:b/>
          <w:color w:val="0F243E" w:themeColor="text2" w:themeShade="80"/>
          <w:sz w:val="40"/>
          <w:szCs w:val="28"/>
        </w:rPr>
        <w:t>《</w:t>
      </w:r>
      <w:r w:rsidR="003A19D2" w:rsidRPr="003A19D2">
        <w:rPr>
          <w:rFonts w:ascii="微软雅黑" w:eastAsia="微软雅黑" w:hAnsi="微软雅黑" w:cstheme="minorBidi" w:hint="eastAsia"/>
          <w:b/>
          <w:color w:val="0F243E" w:themeColor="text2" w:themeShade="80"/>
          <w:sz w:val="40"/>
          <w:szCs w:val="28"/>
        </w:rPr>
        <w:t>危险化学品与职业健康系统化实战</w:t>
      </w:r>
      <w:r w:rsidRPr="00F44238">
        <w:rPr>
          <w:rFonts w:ascii="微软雅黑" w:eastAsia="微软雅黑" w:hAnsi="微软雅黑" w:cstheme="minorBidi" w:hint="eastAsia"/>
          <w:b/>
          <w:color w:val="0F243E" w:themeColor="text2" w:themeShade="80"/>
          <w:sz w:val="40"/>
          <w:szCs w:val="28"/>
        </w:rPr>
        <w:t>》</w:t>
      </w:r>
    </w:p>
    <w:p w:rsidR="00F26792" w:rsidRDefault="00F26792">
      <w:pPr>
        <w:spacing w:line="560" w:lineRule="exact"/>
        <w:jc w:val="center"/>
        <w:rPr>
          <w:rFonts w:ascii="微软雅黑" w:eastAsia="微软雅黑" w:hAnsi="微软雅黑" w:cstheme="minorBidi"/>
          <w:b/>
          <w:color w:val="365F91" w:themeColor="accent1" w:themeShade="BF"/>
          <w:sz w:val="40"/>
          <w:szCs w:val="28"/>
        </w:rPr>
      </w:pPr>
    </w:p>
    <w:p w:rsidR="00F26792" w:rsidRPr="002F4EF1" w:rsidRDefault="00A0146D" w:rsidP="00B3452B">
      <w:pPr>
        <w:pStyle w:val="af3"/>
        <w:spacing w:line="460" w:lineRule="exact"/>
        <w:ind w:leftChars="100" w:left="210" w:firstLineChars="0" w:firstLine="0"/>
        <w:rPr>
          <w:rFonts w:ascii="微软雅黑" w:eastAsia="微软雅黑" w:hAnsi="微软雅黑"/>
          <w:color w:val="365F91" w:themeColor="accent1" w:themeShade="BF"/>
          <w:sz w:val="36"/>
          <w:szCs w:val="21"/>
        </w:rPr>
      </w:pPr>
      <w:r w:rsidRPr="002F4EF1">
        <w:rPr>
          <w:rFonts w:ascii="微软雅黑" w:eastAsia="微软雅黑" w:hAnsi="微软雅黑" w:hint="eastAsia"/>
          <w:color w:val="365F91" w:themeColor="accent1" w:themeShade="BF"/>
          <w:sz w:val="36"/>
          <w:szCs w:val="21"/>
        </w:rPr>
        <w:t>课程概述</w:t>
      </w:r>
    </w:p>
    <w:p w:rsidR="00F26792" w:rsidRDefault="003A19D2" w:rsidP="00796AA0">
      <w:pPr>
        <w:spacing w:line="560" w:lineRule="exact"/>
        <w:ind w:firstLineChars="200" w:firstLine="400"/>
        <w:rPr>
          <w:rFonts w:ascii="微软雅黑" w:eastAsia="微软雅黑" w:hAnsi="微软雅黑"/>
          <w:sz w:val="20"/>
          <w:szCs w:val="20"/>
        </w:rPr>
      </w:pPr>
      <w:r w:rsidRPr="003A19D2">
        <w:rPr>
          <w:rFonts w:ascii="微软雅黑" w:eastAsia="微软雅黑" w:hAnsi="微软雅黑" w:hint="eastAsia"/>
          <w:sz w:val="20"/>
          <w:szCs w:val="20"/>
        </w:rPr>
        <w:t>在现代生产过程中大量使用各类化学品，如何提高化学品的有效管控，加强对危险化学品的采购、运输、存贮、使用、废弃及事故应急管理已成为企业在安全管理的一个重点要求，并围绕化学品及相关职业危害因素产生的职业健康影响进行系统化管理，是企业必须面对的重要管理。</w:t>
      </w:r>
    </w:p>
    <w:p w:rsidR="00DD727E" w:rsidRPr="00ED05F5" w:rsidRDefault="00DD727E" w:rsidP="00796AA0">
      <w:pPr>
        <w:spacing w:line="560" w:lineRule="exact"/>
        <w:ind w:firstLineChars="200" w:firstLine="800"/>
        <w:rPr>
          <w:rFonts w:ascii="微软雅黑" w:eastAsia="微软雅黑" w:hAnsi="微软雅黑" w:cstheme="minorBidi"/>
          <w:b/>
          <w:color w:val="365F91" w:themeColor="accent1" w:themeShade="BF"/>
          <w:sz w:val="40"/>
          <w:szCs w:val="28"/>
        </w:rPr>
      </w:pPr>
    </w:p>
    <w:bookmarkEnd w:id="0"/>
    <w:p w:rsidR="00F26792" w:rsidRDefault="009C697C" w:rsidP="00B3452B">
      <w:pPr>
        <w:spacing w:line="460" w:lineRule="exact"/>
        <w:ind w:leftChars="100" w:left="210"/>
        <w:rPr>
          <w:rFonts w:ascii="微软雅黑" w:eastAsia="微软雅黑" w:hAnsi="微软雅黑"/>
          <w:color w:val="365F91" w:themeColor="accent1" w:themeShade="BF"/>
          <w:sz w:val="36"/>
          <w:szCs w:val="21"/>
        </w:rPr>
      </w:pPr>
      <w:r>
        <w:rPr>
          <w:rFonts w:ascii="微软雅黑" w:eastAsia="微软雅黑" w:hAnsi="微软雅黑" w:hint="eastAsia"/>
          <w:color w:val="365F91" w:themeColor="accent1" w:themeShade="BF"/>
          <w:sz w:val="36"/>
          <w:szCs w:val="21"/>
        </w:rPr>
        <w:t>课程目标</w:t>
      </w:r>
    </w:p>
    <w:p w:rsidR="00F8325E" w:rsidRDefault="00312A41" w:rsidP="00F8325E">
      <w:pPr>
        <w:spacing w:line="560" w:lineRule="exact"/>
        <w:ind w:firstLineChars="200" w:firstLine="400"/>
        <w:rPr>
          <w:rFonts w:ascii="微软雅黑" w:eastAsia="微软雅黑" w:hAnsi="微软雅黑"/>
          <w:sz w:val="20"/>
          <w:szCs w:val="20"/>
        </w:rPr>
      </w:pPr>
      <w:r w:rsidRPr="00312A41">
        <w:rPr>
          <w:rFonts w:ascii="微软雅黑" w:eastAsia="微软雅黑" w:hAnsi="微软雅黑" w:hint="eastAsia"/>
          <w:sz w:val="20"/>
          <w:szCs w:val="20"/>
        </w:rPr>
        <w:t>本课程将从围绕危险化学品及职业健康安全管理模块的全流程讲解，让学员快速了解并掌握危险化学品标准化与职业健康防护的流程管理要求与现场检查确认实务知识。</w:t>
      </w:r>
    </w:p>
    <w:p w:rsidR="00F8325E" w:rsidRPr="00312A41" w:rsidRDefault="00F8325E" w:rsidP="00F8325E">
      <w:pPr>
        <w:spacing w:line="560" w:lineRule="exact"/>
        <w:ind w:firstLineChars="200" w:firstLine="400"/>
        <w:rPr>
          <w:rFonts w:ascii="微软雅黑" w:eastAsia="微软雅黑" w:hAnsi="微软雅黑"/>
          <w:sz w:val="20"/>
          <w:szCs w:val="20"/>
        </w:rPr>
      </w:pPr>
    </w:p>
    <w:p w:rsidR="00F26792" w:rsidRPr="00F8325E" w:rsidRDefault="00EF6318" w:rsidP="00B3452B">
      <w:pPr>
        <w:spacing w:line="460" w:lineRule="exact"/>
        <w:rPr>
          <w:rFonts w:ascii="微软雅黑" w:eastAsia="微软雅黑" w:hAnsi="微软雅黑"/>
          <w:color w:val="365F91" w:themeColor="accent1" w:themeShade="BF"/>
          <w:sz w:val="36"/>
          <w:szCs w:val="21"/>
        </w:rPr>
      </w:pPr>
      <w:r w:rsidRPr="00F8325E">
        <w:rPr>
          <w:rFonts w:ascii="微软雅黑" w:eastAsia="微软雅黑" w:hAnsi="微软雅黑" w:hint="eastAsia"/>
          <w:color w:val="365F91" w:themeColor="accent1" w:themeShade="BF"/>
          <w:sz w:val="36"/>
          <w:szCs w:val="21"/>
        </w:rPr>
        <w:t>参会</w:t>
      </w:r>
      <w:r w:rsidR="00952106" w:rsidRPr="00F8325E">
        <w:rPr>
          <w:rFonts w:ascii="微软雅黑" w:eastAsia="微软雅黑" w:hAnsi="微软雅黑" w:hint="eastAsia"/>
          <w:color w:val="365F91" w:themeColor="accent1" w:themeShade="BF"/>
          <w:sz w:val="36"/>
          <w:szCs w:val="21"/>
        </w:rPr>
        <w:t>信息</w:t>
      </w:r>
    </w:p>
    <w:p w:rsidR="00F8325E" w:rsidRDefault="00F8325E" w:rsidP="006C321D">
      <w:pPr>
        <w:spacing w:line="400" w:lineRule="exact"/>
        <w:rPr>
          <w:rFonts w:ascii="微软雅黑" w:eastAsia="微软雅黑" w:hAnsi="微软雅黑"/>
          <w:b/>
          <w:szCs w:val="21"/>
        </w:rPr>
      </w:pPr>
    </w:p>
    <w:tbl>
      <w:tblPr>
        <w:tblStyle w:val="af5"/>
        <w:tblpPr w:leftFromText="180" w:rightFromText="180" w:vertAnchor="page" w:horzAnchor="margin" w:tblpY="8476"/>
        <w:tblW w:w="8730"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4A0" w:firstRow="1" w:lastRow="0" w:firstColumn="1" w:lastColumn="0" w:noHBand="0" w:noVBand="1"/>
      </w:tblPr>
      <w:tblGrid>
        <w:gridCol w:w="2291"/>
        <w:gridCol w:w="6439"/>
      </w:tblGrid>
      <w:tr w:rsidR="00B3452B" w:rsidRPr="0061582D" w:rsidTr="00B3452B">
        <w:trPr>
          <w:trHeight w:val="353"/>
        </w:trPr>
        <w:tc>
          <w:tcPr>
            <w:tcW w:w="2291" w:type="dxa"/>
            <w:shd w:val="clear" w:color="auto" w:fill="auto"/>
            <w:vAlign w:val="center"/>
          </w:tcPr>
          <w:p w:rsidR="00B3452B" w:rsidRPr="0061582D" w:rsidRDefault="00B3452B" w:rsidP="00B3452B">
            <w:pPr>
              <w:spacing w:line="276" w:lineRule="auto"/>
              <w:jc w:val="center"/>
              <w:rPr>
                <w:rFonts w:ascii="微软雅黑" w:eastAsia="微软雅黑" w:hAnsi="微软雅黑"/>
                <w:szCs w:val="20"/>
              </w:rPr>
            </w:pPr>
            <w:r w:rsidRPr="0061582D">
              <w:rPr>
                <w:rFonts w:ascii="微软雅黑" w:eastAsia="微软雅黑" w:hAnsi="微软雅黑" w:hint="eastAsia"/>
                <w:szCs w:val="20"/>
              </w:rPr>
              <w:t>培训对象</w:t>
            </w:r>
          </w:p>
        </w:tc>
        <w:tc>
          <w:tcPr>
            <w:tcW w:w="6439" w:type="dxa"/>
            <w:shd w:val="clear" w:color="auto" w:fill="auto"/>
            <w:vAlign w:val="center"/>
          </w:tcPr>
          <w:p w:rsidR="00B3452B" w:rsidRPr="0061582D" w:rsidRDefault="00B3452B" w:rsidP="00B3452B">
            <w:pPr>
              <w:spacing w:line="276" w:lineRule="auto"/>
              <w:rPr>
                <w:rFonts w:ascii="微软雅黑" w:eastAsia="微软雅黑" w:hAnsi="微软雅黑"/>
                <w:szCs w:val="20"/>
              </w:rPr>
            </w:pPr>
            <w:r>
              <w:rPr>
                <w:rFonts w:ascii="微软雅黑" w:eastAsia="微软雅黑" w:hAnsi="微软雅黑" w:hint="eastAsia"/>
                <w:szCs w:val="20"/>
              </w:rPr>
              <w:t>总经理、部门经理、主管、E</w:t>
            </w:r>
            <w:r>
              <w:rPr>
                <w:rFonts w:ascii="微软雅黑" w:eastAsia="微软雅黑" w:hAnsi="微软雅黑"/>
                <w:szCs w:val="20"/>
              </w:rPr>
              <w:t>HS</w:t>
            </w:r>
            <w:r w:rsidRPr="0061582D">
              <w:rPr>
                <w:rFonts w:ascii="微软雅黑" w:eastAsia="微软雅黑" w:hAnsi="微软雅黑" w:hint="eastAsia"/>
                <w:szCs w:val="20"/>
              </w:rPr>
              <w:t>等</w:t>
            </w:r>
            <w:r>
              <w:rPr>
                <w:rFonts w:ascii="微软雅黑" w:eastAsia="微软雅黑" w:hAnsi="微软雅黑" w:hint="eastAsia"/>
                <w:szCs w:val="20"/>
              </w:rPr>
              <w:t>管理人员</w:t>
            </w:r>
          </w:p>
        </w:tc>
      </w:tr>
      <w:tr w:rsidR="00B3452B" w:rsidRPr="0061582D" w:rsidTr="00B3452B">
        <w:trPr>
          <w:trHeight w:val="353"/>
        </w:trPr>
        <w:tc>
          <w:tcPr>
            <w:tcW w:w="2291" w:type="dxa"/>
            <w:shd w:val="clear" w:color="auto" w:fill="auto"/>
            <w:vAlign w:val="center"/>
          </w:tcPr>
          <w:p w:rsidR="00B3452B" w:rsidRPr="0061582D" w:rsidRDefault="00B3452B" w:rsidP="00B3452B">
            <w:pPr>
              <w:spacing w:line="276" w:lineRule="auto"/>
              <w:jc w:val="center"/>
              <w:rPr>
                <w:rFonts w:ascii="微软雅黑" w:eastAsia="微软雅黑" w:hAnsi="微软雅黑"/>
                <w:szCs w:val="20"/>
              </w:rPr>
            </w:pPr>
            <w:r w:rsidRPr="0061582D">
              <w:rPr>
                <w:rFonts w:ascii="微软雅黑" w:eastAsia="微软雅黑" w:hAnsi="微软雅黑" w:hint="eastAsia"/>
                <w:szCs w:val="20"/>
              </w:rPr>
              <w:t>授课形式</w:t>
            </w:r>
          </w:p>
        </w:tc>
        <w:tc>
          <w:tcPr>
            <w:tcW w:w="6439" w:type="dxa"/>
            <w:shd w:val="clear" w:color="auto" w:fill="auto"/>
            <w:vAlign w:val="center"/>
          </w:tcPr>
          <w:p w:rsidR="00B3452B" w:rsidRPr="0061582D" w:rsidRDefault="00B3452B" w:rsidP="00B3452B">
            <w:pPr>
              <w:spacing w:line="276" w:lineRule="auto"/>
              <w:rPr>
                <w:rFonts w:ascii="微软雅黑" w:eastAsia="微软雅黑" w:hAnsi="微软雅黑"/>
                <w:szCs w:val="20"/>
              </w:rPr>
            </w:pPr>
            <w:r>
              <w:rPr>
                <w:rFonts w:ascii="微软雅黑" w:eastAsia="微软雅黑" w:hAnsi="微软雅黑" w:hint="eastAsia"/>
                <w:szCs w:val="20"/>
              </w:rPr>
              <w:t>知识讲授、视频分析、案例展示</w:t>
            </w:r>
            <w:r w:rsidRPr="0061582D">
              <w:rPr>
                <w:rFonts w:ascii="微软雅黑" w:eastAsia="微软雅黑" w:hAnsi="微软雅黑" w:hint="eastAsia"/>
                <w:szCs w:val="20"/>
              </w:rPr>
              <w:t>等</w:t>
            </w:r>
          </w:p>
        </w:tc>
      </w:tr>
      <w:tr w:rsidR="00B3452B" w:rsidRPr="0061582D" w:rsidTr="00B3452B">
        <w:trPr>
          <w:trHeight w:val="353"/>
        </w:trPr>
        <w:tc>
          <w:tcPr>
            <w:tcW w:w="2291" w:type="dxa"/>
            <w:shd w:val="clear" w:color="auto" w:fill="auto"/>
            <w:vAlign w:val="center"/>
          </w:tcPr>
          <w:p w:rsidR="00B3452B" w:rsidRPr="0061582D" w:rsidRDefault="00B3452B" w:rsidP="00B3452B">
            <w:pPr>
              <w:spacing w:line="276" w:lineRule="auto"/>
              <w:jc w:val="center"/>
              <w:rPr>
                <w:rFonts w:ascii="微软雅黑" w:eastAsia="微软雅黑" w:hAnsi="微软雅黑"/>
                <w:szCs w:val="20"/>
              </w:rPr>
            </w:pPr>
            <w:r w:rsidRPr="0061582D">
              <w:rPr>
                <w:rFonts w:ascii="微软雅黑" w:eastAsia="微软雅黑" w:hAnsi="微软雅黑" w:hint="eastAsia"/>
                <w:szCs w:val="20"/>
              </w:rPr>
              <w:t>课程时间</w:t>
            </w:r>
          </w:p>
        </w:tc>
        <w:tc>
          <w:tcPr>
            <w:tcW w:w="6439" w:type="dxa"/>
            <w:shd w:val="clear" w:color="auto" w:fill="auto"/>
            <w:vAlign w:val="center"/>
          </w:tcPr>
          <w:p w:rsidR="00B3452B" w:rsidRPr="0061582D" w:rsidRDefault="00B3452B" w:rsidP="00B3452B">
            <w:pPr>
              <w:spacing w:line="276" w:lineRule="auto"/>
              <w:rPr>
                <w:rFonts w:ascii="微软雅黑" w:eastAsia="微软雅黑" w:hAnsi="微软雅黑"/>
                <w:szCs w:val="20"/>
              </w:rPr>
            </w:pPr>
            <w:r w:rsidRPr="0061582D">
              <w:rPr>
                <w:rFonts w:ascii="微软雅黑" w:eastAsia="微软雅黑" w:hAnsi="微软雅黑" w:hint="eastAsia"/>
                <w:szCs w:val="20"/>
              </w:rPr>
              <w:t>2天</w:t>
            </w:r>
            <w:r>
              <w:rPr>
                <w:rFonts w:ascii="微软雅黑" w:eastAsia="微软雅黑" w:hAnsi="微软雅黑" w:hint="eastAsia"/>
                <w:szCs w:val="20"/>
              </w:rPr>
              <w:t>（2</w:t>
            </w:r>
            <w:r>
              <w:rPr>
                <w:rFonts w:ascii="微软雅黑" w:eastAsia="微软雅黑" w:hAnsi="微软雅黑"/>
                <w:szCs w:val="20"/>
              </w:rPr>
              <w:t>020</w:t>
            </w:r>
            <w:r>
              <w:rPr>
                <w:rFonts w:ascii="微软雅黑" w:eastAsia="微软雅黑" w:hAnsi="微软雅黑" w:hint="eastAsia"/>
                <w:szCs w:val="20"/>
              </w:rPr>
              <w:t>年</w:t>
            </w:r>
            <w:r>
              <w:rPr>
                <w:rFonts w:ascii="微软雅黑" w:eastAsia="微软雅黑" w:hAnsi="微软雅黑"/>
                <w:szCs w:val="20"/>
              </w:rPr>
              <w:t>6</w:t>
            </w:r>
            <w:r>
              <w:rPr>
                <w:rFonts w:ascii="微软雅黑" w:eastAsia="微软雅黑" w:hAnsi="微软雅黑" w:hint="eastAsia"/>
                <w:szCs w:val="20"/>
              </w:rPr>
              <w:t>月1</w:t>
            </w:r>
            <w:r>
              <w:rPr>
                <w:rFonts w:ascii="微软雅黑" w:eastAsia="微软雅黑" w:hAnsi="微软雅黑"/>
                <w:szCs w:val="20"/>
              </w:rPr>
              <w:t>8</w:t>
            </w:r>
            <w:r>
              <w:rPr>
                <w:rFonts w:ascii="微软雅黑" w:eastAsia="微软雅黑" w:hAnsi="微软雅黑" w:hint="eastAsia"/>
                <w:szCs w:val="20"/>
              </w:rPr>
              <w:t>-</w:t>
            </w:r>
            <w:r>
              <w:rPr>
                <w:rFonts w:ascii="微软雅黑" w:eastAsia="微软雅黑" w:hAnsi="微软雅黑"/>
                <w:szCs w:val="20"/>
              </w:rPr>
              <w:t>19</w:t>
            </w:r>
            <w:r>
              <w:rPr>
                <w:rFonts w:ascii="微软雅黑" w:eastAsia="微软雅黑" w:hAnsi="微软雅黑" w:hint="eastAsia"/>
                <w:szCs w:val="20"/>
              </w:rPr>
              <w:t>日苏州）</w:t>
            </w:r>
          </w:p>
        </w:tc>
      </w:tr>
      <w:tr w:rsidR="00B3452B" w:rsidRPr="0061582D" w:rsidTr="00B3452B">
        <w:trPr>
          <w:trHeight w:val="353"/>
        </w:trPr>
        <w:tc>
          <w:tcPr>
            <w:tcW w:w="2291" w:type="dxa"/>
            <w:shd w:val="clear" w:color="auto" w:fill="auto"/>
            <w:vAlign w:val="center"/>
          </w:tcPr>
          <w:p w:rsidR="00B3452B" w:rsidRPr="0061582D" w:rsidRDefault="00B3452B" w:rsidP="00B3452B">
            <w:pPr>
              <w:spacing w:line="276" w:lineRule="auto"/>
              <w:jc w:val="center"/>
              <w:rPr>
                <w:rFonts w:ascii="微软雅黑" w:eastAsia="微软雅黑" w:hAnsi="微软雅黑"/>
                <w:szCs w:val="20"/>
              </w:rPr>
            </w:pPr>
            <w:r>
              <w:rPr>
                <w:rFonts w:ascii="微软雅黑" w:eastAsia="微软雅黑" w:hAnsi="微软雅黑" w:hint="eastAsia"/>
                <w:szCs w:val="20"/>
              </w:rPr>
              <w:t>授课讲师</w:t>
            </w:r>
          </w:p>
        </w:tc>
        <w:tc>
          <w:tcPr>
            <w:tcW w:w="6439" w:type="dxa"/>
            <w:shd w:val="clear" w:color="auto" w:fill="auto"/>
            <w:vAlign w:val="center"/>
          </w:tcPr>
          <w:p w:rsidR="00B3452B" w:rsidRPr="0061582D" w:rsidRDefault="00B3452B" w:rsidP="00B3452B">
            <w:pPr>
              <w:spacing w:line="276" w:lineRule="auto"/>
              <w:rPr>
                <w:rFonts w:ascii="微软雅黑" w:eastAsia="微软雅黑" w:hAnsi="微软雅黑"/>
                <w:szCs w:val="20"/>
              </w:rPr>
            </w:pPr>
            <w:r>
              <w:rPr>
                <w:rFonts w:ascii="微软雅黑" w:eastAsia="微软雅黑" w:hAnsi="微软雅黑" w:hint="eastAsia"/>
                <w:szCs w:val="20"/>
              </w:rPr>
              <w:t>史万进</w:t>
            </w:r>
          </w:p>
        </w:tc>
      </w:tr>
      <w:tr w:rsidR="00B3452B" w:rsidRPr="0061582D" w:rsidTr="00B3452B">
        <w:trPr>
          <w:trHeight w:val="353"/>
        </w:trPr>
        <w:tc>
          <w:tcPr>
            <w:tcW w:w="2291" w:type="dxa"/>
            <w:shd w:val="clear" w:color="auto" w:fill="auto"/>
            <w:vAlign w:val="center"/>
          </w:tcPr>
          <w:p w:rsidR="00B3452B" w:rsidRPr="0061582D" w:rsidRDefault="00B3452B" w:rsidP="00B3452B">
            <w:pPr>
              <w:spacing w:line="276" w:lineRule="auto"/>
              <w:jc w:val="center"/>
              <w:rPr>
                <w:rFonts w:ascii="微软雅黑" w:eastAsia="微软雅黑" w:hAnsi="微软雅黑"/>
                <w:szCs w:val="20"/>
              </w:rPr>
            </w:pPr>
            <w:r>
              <w:rPr>
                <w:rFonts w:ascii="微软雅黑" w:eastAsia="微软雅黑" w:hAnsi="微软雅黑" w:hint="eastAsia"/>
                <w:szCs w:val="20"/>
              </w:rPr>
              <w:t>课程费用</w:t>
            </w:r>
          </w:p>
        </w:tc>
        <w:tc>
          <w:tcPr>
            <w:tcW w:w="6439" w:type="dxa"/>
            <w:shd w:val="clear" w:color="auto" w:fill="auto"/>
            <w:vAlign w:val="center"/>
          </w:tcPr>
          <w:p w:rsidR="00B3452B" w:rsidRPr="0061582D" w:rsidRDefault="00B3452B" w:rsidP="00B3452B">
            <w:pPr>
              <w:spacing w:line="276" w:lineRule="auto"/>
              <w:rPr>
                <w:rFonts w:ascii="微软雅黑" w:eastAsia="微软雅黑" w:hAnsi="微软雅黑"/>
                <w:szCs w:val="20"/>
              </w:rPr>
            </w:pPr>
            <w:r>
              <w:rPr>
                <w:rFonts w:ascii="微软雅黑" w:eastAsia="微软雅黑" w:hAnsi="微软雅黑" w:hint="eastAsia"/>
                <w:szCs w:val="20"/>
              </w:rPr>
              <w:t>4</w:t>
            </w:r>
            <w:r>
              <w:rPr>
                <w:rFonts w:ascii="微软雅黑" w:eastAsia="微软雅黑" w:hAnsi="微软雅黑"/>
                <w:szCs w:val="20"/>
              </w:rPr>
              <w:t>5</w:t>
            </w:r>
            <w:r>
              <w:rPr>
                <w:rFonts w:ascii="微软雅黑" w:eastAsia="微软雅黑" w:hAnsi="微软雅黑" w:hint="eastAsia"/>
                <w:szCs w:val="20"/>
              </w:rPr>
              <w:t>00/2天/人（</w:t>
            </w:r>
            <w:proofErr w:type="gramStart"/>
            <w:r>
              <w:rPr>
                <w:rFonts w:ascii="微软雅黑" w:eastAsia="微软雅黑" w:hAnsi="微软雅黑" w:hint="eastAsia"/>
                <w:szCs w:val="20"/>
              </w:rPr>
              <w:t>含培训</w:t>
            </w:r>
            <w:proofErr w:type="gramEnd"/>
            <w:r>
              <w:rPr>
                <w:rFonts w:ascii="微软雅黑" w:eastAsia="微软雅黑" w:hAnsi="微软雅黑" w:hint="eastAsia"/>
                <w:szCs w:val="20"/>
              </w:rPr>
              <w:t>费、教材费、2天午餐、茶点和税费等）</w:t>
            </w:r>
          </w:p>
        </w:tc>
      </w:tr>
      <w:tr w:rsidR="00776AE4" w:rsidRPr="0061582D" w:rsidTr="00B3452B">
        <w:trPr>
          <w:trHeight w:val="353"/>
        </w:trPr>
        <w:tc>
          <w:tcPr>
            <w:tcW w:w="2291" w:type="dxa"/>
            <w:shd w:val="clear" w:color="auto" w:fill="auto"/>
            <w:vAlign w:val="center"/>
          </w:tcPr>
          <w:p w:rsidR="00776AE4" w:rsidRDefault="00776AE4" w:rsidP="00776AE4">
            <w:pPr>
              <w:spacing w:line="276" w:lineRule="auto"/>
              <w:jc w:val="center"/>
              <w:rPr>
                <w:rFonts w:ascii="微软雅黑" w:eastAsia="微软雅黑" w:hAnsi="微软雅黑"/>
                <w:szCs w:val="20"/>
              </w:rPr>
            </w:pPr>
            <w:bookmarkStart w:id="1" w:name="_GoBack" w:colFirst="0" w:colLast="1"/>
            <w:r>
              <w:rPr>
                <w:rFonts w:ascii="微软雅黑" w:eastAsia="微软雅黑" w:hAnsi="微软雅黑" w:hint="eastAsia"/>
                <w:szCs w:val="20"/>
              </w:rPr>
              <w:t>合作联系</w:t>
            </w:r>
          </w:p>
        </w:tc>
        <w:tc>
          <w:tcPr>
            <w:tcW w:w="6439" w:type="dxa"/>
            <w:shd w:val="clear" w:color="auto" w:fill="auto"/>
            <w:vAlign w:val="center"/>
          </w:tcPr>
          <w:p w:rsidR="00776AE4" w:rsidRDefault="00776AE4" w:rsidP="00776AE4">
            <w:pPr>
              <w:spacing w:line="276" w:lineRule="auto"/>
              <w:rPr>
                <w:rFonts w:ascii="微软雅黑" w:eastAsia="微软雅黑" w:hAnsi="微软雅黑" w:hint="eastAsia"/>
                <w:szCs w:val="20"/>
              </w:rPr>
            </w:pPr>
            <w:r>
              <w:rPr>
                <w:rFonts w:ascii="微软雅黑" w:eastAsia="微软雅黑" w:hAnsi="微软雅黑" w:hint="eastAsia"/>
                <w:szCs w:val="20"/>
              </w:rPr>
              <w:t>小新 15306200569｜QQ：1007222911</w:t>
            </w:r>
          </w:p>
        </w:tc>
      </w:tr>
      <w:bookmarkEnd w:id="1"/>
    </w:tbl>
    <w:p w:rsidR="00B3452B" w:rsidRDefault="00B3452B" w:rsidP="006C321D">
      <w:pPr>
        <w:spacing w:line="400" w:lineRule="exact"/>
        <w:rPr>
          <w:rFonts w:ascii="微软雅黑" w:eastAsia="微软雅黑" w:hAnsi="微软雅黑"/>
          <w:b/>
          <w:szCs w:val="21"/>
        </w:rPr>
      </w:pPr>
    </w:p>
    <w:p w:rsidR="00F26792" w:rsidRDefault="00A14C74" w:rsidP="00B3452B">
      <w:pPr>
        <w:spacing w:line="400" w:lineRule="exact"/>
        <w:jc w:val="left"/>
        <w:rPr>
          <w:rFonts w:ascii="微软雅黑" w:eastAsia="微软雅黑" w:hAnsi="微软雅黑"/>
          <w:b/>
          <w:szCs w:val="21"/>
        </w:rPr>
      </w:pPr>
      <w:r>
        <w:rPr>
          <w:rFonts w:ascii="微软雅黑" w:eastAsia="微软雅黑" w:hAnsi="微软雅黑" w:hint="eastAsia"/>
          <w:color w:val="365F91" w:themeColor="accent1" w:themeShade="BF"/>
          <w:sz w:val="36"/>
          <w:szCs w:val="21"/>
        </w:rPr>
        <w:t>课程大纲</w:t>
      </w:r>
    </w:p>
    <w:p w:rsidR="00933D49" w:rsidRPr="006615BE" w:rsidRDefault="00933D49" w:rsidP="00933D49">
      <w:pPr>
        <w:spacing w:line="460" w:lineRule="exact"/>
        <w:rPr>
          <w:rFonts w:ascii="微软雅黑" w:eastAsia="微软雅黑" w:hAnsi="微软雅黑"/>
          <w:b/>
          <w:sz w:val="22"/>
        </w:rPr>
      </w:pPr>
      <w:r w:rsidRPr="006615BE">
        <w:rPr>
          <w:rFonts w:ascii="微软雅黑" w:eastAsia="微软雅黑" w:hAnsi="微软雅黑" w:hint="eastAsia"/>
          <w:b/>
          <w:sz w:val="22"/>
        </w:rPr>
        <w:t>第一章：危险化学品基础知识</w:t>
      </w:r>
    </w:p>
    <w:p w:rsidR="00933D49" w:rsidRPr="00BA366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t>化学品的基本分类及2015版《危险化学品目录》介绍</w:t>
      </w:r>
    </w:p>
    <w:p w:rsidR="00933D49" w:rsidRPr="00BA366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t>易制化学品、危险化学品、高毒及剧毒化学品分类知识介绍</w:t>
      </w:r>
    </w:p>
    <w:p w:rsidR="00933D49" w:rsidRPr="00BA366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t>危险化学品的主要危险特性（燃烧性、爆炸性、毒害性、腐蚀性、放射性）</w:t>
      </w:r>
    </w:p>
    <w:p w:rsidR="00933D49" w:rsidRPr="00BA366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t>GHS全球化学品统一分类与判定标准介绍</w:t>
      </w:r>
    </w:p>
    <w:p w:rsidR="00933D49" w:rsidRPr="00BA366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t>小组演练：</w:t>
      </w:r>
      <w:proofErr w:type="gramStart"/>
      <w:r w:rsidRPr="00BA3669">
        <w:rPr>
          <w:rFonts w:ascii="微软雅黑" w:eastAsia="微软雅黑" w:hAnsi="微软雅黑" w:hint="eastAsia"/>
        </w:rPr>
        <w:t>看图识错</w:t>
      </w:r>
      <w:proofErr w:type="gramEnd"/>
      <w:r w:rsidRPr="00BA3669">
        <w:rPr>
          <w:rFonts w:ascii="微软雅黑" w:eastAsia="微软雅黑" w:hAnsi="微软雅黑" w:hint="eastAsia"/>
        </w:rPr>
        <w:t>-化学品危险源辨识方法</w:t>
      </w:r>
    </w:p>
    <w:p w:rsidR="00933D49" w:rsidRDefault="00933D49" w:rsidP="00933D49">
      <w:pPr>
        <w:widowControl/>
        <w:numPr>
          <w:ilvl w:val="0"/>
          <w:numId w:val="31"/>
        </w:numPr>
        <w:spacing w:line="460" w:lineRule="exact"/>
        <w:jc w:val="left"/>
        <w:rPr>
          <w:rFonts w:ascii="微软雅黑" w:eastAsia="微软雅黑" w:hAnsi="微软雅黑"/>
        </w:rPr>
      </w:pPr>
      <w:r w:rsidRPr="00BA3669">
        <w:rPr>
          <w:rFonts w:ascii="微软雅黑" w:eastAsia="微软雅黑" w:hAnsi="微软雅黑" w:hint="eastAsia"/>
        </w:rPr>
        <w:lastRenderedPageBreak/>
        <w:t>危险化学品常见事故类型及案例介绍（火灾、爆炸、有毒性气体泄漏等）</w:t>
      </w:r>
    </w:p>
    <w:p w:rsidR="00933D49" w:rsidRPr="00BA3669" w:rsidRDefault="00933D49" w:rsidP="00933D49">
      <w:pPr>
        <w:spacing w:line="460" w:lineRule="exact"/>
        <w:ind w:left="420"/>
        <w:rPr>
          <w:rFonts w:ascii="微软雅黑" w:eastAsia="微软雅黑" w:hAnsi="微软雅黑"/>
        </w:rPr>
      </w:pPr>
    </w:p>
    <w:p w:rsidR="00933D49" w:rsidRPr="006615BE" w:rsidRDefault="00933D49" w:rsidP="00933D49">
      <w:pPr>
        <w:spacing w:line="460" w:lineRule="exact"/>
        <w:rPr>
          <w:rFonts w:ascii="微软雅黑" w:eastAsia="微软雅黑" w:hAnsi="微软雅黑"/>
          <w:b/>
          <w:sz w:val="22"/>
        </w:rPr>
      </w:pPr>
      <w:r w:rsidRPr="006615BE">
        <w:rPr>
          <w:rFonts w:ascii="微软雅黑" w:eastAsia="微软雅黑" w:hAnsi="微软雅黑" w:hint="eastAsia"/>
          <w:b/>
          <w:sz w:val="22"/>
        </w:rPr>
        <w:t>第二章：危险化学品的采购管理</w:t>
      </w:r>
    </w:p>
    <w:p w:rsidR="00933D49" w:rsidRPr="00ED3309" w:rsidRDefault="00933D49" w:rsidP="00933D49">
      <w:pPr>
        <w:pStyle w:val="af3"/>
        <w:numPr>
          <w:ilvl w:val="0"/>
          <w:numId w:val="32"/>
        </w:numPr>
        <w:spacing w:line="460" w:lineRule="exact"/>
        <w:ind w:firstLineChars="0"/>
        <w:rPr>
          <w:rFonts w:ascii="微软雅黑" w:eastAsia="微软雅黑" w:hAnsi="微软雅黑"/>
        </w:rPr>
      </w:pPr>
      <w:r w:rsidRPr="00ED3309">
        <w:rPr>
          <w:rFonts w:ascii="微软雅黑" w:eastAsia="微软雅黑" w:hAnsi="微软雅黑" w:hint="eastAsia"/>
        </w:rPr>
        <w:t>危险化学品供应商的资质要求与评审管控</w:t>
      </w:r>
    </w:p>
    <w:p w:rsidR="00933D49" w:rsidRPr="00ED3309" w:rsidRDefault="00933D49" w:rsidP="00933D49">
      <w:pPr>
        <w:pStyle w:val="af3"/>
        <w:numPr>
          <w:ilvl w:val="0"/>
          <w:numId w:val="32"/>
        </w:numPr>
        <w:spacing w:line="460" w:lineRule="exact"/>
        <w:ind w:firstLineChars="0"/>
        <w:rPr>
          <w:rFonts w:ascii="微软雅黑" w:eastAsia="微软雅黑" w:hAnsi="微软雅黑"/>
        </w:rPr>
      </w:pPr>
      <w:r w:rsidRPr="00ED3309">
        <w:rPr>
          <w:rFonts w:ascii="微软雅黑" w:eastAsia="微软雅黑" w:hAnsi="微软雅黑" w:hint="eastAsia"/>
        </w:rPr>
        <w:t>SDS（安全数据表）的收集、16项内容介绍、转化与化学品安全告知卡</w:t>
      </w:r>
    </w:p>
    <w:p w:rsidR="00933D49" w:rsidRPr="00ED3309" w:rsidRDefault="00933D49" w:rsidP="00933D49">
      <w:pPr>
        <w:pStyle w:val="af3"/>
        <w:numPr>
          <w:ilvl w:val="0"/>
          <w:numId w:val="32"/>
        </w:numPr>
        <w:spacing w:line="460" w:lineRule="exact"/>
        <w:ind w:firstLineChars="0"/>
        <w:rPr>
          <w:rFonts w:ascii="微软雅黑" w:eastAsia="微软雅黑" w:hAnsi="微软雅黑"/>
        </w:rPr>
      </w:pPr>
      <w:r w:rsidRPr="00ED3309">
        <w:rPr>
          <w:rFonts w:ascii="微软雅黑" w:eastAsia="微软雅黑" w:hAnsi="微软雅黑" w:hint="eastAsia"/>
        </w:rPr>
        <w:t>小组案例研讨：供应商提供的SDS是否符合GHS要求</w:t>
      </w:r>
    </w:p>
    <w:p w:rsidR="00933D49" w:rsidRPr="00ED3309" w:rsidRDefault="00933D49" w:rsidP="00933D49">
      <w:pPr>
        <w:pStyle w:val="af3"/>
        <w:numPr>
          <w:ilvl w:val="0"/>
          <w:numId w:val="32"/>
        </w:numPr>
        <w:spacing w:line="460" w:lineRule="exact"/>
        <w:ind w:firstLineChars="0"/>
        <w:rPr>
          <w:rFonts w:ascii="微软雅黑" w:eastAsia="微软雅黑" w:hAnsi="微软雅黑"/>
        </w:rPr>
      </w:pPr>
      <w:r w:rsidRPr="00ED3309">
        <w:rPr>
          <w:rFonts w:ascii="微软雅黑" w:eastAsia="微软雅黑" w:hAnsi="微软雅黑" w:hint="eastAsia"/>
        </w:rPr>
        <w:t>如何有效开展新化学品的预评估工作</w:t>
      </w:r>
    </w:p>
    <w:p w:rsidR="00933D49" w:rsidRPr="00ED3309" w:rsidRDefault="00933D49" w:rsidP="00933D49">
      <w:pPr>
        <w:pStyle w:val="af3"/>
        <w:numPr>
          <w:ilvl w:val="0"/>
          <w:numId w:val="32"/>
        </w:numPr>
        <w:spacing w:line="460" w:lineRule="exact"/>
        <w:ind w:firstLineChars="0"/>
        <w:rPr>
          <w:rFonts w:ascii="微软雅黑" w:eastAsia="微软雅黑" w:hAnsi="微软雅黑"/>
        </w:rPr>
      </w:pPr>
      <w:r w:rsidRPr="00ED3309">
        <w:rPr>
          <w:rFonts w:ascii="微软雅黑" w:eastAsia="微软雅黑" w:hAnsi="微软雅黑" w:hint="eastAsia"/>
        </w:rPr>
        <w:t>易制毒、易制</w:t>
      </w:r>
      <w:proofErr w:type="gramStart"/>
      <w:r w:rsidRPr="00ED3309">
        <w:rPr>
          <w:rFonts w:ascii="微软雅黑" w:eastAsia="微软雅黑" w:hAnsi="微软雅黑" w:hint="eastAsia"/>
        </w:rPr>
        <w:t>爆</w:t>
      </w:r>
      <w:proofErr w:type="gramEnd"/>
      <w:r w:rsidRPr="00ED3309">
        <w:rPr>
          <w:rFonts w:ascii="微软雅黑" w:eastAsia="微软雅黑" w:hAnsi="微软雅黑" w:hint="eastAsia"/>
        </w:rPr>
        <w:t>化学品及剧毒化学品的公安备案及申报要求</w:t>
      </w:r>
    </w:p>
    <w:p w:rsidR="00933D49" w:rsidRPr="00BA3669" w:rsidRDefault="00933D49" w:rsidP="00933D49">
      <w:pPr>
        <w:spacing w:line="460" w:lineRule="exact"/>
        <w:ind w:left="420"/>
        <w:rPr>
          <w:rFonts w:ascii="微软雅黑" w:eastAsia="微软雅黑" w:hAnsi="微软雅黑"/>
        </w:rPr>
      </w:pPr>
    </w:p>
    <w:p w:rsidR="00933D49" w:rsidRPr="006615BE" w:rsidRDefault="00933D49" w:rsidP="00933D49">
      <w:pPr>
        <w:spacing w:line="460" w:lineRule="exact"/>
        <w:rPr>
          <w:rFonts w:ascii="微软雅黑" w:eastAsia="微软雅黑" w:hAnsi="微软雅黑"/>
          <w:b/>
          <w:sz w:val="22"/>
        </w:rPr>
      </w:pPr>
      <w:r w:rsidRPr="006615BE">
        <w:rPr>
          <w:rFonts w:ascii="微软雅黑" w:eastAsia="微软雅黑" w:hAnsi="微软雅黑" w:hint="eastAsia"/>
          <w:b/>
          <w:sz w:val="22"/>
        </w:rPr>
        <w:t>第三章：危险化学品的运输、仓储安全管理</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危险化学品道路运输商的资质要求</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危险化学品道路动输车辆、储罐等相关安全要求</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危险化学品仓库的设计与重大危险源评估</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危险化学品出</w:t>
      </w:r>
      <w:proofErr w:type="gramStart"/>
      <w:r w:rsidRPr="00ED3309">
        <w:rPr>
          <w:rFonts w:ascii="微软雅黑" w:eastAsia="微软雅黑" w:hAnsi="微软雅黑" w:hint="eastAsia"/>
        </w:rPr>
        <w:t>入库台</w:t>
      </w:r>
      <w:proofErr w:type="gramEnd"/>
      <w:r w:rsidRPr="00ED3309">
        <w:rPr>
          <w:rFonts w:ascii="微软雅黑" w:eastAsia="微软雅黑" w:hAnsi="微软雅黑" w:hint="eastAsia"/>
        </w:rPr>
        <w:t>账管理、剧毒化学品五双管理介绍</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危险化学品仓储内的安全管理要求</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危险化学品的现场安全使用要求</w:t>
      </w:r>
    </w:p>
    <w:p w:rsidR="00933D49" w:rsidRPr="00ED3309" w:rsidRDefault="00933D49" w:rsidP="00933D49">
      <w:pPr>
        <w:pStyle w:val="af3"/>
        <w:numPr>
          <w:ilvl w:val="0"/>
          <w:numId w:val="33"/>
        </w:numPr>
        <w:spacing w:line="460" w:lineRule="exact"/>
        <w:ind w:firstLineChars="0"/>
        <w:rPr>
          <w:rFonts w:ascii="微软雅黑" w:eastAsia="微软雅黑" w:hAnsi="微软雅黑"/>
        </w:rPr>
      </w:pPr>
      <w:r w:rsidRPr="00ED3309">
        <w:rPr>
          <w:rFonts w:ascii="微软雅黑" w:eastAsia="微软雅黑" w:hAnsi="微软雅黑" w:hint="eastAsia"/>
        </w:rPr>
        <w:t>危险化学品废弃物的合</w:t>
      </w:r>
      <w:proofErr w:type="gramStart"/>
      <w:r w:rsidRPr="00ED3309">
        <w:rPr>
          <w:rFonts w:ascii="微软雅黑" w:eastAsia="微软雅黑" w:hAnsi="微软雅黑" w:hint="eastAsia"/>
        </w:rPr>
        <w:t>规</w:t>
      </w:r>
      <w:proofErr w:type="gramEnd"/>
      <w:r w:rsidRPr="00ED3309">
        <w:rPr>
          <w:rFonts w:ascii="微软雅黑" w:eastAsia="微软雅黑" w:hAnsi="微软雅黑" w:hint="eastAsia"/>
        </w:rPr>
        <w:t>管理（回收、堆场建设、标识与申报转移）</w:t>
      </w:r>
    </w:p>
    <w:p w:rsidR="00933D49" w:rsidRDefault="00933D49" w:rsidP="00933D49">
      <w:pPr>
        <w:spacing w:line="460" w:lineRule="exact"/>
        <w:ind w:left="420"/>
        <w:rPr>
          <w:rFonts w:ascii="微软雅黑" w:eastAsia="微软雅黑" w:hAnsi="微软雅黑"/>
        </w:rPr>
      </w:pPr>
    </w:p>
    <w:p w:rsidR="00933D49" w:rsidRPr="006615BE" w:rsidRDefault="00933D49" w:rsidP="00933D49">
      <w:pPr>
        <w:spacing w:line="460" w:lineRule="exact"/>
        <w:rPr>
          <w:rFonts w:ascii="微软雅黑" w:eastAsia="微软雅黑" w:hAnsi="微软雅黑"/>
          <w:b/>
          <w:sz w:val="22"/>
        </w:rPr>
      </w:pPr>
      <w:r w:rsidRPr="006615BE">
        <w:rPr>
          <w:rFonts w:ascii="微软雅黑" w:eastAsia="微软雅黑" w:hAnsi="微软雅黑" w:hint="eastAsia"/>
          <w:b/>
          <w:sz w:val="22"/>
        </w:rPr>
        <w:t>第四章 危险化学品使用与职业健康防护要求</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中国目前化学类职业卫生现状与职业病发病趋势</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化学类职业病危害事件频发案例及事件特点</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职业病防治的法律体系</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职业病分类与目录介绍</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危险化学品使用对人的健康安全影响</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化学品SDS中的职业危害接触限制类别解读</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新项目化学性职业病的前期预防与建设项目审查</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职业卫生评价与职业危害因素监测</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工作业场所化学有害因素的接触限值控制</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职业卫生三同时验收与申报</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lastRenderedPageBreak/>
        <w:t>工作场所职业病的危害告知与警示标识</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化学类职业病危害防护PPE的配置</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危险化学品现场安全使用要求</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化学品防爆柜的使用与要求</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作业现场常见化学类职业危害的防护设施的应用</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职业健康监护技术规范与职业病体检管理</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职业病监护档案管理</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职业病诊断与鉴定流程</w:t>
      </w:r>
    </w:p>
    <w:p w:rsidR="00933D49" w:rsidRPr="00ED3309" w:rsidRDefault="00933D49" w:rsidP="00933D49">
      <w:pPr>
        <w:pStyle w:val="af3"/>
        <w:numPr>
          <w:ilvl w:val="0"/>
          <w:numId w:val="34"/>
        </w:numPr>
        <w:spacing w:line="460" w:lineRule="exact"/>
        <w:ind w:firstLineChars="0"/>
        <w:rPr>
          <w:rFonts w:ascii="微软雅黑" w:eastAsia="微软雅黑" w:hAnsi="微软雅黑"/>
        </w:rPr>
      </w:pPr>
      <w:r w:rsidRPr="00ED3309">
        <w:rPr>
          <w:rFonts w:ascii="微软雅黑" w:eastAsia="微软雅黑" w:hAnsi="微软雅黑" w:hint="eastAsia"/>
        </w:rPr>
        <w:t>工伤保险与职业病管理</w:t>
      </w:r>
    </w:p>
    <w:p w:rsidR="00933D49" w:rsidRPr="00A612D3" w:rsidRDefault="00933D49" w:rsidP="00933D49">
      <w:pPr>
        <w:spacing w:line="460" w:lineRule="exact"/>
        <w:ind w:left="1140"/>
        <w:rPr>
          <w:rFonts w:ascii="微软雅黑" w:eastAsia="微软雅黑" w:hAnsi="微软雅黑"/>
        </w:rPr>
      </w:pPr>
    </w:p>
    <w:p w:rsidR="00933D49" w:rsidRPr="00BA3669" w:rsidRDefault="00933D49" w:rsidP="00933D49">
      <w:pPr>
        <w:spacing w:line="460" w:lineRule="exact"/>
        <w:rPr>
          <w:rFonts w:ascii="微软雅黑" w:eastAsia="微软雅黑" w:hAnsi="微软雅黑"/>
        </w:rPr>
      </w:pPr>
      <w:r w:rsidRPr="006615BE">
        <w:rPr>
          <w:rFonts w:ascii="微软雅黑" w:eastAsia="微软雅黑" w:hAnsi="微软雅黑" w:hint="eastAsia"/>
          <w:b/>
          <w:sz w:val="22"/>
        </w:rPr>
        <w:t>第五章    危险化学品事故的应急管理</w:t>
      </w:r>
    </w:p>
    <w:p w:rsidR="00933D49" w:rsidRPr="00BA3669" w:rsidRDefault="00933D49" w:rsidP="00933D49">
      <w:pPr>
        <w:widowControl/>
        <w:numPr>
          <w:ilvl w:val="0"/>
          <w:numId w:val="30"/>
        </w:numPr>
        <w:spacing w:line="460" w:lineRule="exact"/>
        <w:jc w:val="left"/>
        <w:rPr>
          <w:rFonts w:ascii="微软雅黑" w:eastAsia="微软雅黑" w:hAnsi="微软雅黑"/>
        </w:rPr>
      </w:pPr>
      <w:r w:rsidRPr="00BA3669">
        <w:rPr>
          <w:rFonts w:ascii="微软雅黑" w:eastAsia="微软雅黑" w:hAnsi="微软雅黑" w:hint="eastAsia"/>
        </w:rPr>
        <w:t>美国联邦紧急事务管理局的危化品火灾、爆炸应急体系</w:t>
      </w:r>
    </w:p>
    <w:p w:rsidR="00933D49" w:rsidRDefault="00933D49" w:rsidP="00933D49">
      <w:pPr>
        <w:widowControl/>
        <w:numPr>
          <w:ilvl w:val="0"/>
          <w:numId w:val="30"/>
        </w:numPr>
        <w:spacing w:line="460" w:lineRule="exact"/>
        <w:jc w:val="left"/>
        <w:rPr>
          <w:rFonts w:ascii="微软雅黑" w:eastAsia="微软雅黑" w:hAnsi="微软雅黑"/>
        </w:rPr>
      </w:pPr>
      <w:r w:rsidRPr="00BA3669">
        <w:rPr>
          <w:rFonts w:ascii="微软雅黑" w:eastAsia="微软雅黑" w:hAnsi="微软雅黑" w:hint="eastAsia"/>
        </w:rPr>
        <w:t>人员化学品</w:t>
      </w:r>
      <w:proofErr w:type="gramStart"/>
      <w:r w:rsidRPr="00BA3669">
        <w:rPr>
          <w:rFonts w:ascii="微软雅黑" w:eastAsia="微软雅黑" w:hAnsi="微软雅黑" w:hint="eastAsia"/>
        </w:rPr>
        <w:t>灼</w:t>
      </w:r>
      <w:proofErr w:type="gramEnd"/>
      <w:r w:rsidRPr="00BA3669">
        <w:rPr>
          <w:rFonts w:ascii="微软雅黑" w:eastAsia="微软雅黑" w:hAnsi="微软雅黑" w:hint="eastAsia"/>
        </w:rPr>
        <w:t>烫伤的应急处理方案与具体措施</w:t>
      </w:r>
    </w:p>
    <w:p w:rsidR="00933D49" w:rsidRDefault="00933D49" w:rsidP="00933D49">
      <w:pPr>
        <w:widowControl/>
        <w:numPr>
          <w:ilvl w:val="0"/>
          <w:numId w:val="30"/>
        </w:numPr>
        <w:spacing w:line="460" w:lineRule="exact"/>
        <w:jc w:val="left"/>
        <w:rPr>
          <w:rFonts w:ascii="微软雅黑" w:eastAsia="微软雅黑" w:hAnsi="微软雅黑"/>
        </w:rPr>
      </w:pPr>
      <w:r w:rsidRPr="00A612D3">
        <w:rPr>
          <w:rFonts w:ascii="微软雅黑" w:eastAsia="微软雅黑" w:hAnsi="微软雅黑" w:hint="eastAsia"/>
        </w:rPr>
        <w:t>中毒/环境污染情况下的主要控制措施（替代、变更工艺、隔离、通风及个体防护等）</w:t>
      </w:r>
    </w:p>
    <w:p w:rsidR="008A676E" w:rsidRDefault="00933D49" w:rsidP="00933D49">
      <w:pPr>
        <w:widowControl/>
        <w:numPr>
          <w:ilvl w:val="0"/>
          <w:numId w:val="30"/>
        </w:numPr>
        <w:spacing w:line="460" w:lineRule="exact"/>
        <w:jc w:val="left"/>
        <w:rPr>
          <w:rFonts w:ascii="微软雅黑" w:eastAsia="微软雅黑" w:hAnsi="微软雅黑"/>
        </w:rPr>
      </w:pPr>
      <w:r>
        <w:rPr>
          <w:rFonts w:ascii="微软雅黑" w:eastAsia="微软雅黑" w:hAnsi="微软雅黑" w:hint="eastAsia"/>
        </w:rPr>
        <w:t>危化品事故应急预案的编制与要求</w:t>
      </w:r>
    </w:p>
    <w:p w:rsidR="00933D49" w:rsidRPr="008A676E" w:rsidRDefault="00933D49" w:rsidP="00933D49">
      <w:pPr>
        <w:widowControl/>
        <w:numPr>
          <w:ilvl w:val="0"/>
          <w:numId w:val="30"/>
        </w:numPr>
        <w:spacing w:line="460" w:lineRule="exact"/>
        <w:jc w:val="left"/>
        <w:rPr>
          <w:rFonts w:ascii="微软雅黑" w:eastAsia="微软雅黑" w:hAnsi="微软雅黑"/>
        </w:rPr>
      </w:pPr>
      <w:r w:rsidRPr="008A676E">
        <w:rPr>
          <w:rFonts w:ascii="微软雅黑" w:eastAsia="微软雅黑" w:hAnsi="微软雅黑"/>
        </w:rPr>
        <w:t>小组演练：化学品泄漏的应急处理</w:t>
      </w:r>
    </w:p>
    <w:p w:rsidR="001B589B" w:rsidRPr="00933D49" w:rsidRDefault="001B589B" w:rsidP="00367CD3">
      <w:pPr>
        <w:tabs>
          <w:tab w:val="left" w:pos="420"/>
        </w:tabs>
        <w:spacing w:line="420" w:lineRule="exact"/>
        <w:rPr>
          <w:rFonts w:ascii="微软雅黑" w:eastAsia="微软雅黑" w:hAnsi="微软雅黑"/>
          <w:szCs w:val="21"/>
        </w:rPr>
      </w:pPr>
    </w:p>
    <w:p w:rsidR="00EB53AD" w:rsidRDefault="00EB53AD" w:rsidP="00E824B6">
      <w:pPr>
        <w:tabs>
          <w:tab w:val="left" w:pos="420"/>
        </w:tabs>
        <w:spacing w:line="440" w:lineRule="exact"/>
        <w:rPr>
          <w:rFonts w:ascii="微软雅黑" w:eastAsia="微软雅黑" w:hAnsi="微软雅黑"/>
          <w:color w:val="365F91" w:themeColor="accent1" w:themeShade="BF"/>
          <w:sz w:val="36"/>
          <w:szCs w:val="21"/>
        </w:rPr>
      </w:pPr>
    </w:p>
    <w:p w:rsidR="00EB53AD" w:rsidRPr="00E824B6" w:rsidRDefault="00EB53AD" w:rsidP="00E824B6">
      <w:pPr>
        <w:tabs>
          <w:tab w:val="left" w:pos="420"/>
        </w:tabs>
        <w:spacing w:line="440" w:lineRule="exact"/>
        <w:rPr>
          <w:rFonts w:ascii="微软雅黑" w:eastAsia="微软雅黑" w:hAnsi="微软雅黑"/>
          <w:color w:val="365F91" w:themeColor="accent1" w:themeShade="BF"/>
          <w:sz w:val="36"/>
          <w:szCs w:val="21"/>
        </w:rPr>
      </w:pPr>
    </w:p>
    <w:p w:rsidR="001B589B" w:rsidRDefault="00264D0F" w:rsidP="00EE64FE">
      <w:pPr>
        <w:spacing w:line="460" w:lineRule="exact"/>
        <w:jc w:val="left"/>
        <w:rPr>
          <w:rFonts w:ascii="微软雅黑" w:eastAsia="微软雅黑" w:hAnsi="微软雅黑"/>
          <w:color w:val="365F91" w:themeColor="accent1" w:themeShade="BF"/>
          <w:sz w:val="36"/>
          <w:szCs w:val="21"/>
        </w:rPr>
      </w:pPr>
      <w:r>
        <w:rPr>
          <w:rFonts w:ascii="微软雅黑" w:eastAsia="微软雅黑" w:hAnsi="微软雅黑" w:hint="eastAsia"/>
          <w:color w:val="365F91" w:themeColor="accent1" w:themeShade="BF"/>
          <w:sz w:val="36"/>
          <w:szCs w:val="21"/>
        </w:rPr>
        <w:t>讲师简介</w:t>
      </w:r>
    </w:p>
    <w:p w:rsidR="00EE64FE" w:rsidRDefault="00EE64FE" w:rsidP="00EE64FE">
      <w:pPr>
        <w:spacing w:line="460" w:lineRule="exact"/>
        <w:jc w:val="left"/>
        <w:rPr>
          <w:rFonts w:ascii="微软雅黑" w:eastAsia="微软雅黑" w:hAnsi="微软雅黑"/>
          <w:b/>
          <w:szCs w:val="21"/>
        </w:rPr>
      </w:pPr>
    </w:p>
    <w:p w:rsidR="00B776EE" w:rsidRPr="005E3114" w:rsidRDefault="005361BE" w:rsidP="00B776EE">
      <w:pPr>
        <w:rPr>
          <w:rFonts w:ascii="微软雅黑" w:eastAsia="微软雅黑" w:hAnsi="微软雅黑"/>
          <w:color w:val="1F497D" w:themeColor="text2"/>
          <w:sz w:val="23"/>
          <w:szCs w:val="23"/>
        </w:rPr>
      </w:pPr>
      <w:r>
        <w:rPr>
          <w:noProof/>
        </w:rPr>
        <w:drawing>
          <wp:anchor distT="0" distB="0" distL="114300" distR="114300" simplePos="0" relativeHeight="251673600" behindDoc="1" locked="0" layoutInCell="1" allowOverlap="1" wp14:anchorId="5C66B842" wp14:editId="6BB7ADB7">
            <wp:simplePos x="0" y="0"/>
            <wp:positionH relativeFrom="column">
              <wp:posOffset>4140200</wp:posOffset>
            </wp:positionH>
            <wp:positionV relativeFrom="paragraph">
              <wp:posOffset>43815</wp:posOffset>
            </wp:positionV>
            <wp:extent cx="1419225" cy="1694815"/>
            <wp:effectExtent l="0" t="0" r="9525" b="635"/>
            <wp:wrapTight wrapText="bothSides">
              <wp:wrapPolygon edited="0">
                <wp:start x="0" y="0"/>
                <wp:lineTo x="0" y="21365"/>
                <wp:lineTo x="21455" y="21365"/>
                <wp:lineTo x="21455" y="0"/>
                <wp:lineTo x="0" y="0"/>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1694815"/>
                    </a:xfrm>
                    <a:prstGeom prst="rect">
                      <a:avLst/>
                    </a:prstGeom>
                  </pic:spPr>
                </pic:pic>
              </a:graphicData>
            </a:graphic>
            <wp14:sizeRelH relativeFrom="margin">
              <wp14:pctWidth>0</wp14:pctWidth>
            </wp14:sizeRelH>
            <wp14:sizeRelV relativeFrom="margin">
              <wp14:pctHeight>0</wp14:pctHeight>
            </wp14:sizeRelV>
          </wp:anchor>
        </w:drawing>
      </w:r>
      <w:r w:rsidR="00241937">
        <w:rPr>
          <w:rFonts w:ascii="微软雅黑" w:eastAsia="微软雅黑" w:hAnsi="微软雅黑" w:cs="Arial Unicode MS" w:hint="eastAsia"/>
          <w:b/>
          <w:bCs/>
          <w:color w:val="1F497D" w:themeColor="text2"/>
          <w:sz w:val="24"/>
          <w:szCs w:val="32"/>
        </w:rPr>
        <w:t>史万进</w:t>
      </w:r>
      <w:r w:rsidR="00B776EE" w:rsidRPr="005E3114">
        <w:rPr>
          <w:rFonts w:ascii="微软雅黑" w:eastAsia="微软雅黑" w:hAnsi="微软雅黑" w:cs="Arial Unicode MS" w:hint="eastAsia"/>
          <w:b/>
          <w:bCs/>
          <w:color w:val="1F497D" w:themeColor="text2"/>
          <w:sz w:val="24"/>
          <w:szCs w:val="32"/>
        </w:rPr>
        <w:t>老师</w:t>
      </w:r>
    </w:p>
    <w:p w:rsidR="00241937" w:rsidRPr="00B42C66" w:rsidRDefault="00241937" w:rsidP="005817AC">
      <w:pPr>
        <w:numPr>
          <w:ilvl w:val="0"/>
          <w:numId w:val="36"/>
        </w:numPr>
        <w:spacing w:beforeLines="50" w:before="120" w:line="460" w:lineRule="exact"/>
        <w:ind w:right="420"/>
        <w:rPr>
          <w:rFonts w:ascii="微软雅黑" w:eastAsia="微软雅黑" w:hAnsi="微软雅黑" w:cs="Arial Unicode MS"/>
          <w:b/>
          <w:color w:val="000000"/>
          <w:szCs w:val="21"/>
        </w:rPr>
      </w:pPr>
      <w:r w:rsidRPr="00B42C66">
        <w:rPr>
          <w:rFonts w:ascii="微软雅黑" w:eastAsia="微软雅黑" w:hAnsi="微软雅黑" w:cs="Arial Unicode MS" w:hint="eastAsia"/>
          <w:b/>
          <w:color w:val="000000"/>
          <w:szCs w:val="21"/>
        </w:rPr>
        <w:t>新活力顾问EHS安全研发中心</w:t>
      </w:r>
      <w:r w:rsidR="0078052A">
        <w:rPr>
          <w:rFonts w:ascii="微软雅黑" w:eastAsia="微软雅黑" w:hAnsi="微软雅黑" w:cs="Arial Unicode MS" w:hint="eastAsia"/>
          <w:b/>
          <w:color w:val="000000"/>
          <w:szCs w:val="21"/>
        </w:rPr>
        <w:t xml:space="preserve"> </w:t>
      </w:r>
      <w:r>
        <w:rPr>
          <w:rFonts w:ascii="微软雅黑" w:eastAsia="微软雅黑" w:hAnsi="微软雅黑" w:cs="Arial Unicode MS" w:hint="eastAsia"/>
          <w:b/>
          <w:color w:val="000000"/>
          <w:szCs w:val="21"/>
        </w:rPr>
        <w:t>资深</w:t>
      </w:r>
      <w:r w:rsidRPr="00B42C66">
        <w:rPr>
          <w:rFonts w:ascii="微软雅黑" w:eastAsia="微软雅黑" w:hAnsi="微软雅黑" w:cs="Arial Unicode MS" w:hint="eastAsia"/>
          <w:b/>
          <w:color w:val="000000"/>
          <w:szCs w:val="21"/>
        </w:rPr>
        <w:t>顾问</w:t>
      </w:r>
    </w:p>
    <w:p w:rsidR="00241937" w:rsidRPr="00F526E9" w:rsidRDefault="00241937" w:rsidP="005817AC">
      <w:pPr>
        <w:pStyle w:val="af3"/>
        <w:numPr>
          <w:ilvl w:val="0"/>
          <w:numId w:val="36"/>
        </w:numPr>
        <w:spacing w:line="360" w:lineRule="auto"/>
        <w:ind w:firstLineChars="0"/>
        <w:rPr>
          <w:rFonts w:ascii="微软雅黑" w:eastAsia="微软雅黑" w:hAnsi="微软雅黑"/>
        </w:rPr>
      </w:pPr>
      <w:r w:rsidRPr="00F526E9">
        <w:rPr>
          <w:rFonts w:ascii="微软雅黑" w:eastAsia="微软雅黑" w:hAnsi="微软雅黑" w:hint="eastAsia"/>
        </w:rPr>
        <w:t>南京工业大学安全工程硕士</w:t>
      </w:r>
    </w:p>
    <w:p w:rsidR="00241937" w:rsidRPr="00F526E9" w:rsidRDefault="00241937" w:rsidP="005817AC">
      <w:pPr>
        <w:pStyle w:val="af3"/>
        <w:numPr>
          <w:ilvl w:val="0"/>
          <w:numId w:val="36"/>
        </w:numPr>
        <w:spacing w:line="360" w:lineRule="auto"/>
        <w:ind w:firstLineChars="0"/>
        <w:rPr>
          <w:rFonts w:ascii="微软雅黑" w:eastAsia="微软雅黑" w:hAnsi="微软雅黑"/>
        </w:rPr>
      </w:pPr>
      <w:r w:rsidRPr="00F526E9">
        <w:rPr>
          <w:rFonts w:ascii="微软雅黑" w:eastAsia="微软雅黑" w:hAnsi="微软雅黑" w:hint="eastAsia"/>
        </w:rPr>
        <w:t>华东</w:t>
      </w:r>
      <w:r w:rsidRPr="00F526E9">
        <w:rPr>
          <w:rFonts w:ascii="微软雅黑" w:eastAsia="微软雅黑" w:hAnsi="微软雅黑"/>
        </w:rPr>
        <w:t>地区</w:t>
      </w:r>
      <w:r w:rsidRPr="00F526E9">
        <w:rPr>
          <w:rFonts w:ascii="微软雅黑" w:eastAsia="微软雅黑" w:hAnsi="微软雅黑" w:hint="eastAsia"/>
        </w:rPr>
        <w:t>环境健康</w:t>
      </w:r>
      <w:r w:rsidRPr="00F526E9">
        <w:rPr>
          <w:rFonts w:ascii="微软雅黑" w:eastAsia="微软雅黑" w:hAnsi="微软雅黑"/>
        </w:rPr>
        <w:t>安全管理－资深培训专家</w:t>
      </w:r>
    </w:p>
    <w:p w:rsidR="00B776EE" w:rsidRPr="00885C82" w:rsidRDefault="00241937" w:rsidP="005817AC">
      <w:pPr>
        <w:pStyle w:val="af3"/>
        <w:numPr>
          <w:ilvl w:val="0"/>
          <w:numId w:val="36"/>
        </w:numPr>
        <w:spacing w:line="360" w:lineRule="auto"/>
        <w:ind w:firstLineChars="0"/>
        <w:rPr>
          <w:rFonts w:ascii="微软雅黑" w:eastAsia="微软雅黑" w:hAnsi="微软雅黑"/>
        </w:rPr>
      </w:pPr>
      <w:r w:rsidRPr="00F526E9">
        <w:rPr>
          <w:rFonts w:ascii="微软雅黑" w:eastAsia="微软雅黑" w:hAnsi="微软雅黑" w:hint="eastAsia"/>
        </w:rPr>
        <w:t>国家注册管理咨询师 、国家注册安全工程师、上海市注册安全标准化评审员</w:t>
      </w:r>
    </w:p>
    <w:p w:rsidR="005361BE" w:rsidRDefault="005361BE" w:rsidP="00EB53AD">
      <w:pPr>
        <w:spacing w:line="460" w:lineRule="exact"/>
        <w:rPr>
          <w:rFonts w:ascii="微软雅黑" w:eastAsia="微软雅黑" w:hAnsi="微软雅黑" w:cs="Arial"/>
          <w:b/>
          <w:color w:val="002060"/>
          <w:sz w:val="22"/>
          <w:shd w:val="pct15" w:color="auto" w:fill="FFFFFF"/>
        </w:rPr>
      </w:pPr>
    </w:p>
    <w:p w:rsidR="00B776EE" w:rsidRPr="00F73C5A" w:rsidRDefault="00241937" w:rsidP="00F4358B">
      <w:pPr>
        <w:spacing w:line="440" w:lineRule="exact"/>
        <w:rPr>
          <w:rFonts w:ascii="微软雅黑" w:eastAsia="微软雅黑" w:hAnsi="微软雅黑" w:cs="Arial"/>
          <w:b/>
          <w:color w:val="002060"/>
          <w:sz w:val="22"/>
          <w:shd w:val="pct15" w:color="auto" w:fill="FFFFFF"/>
        </w:rPr>
      </w:pPr>
      <w:r>
        <w:rPr>
          <w:rFonts w:ascii="微软雅黑" w:eastAsia="微软雅黑" w:hAnsi="微软雅黑" w:cs="Arial" w:hint="eastAsia"/>
          <w:b/>
          <w:color w:val="002060"/>
          <w:sz w:val="22"/>
          <w:shd w:val="pct15" w:color="auto" w:fill="FFFFFF"/>
        </w:rPr>
        <w:lastRenderedPageBreak/>
        <w:t>实战经验</w:t>
      </w:r>
    </w:p>
    <w:p w:rsidR="00B776EE" w:rsidRPr="00F233CA" w:rsidRDefault="00241937" w:rsidP="00F4358B">
      <w:pPr>
        <w:spacing w:line="440" w:lineRule="exact"/>
        <w:ind w:firstLineChars="200" w:firstLine="420"/>
        <w:rPr>
          <w:rFonts w:ascii="微软雅黑" w:eastAsia="微软雅黑" w:hAnsi="微软雅黑" w:cs="Arial"/>
          <w:color w:val="000000"/>
        </w:rPr>
      </w:pPr>
      <w:r w:rsidRPr="00241937">
        <w:rPr>
          <w:rFonts w:ascii="微软雅黑" w:eastAsia="微软雅黑" w:hAnsi="微软雅黑" w:cs="Arial" w:hint="eastAsia"/>
          <w:color w:val="000000"/>
        </w:rPr>
        <w:t>史老师曾在国内化工企业及全球知名电子制造集团任职EHS（环境及职业健康安全）主管工作, 积累了丰富的EHS现场管理经验。拥有上百家知名企业（包括数十家世界500强）环境、安全管理项目培训与辅导经验，对机械制造、电子、化工等相关行业等各类企业环境、职业健康与安全管理问题有深入的研究。</w:t>
      </w:r>
      <w:r w:rsidRPr="00241937">
        <w:rPr>
          <w:rFonts w:ascii="微软雅黑" w:eastAsia="微软雅黑" w:hAnsi="微软雅黑" w:cs="Arial" w:hint="eastAsia"/>
          <w:color w:val="000000"/>
        </w:rPr>
        <w:cr/>
      </w:r>
      <w:r w:rsidR="00F4358B">
        <w:rPr>
          <w:rFonts w:ascii="微软雅黑" w:eastAsia="微软雅黑" w:hAnsi="微软雅黑" w:cs="Arial"/>
          <w:color w:val="000000"/>
        </w:rPr>
        <w:t xml:space="preserve">    </w:t>
      </w:r>
      <w:r w:rsidRPr="00241937">
        <w:rPr>
          <w:rFonts w:ascii="微软雅黑" w:eastAsia="微软雅黑" w:hAnsi="微软雅黑" w:cs="Arial" w:hint="eastAsia"/>
          <w:color w:val="000000"/>
        </w:rPr>
        <w:t>史老师设计和实施了大量的EHS培训科目，史老师的环境与安全管理课程，逻辑缜密、系统规范，强调实用、操作可行。活泼，幽默，课堂气氛活跃，擅于利用引导教学技术、善用大量情景案例、新闻事件启发学员对环境与安全管理的自我反思，参与性、互动性、实用性强,。</w:t>
      </w:r>
      <w:r w:rsidRPr="00241937">
        <w:rPr>
          <w:rFonts w:ascii="微软雅黑" w:eastAsia="微软雅黑" w:hAnsi="微软雅黑" w:cs="Arial"/>
          <w:color w:val="000000"/>
        </w:rPr>
        <w:cr/>
      </w:r>
    </w:p>
    <w:p w:rsidR="00B776EE" w:rsidRPr="00F73C5A" w:rsidRDefault="00241937" w:rsidP="00F4358B">
      <w:pPr>
        <w:spacing w:line="440" w:lineRule="exact"/>
        <w:rPr>
          <w:rFonts w:ascii="微软雅黑" w:eastAsia="微软雅黑" w:hAnsi="微软雅黑" w:cs="Arial"/>
          <w:b/>
          <w:color w:val="002060"/>
          <w:sz w:val="22"/>
          <w:shd w:val="pct15" w:color="auto" w:fill="FFFFFF"/>
        </w:rPr>
      </w:pPr>
      <w:r>
        <w:rPr>
          <w:rFonts w:ascii="微软雅黑" w:eastAsia="微软雅黑" w:hAnsi="微软雅黑" w:cs="Arial" w:hint="eastAsia"/>
          <w:b/>
          <w:color w:val="002060"/>
          <w:sz w:val="22"/>
          <w:shd w:val="pct15" w:color="auto" w:fill="FFFFFF"/>
        </w:rPr>
        <w:t>主打课程</w:t>
      </w:r>
    </w:p>
    <w:p w:rsidR="00B776EE" w:rsidRPr="00241937" w:rsidRDefault="00241937" w:rsidP="00F4358B">
      <w:pPr>
        <w:spacing w:line="440" w:lineRule="exact"/>
        <w:rPr>
          <w:rFonts w:ascii="微软雅黑" w:eastAsia="微软雅黑" w:hAnsi="微软雅黑" w:cs="Arial"/>
          <w:b/>
          <w:color w:val="002060"/>
          <w:sz w:val="22"/>
          <w:shd w:val="pct15" w:color="auto" w:fill="FFFFFF"/>
        </w:rPr>
      </w:pPr>
      <w:r w:rsidRPr="00241937">
        <w:rPr>
          <w:rFonts w:ascii="微软雅黑" w:eastAsia="微软雅黑" w:hAnsi="微软雅黑" w:cs="Arial" w:hint="eastAsia"/>
          <w:color w:val="000000"/>
        </w:rPr>
        <w:t>《危险源辨识与风险评价》、《EHS管理体系构建与实施》、《EHS法律法规及应用管理实务》、《消防安全管理实务》、《应急准备与响应》、《中高层安全属地与安全领导力管理》、《工业卫生管理专项培训》、《GHS全球化学品统一分与标识管理》、《危险化学品管理实务》、《BBS&amp;STOP安全观察培训程序》、《班组长安全意识提升培训》、《事故调查与分析管理》、《环境三废与废弃物废弃物管理实务》、《人机工程与安全改善》、《机械与电气防护管理》、《SCC承商包商安全认证培训》……</w:t>
      </w:r>
      <w:r>
        <w:rPr>
          <w:rFonts w:ascii="微软雅黑" w:eastAsia="微软雅黑" w:hAnsi="微软雅黑" w:cs="Arial" w:hint="eastAsia"/>
          <w:color w:val="000000"/>
        </w:rPr>
        <w:cr/>
      </w:r>
    </w:p>
    <w:p w:rsidR="00B776EE" w:rsidRPr="001949C5" w:rsidRDefault="00B776EE" w:rsidP="00F4358B">
      <w:pPr>
        <w:spacing w:line="440" w:lineRule="exact"/>
        <w:rPr>
          <w:rFonts w:ascii="微软雅黑" w:eastAsia="微软雅黑" w:hAnsi="微软雅黑" w:cs="Arial"/>
          <w:b/>
          <w:color w:val="002060"/>
          <w:sz w:val="22"/>
          <w:shd w:val="pct15" w:color="auto" w:fill="FFFFFF"/>
        </w:rPr>
      </w:pPr>
      <w:r w:rsidRPr="001949C5">
        <w:rPr>
          <w:rFonts w:ascii="微软雅黑" w:eastAsia="微软雅黑" w:hAnsi="微软雅黑" w:cs="Arial" w:hint="eastAsia"/>
          <w:b/>
          <w:color w:val="002060"/>
          <w:sz w:val="22"/>
          <w:shd w:val="pct15" w:color="auto" w:fill="FFFFFF"/>
        </w:rPr>
        <w:t>服务的部分客户</w:t>
      </w:r>
    </w:p>
    <w:p w:rsidR="00F26792" w:rsidRPr="00885C82" w:rsidRDefault="00885C82" w:rsidP="00F4358B">
      <w:pPr>
        <w:spacing w:line="440" w:lineRule="exact"/>
        <w:rPr>
          <w:rFonts w:ascii="微软雅黑" w:eastAsia="微软雅黑" w:hAnsi="微软雅黑" w:cs="Arial"/>
          <w:color w:val="000000"/>
        </w:rPr>
      </w:pPr>
      <w:r w:rsidRPr="00F4358B">
        <w:rPr>
          <w:rFonts w:ascii="微软雅黑" w:eastAsia="微软雅黑" w:hAnsi="微软雅黑" w:cs="Arial" w:hint="eastAsia"/>
          <w:b/>
          <w:color w:val="000000"/>
          <w:u w:val="single"/>
        </w:rPr>
        <w:t>汽车行业：</w:t>
      </w:r>
      <w:proofErr w:type="gramStart"/>
      <w:r w:rsidRPr="00885C82">
        <w:rPr>
          <w:rFonts w:ascii="微软雅黑" w:eastAsia="微软雅黑" w:hAnsi="微软雅黑" w:cs="Arial" w:hint="eastAsia"/>
          <w:color w:val="000000"/>
        </w:rPr>
        <w:t>一</w:t>
      </w:r>
      <w:proofErr w:type="gramEnd"/>
      <w:r w:rsidRPr="00885C82">
        <w:rPr>
          <w:rFonts w:ascii="微软雅黑" w:eastAsia="微软雅黑" w:hAnsi="微软雅黑" w:cs="Arial" w:hint="eastAsia"/>
          <w:color w:val="000000"/>
        </w:rPr>
        <w:t>汽大众、上海大众、沈阳华晨宝马汽车、宝马（中国）服务、浙江万向集团芜湖工厂、乔治费歇尔汽车产品、新日</w:t>
      </w:r>
      <w:proofErr w:type="gramStart"/>
      <w:r w:rsidRPr="00885C82">
        <w:rPr>
          <w:rFonts w:ascii="微软雅黑" w:eastAsia="微软雅黑" w:hAnsi="微软雅黑" w:cs="Arial" w:hint="eastAsia"/>
          <w:color w:val="000000"/>
        </w:rPr>
        <w:t>铁汽车</w:t>
      </w:r>
      <w:proofErr w:type="gramEnd"/>
      <w:r w:rsidRPr="00885C82">
        <w:rPr>
          <w:rFonts w:ascii="微软雅黑" w:eastAsia="微软雅黑" w:hAnsi="微软雅黑" w:cs="Arial" w:hint="eastAsia"/>
          <w:color w:val="000000"/>
        </w:rPr>
        <w:t>部件、万都底盘部件、</w:t>
      </w:r>
      <w:proofErr w:type="gramStart"/>
      <w:r w:rsidRPr="00885C82">
        <w:rPr>
          <w:rFonts w:ascii="微软雅黑" w:eastAsia="微软雅黑" w:hAnsi="微软雅黑" w:cs="Arial" w:hint="eastAsia"/>
          <w:color w:val="000000"/>
        </w:rPr>
        <w:t>瀚</w:t>
      </w:r>
      <w:proofErr w:type="gramEnd"/>
      <w:r w:rsidRPr="00885C82">
        <w:rPr>
          <w:rFonts w:ascii="微软雅黑" w:eastAsia="微软雅黑" w:hAnsi="微软雅黑" w:cs="Arial" w:hint="eastAsia"/>
          <w:color w:val="000000"/>
        </w:rPr>
        <w:t>德汽车产品、森萨塔科技、吉凯恩工业、大赛</w:t>
      </w:r>
      <w:proofErr w:type="gramStart"/>
      <w:r w:rsidRPr="00885C82">
        <w:rPr>
          <w:rFonts w:ascii="微软雅黑" w:eastAsia="微软雅黑" w:hAnsi="微软雅黑" w:cs="Arial" w:hint="eastAsia"/>
          <w:color w:val="000000"/>
        </w:rPr>
        <w:t>璐</w:t>
      </w:r>
      <w:proofErr w:type="gramEnd"/>
      <w:r w:rsidRPr="00885C82">
        <w:rPr>
          <w:rFonts w:ascii="微软雅黑" w:eastAsia="微软雅黑" w:hAnsi="微软雅黑" w:cs="Arial" w:hint="eastAsia"/>
          <w:color w:val="000000"/>
        </w:rPr>
        <w:t>安全系统、北京首钢冷轧薄板、北京首钢冷轧薄板、张家港浦项不锈钢、凯斯库汽车部件、高田（长兴）汽车安全装置、固铂（昆山）轮胎、住友橡胶、正新橡胶、江苏双良集团复合材料、富乐压铸、宁波华</w:t>
      </w:r>
      <w:proofErr w:type="gramStart"/>
      <w:r w:rsidRPr="00885C82">
        <w:rPr>
          <w:rFonts w:ascii="微软雅黑" w:eastAsia="微软雅黑" w:hAnsi="微软雅黑" w:cs="Arial" w:hint="eastAsia"/>
          <w:color w:val="000000"/>
        </w:rPr>
        <w:t>翔电子</w:t>
      </w:r>
      <w:proofErr w:type="gramEnd"/>
      <w:r w:rsidRPr="00885C82">
        <w:rPr>
          <w:rFonts w:ascii="微软雅黑" w:eastAsia="微软雅黑" w:hAnsi="微软雅黑" w:cs="Arial" w:hint="eastAsia"/>
          <w:color w:val="000000"/>
        </w:rPr>
        <w:t>……</w:t>
      </w:r>
      <w:r w:rsidRPr="00885C82">
        <w:rPr>
          <w:rFonts w:ascii="微软雅黑" w:eastAsia="微软雅黑" w:hAnsi="微软雅黑" w:cs="Arial" w:hint="eastAsia"/>
          <w:color w:val="000000"/>
        </w:rPr>
        <w:cr/>
      </w:r>
      <w:r w:rsidRPr="00F4358B">
        <w:rPr>
          <w:rFonts w:ascii="微软雅黑" w:eastAsia="微软雅黑" w:hAnsi="微软雅黑" w:cs="Arial" w:hint="eastAsia"/>
          <w:b/>
          <w:color w:val="000000"/>
          <w:u w:val="single"/>
        </w:rPr>
        <w:t>化工行业：</w:t>
      </w:r>
      <w:r w:rsidRPr="00885C82">
        <w:rPr>
          <w:rFonts w:ascii="微软雅黑" w:eastAsia="微软雅黑" w:hAnsi="微软雅黑" w:cs="Arial" w:hint="eastAsia"/>
          <w:color w:val="000000"/>
        </w:rPr>
        <w:t>江西三美化工、浙江省化工研究院、中化集团太仓产业园、浙江华峰氨纶、大金氟化工、南通迈图高新材料、江苏长顺集团、联合利华……</w:t>
      </w:r>
      <w:r w:rsidRPr="00885C82">
        <w:rPr>
          <w:rFonts w:ascii="微软雅黑" w:eastAsia="微软雅黑" w:hAnsi="微软雅黑" w:cs="Arial" w:hint="eastAsia"/>
          <w:color w:val="000000"/>
        </w:rPr>
        <w:cr/>
      </w:r>
      <w:r w:rsidRPr="00F4358B">
        <w:rPr>
          <w:rFonts w:ascii="微软雅黑" w:eastAsia="微软雅黑" w:hAnsi="微软雅黑" w:cs="Arial" w:hint="eastAsia"/>
          <w:b/>
          <w:color w:val="000000"/>
          <w:u w:val="single"/>
        </w:rPr>
        <w:t>医药行业：</w:t>
      </w:r>
      <w:r w:rsidRPr="00885C82">
        <w:rPr>
          <w:rFonts w:ascii="微软雅黑" w:eastAsia="微软雅黑" w:hAnsi="微软雅黑" w:cs="Arial" w:hint="eastAsia"/>
          <w:color w:val="000000"/>
        </w:rPr>
        <w:t>浙江九州药业、阳光药业、扬子江药业……</w:t>
      </w:r>
      <w:r w:rsidRPr="00885C82">
        <w:rPr>
          <w:rFonts w:ascii="微软雅黑" w:eastAsia="微软雅黑" w:hAnsi="微软雅黑" w:cs="Arial" w:hint="eastAsia"/>
          <w:color w:val="000000"/>
        </w:rPr>
        <w:cr/>
        <w:t>装备制造：阿特拉斯.科普</w:t>
      </w:r>
      <w:proofErr w:type="gramStart"/>
      <w:r w:rsidRPr="00885C82">
        <w:rPr>
          <w:rFonts w:ascii="微软雅黑" w:eastAsia="微软雅黑" w:hAnsi="微软雅黑" w:cs="Arial" w:hint="eastAsia"/>
          <w:color w:val="000000"/>
        </w:rPr>
        <w:t>柯</w:t>
      </w:r>
      <w:proofErr w:type="gramEnd"/>
      <w:r w:rsidRPr="00885C82">
        <w:rPr>
          <w:rFonts w:ascii="微软雅黑" w:eastAsia="微软雅黑" w:hAnsi="微软雅黑" w:cs="Arial" w:hint="eastAsia"/>
          <w:color w:val="000000"/>
        </w:rPr>
        <w:t>集团、上海博莱特压缩机有限公司、广州</w:t>
      </w:r>
      <w:proofErr w:type="gramStart"/>
      <w:r w:rsidRPr="00885C82">
        <w:rPr>
          <w:rFonts w:ascii="微软雅黑" w:eastAsia="微软雅黑" w:hAnsi="微软雅黑" w:cs="Arial" w:hint="eastAsia"/>
          <w:color w:val="000000"/>
        </w:rPr>
        <w:t>凌格风</w:t>
      </w:r>
      <w:proofErr w:type="gramEnd"/>
      <w:r w:rsidRPr="00885C82">
        <w:rPr>
          <w:rFonts w:ascii="微软雅黑" w:eastAsia="微软雅黑" w:hAnsi="微软雅黑" w:cs="Arial" w:hint="eastAsia"/>
          <w:color w:val="000000"/>
        </w:rPr>
        <w:t>压缩机、</w:t>
      </w:r>
      <w:proofErr w:type="gramStart"/>
      <w:r w:rsidRPr="00885C82">
        <w:rPr>
          <w:rFonts w:ascii="微软雅黑" w:eastAsia="微软雅黑" w:hAnsi="微软雅黑" w:cs="Arial" w:hint="eastAsia"/>
          <w:color w:val="000000"/>
        </w:rPr>
        <w:t>爱美克</w:t>
      </w:r>
      <w:proofErr w:type="gramEnd"/>
      <w:r w:rsidRPr="00885C82">
        <w:rPr>
          <w:rFonts w:ascii="微软雅黑" w:eastAsia="微软雅黑" w:hAnsi="微软雅黑" w:cs="Arial" w:hint="eastAsia"/>
          <w:color w:val="000000"/>
        </w:rPr>
        <w:t>空气过滤器、盖茨液压技术、常熟达涅利冶金设备、曼恩机械……</w:t>
      </w:r>
      <w:r w:rsidRPr="00885C82">
        <w:rPr>
          <w:rFonts w:ascii="微软雅黑" w:eastAsia="微软雅黑" w:hAnsi="微软雅黑" w:cs="Arial" w:hint="eastAsia"/>
          <w:color w:val="000000"/>
        </w:rPr>
        <w:cr/>
      </w:r>
      <w:r w:rsidRPr="00F4358B">
        <w:rPr>
          <w:rFonts w:ascii="微软雅黑" w:eastAsia="微软雅黑" w:hAnsi="微软雅黑" w:cs="Arial" w:hint="eastAsia"/>
          <w:b/>
          <w:color w:val="000000"/>
          <w:u w:val="single"/>
        </w:rPr>
        <w:t>电子行业：</w:t>
      </w:r>
      <w:r w:rsidRPr="00885C82">
        <w:rPr>
          <w:rFonts w:ascii="微软雅黑" w:eastAsia="微软雅黑" w:hAnsi="微软雅黑" w:cs="Arial" w:hint="eastAsia"/>
          <w:color w:val="000000"/>
        </w:rPr>
        <w:t>莱克电气股份、微密科技、上海梅兰日兰电子、西门子听力仪器……</w:t>
      </w:r>
      <w:r w:rsidRPr="00885C82">
        <w:rPr>
          <w:rFonts w:ascii="微软雅黑" w:eastAsia="微软雅黑" w:hAnsi="微软雅黑" w:cs="Arial"/>
          <w:color w:val="000000"/>
        </w:rPr>
        <w:cr/>
      </w:r>
    </w:p>
    <w:sectPr w:rsidR="00F26792" w:rsidRPr="00885C82" w:rsidSect="00816013">
      <w:headerReference w:type="default" r:id="rId11"/>
      <w:type w:val="continuous"/>
      <w:pgSz w:w="11906" w:h="16838"/>
      <w:pgMar w:top="1440" w:right="1797" w:bottom="1440" w:left="1797" w:header="1474" w:footer="51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0B" w:rsidRDefault="00966B0B">
      <w:r>
        <w:separator/>
      </w:r>
    </w:p>
  </w:endnote>
  <w:endnote w:type="continuationSeparator" w:id="0">
    <w:p w:rsidR="00966B0B" w:rsidRDefault="0096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B0604030504040204"/>
    <w:charset w:val="88"/>
    <w:family w:val="roman"/>
    <w:pitch w:val="variable"/>
    <w:sig w:usb0="00000000"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0B" w:rsidRDefault="00966B0B">
      <w:r>
        <w:separator/>
      </w:r>
    </w:p>
  </w:footnote>
  <w:footnote w:type="continuationSeparator" w:id="0">
    <w:p w:rsidR="00966B0B" w:rsidRDefault="00966B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13" w:rsidRDefault="00816013" w:rsidP="00816013">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15:restartNumberingAfterBreak="0">
    <w:nsid w:val="000C7BE9"/>
    <w:multiLevelType w:val="hybridMultilevel"/>
    <w:tmpl w:val="319A2E3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B6E6F"/>
    <w:multiLevelType w:val="hybridMultilevel"/>
    <w:tmpl w:val="0F465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552B0"/>
    <w:multiLevelType w:val="multilevel"/>
    <w:tmpl w:val="063552B0"/>
    <w:lvl w:ilvl="0">
      <w:start w:val="1"/>
      <w:numFmt w:val="bullet"/>
      <w:lvlText w:val=""/>
      <w:lvlPicBulletId w:val="1"/>
      <w:lvlJc w:val="left"/>
      <w:pPr>
        <w:tabs>
          <w:tab w:val="left" w:pos="-1260"/>
        </w:tabs>
        <w:ind w:left="-1260" w:hanging="420"/>
      </w:pPr>
      <w:rPr>
        <w:rFonts w:ascii="Symbol" w:eastAsia="宋体"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420"/>
        </w:tabs>
        <w:ind w:left="-420" w:hanging="420"/>
      </w:pPr>
      <w:rPr>
        <w:rFonts w:ascii="Wingdings" w:hAnsi="Wingdings" w:hint="default"/>
      </w:rPr>
    </w:lvl>
    <w:lvl w:ilvl="4">
      <w:start w:val="1"/>
      <w:numFmt w:val="bullet"/>
      <w:lvlText w:val=""/>
      <w:lvlJc w:val="left"/>
      <w:pPr>
        <w:tabs>
          <w:tab w:val="left" w:pos="0"/>
        </w:tabs>
        <w:ind w:left="0" w:hanging="420"/>
      </w:pPr>
      <w:rPr>
        <w:rFonts w:ascii="Wingdings" w:hAnsi="Wingdings" w:hint="default"/>
      </w:rPr>
    </w:lvl>
    <w:lvl w:ilvl="5">
      <w:start w:val="1"/>
      <w:numFmt w:val="bullet"/>
      <w:lvlText w:val=""/>
      <w:lvlJc w:val="left"/>
      <w:pPr>
        <w:tabs>
          <w:tab w:val="left" w:pos="420"/>
        </w:tabs>
        <w:ind w:left="420" w:hanging="420"/>
      </w:pPr>
      <w:rPr>
        <w:rFonts w:ascii="Wingdings" w:hAnsi="Wingdings" w:hint="default"/>
      </w:rPr>
    </w:lvl>
    <w:lvl w:ilvl="6">
      <w:start w:val="1"/>
      <w:numFmt w:val="bullet"/>
      <w:lvlText w:val=""/>
      <w:lvlJc w:val="left"/>
      <w:pPr>
        <w:tabs>
          <w:tab w:val="left" w:pos="840"/>
        </w:tabs>
        <w:ind w:left="840" w:hanging="420"/>
      </w:pPr>
      <w:rPr>
        <w:rFonts w:ascii="Wingdings" w:hAnsi="Wingdings" w:hint="default"/>
      </w:rPr>
    </w:lvl>
    <w:lvl w:ilvl="7">
      <w:start w:val="1"/>
      <w:numFmt w:val="bullet"/>
      <w:lvlText w:val=""/>
      <w:lvlJc w:val="left"/>
      <w:pPr>
        <w:tabs>
          <w:tab w:val="left" w:pos="1260"/>
        </w:tabs>
        <w:ind w:left="1260" w:hanging="420"/>
      </w:pPr>
      <w:rPr>
        <w:rFonts w:ascii="Wingdings" w:hAnsi="Wingdings" w:hint="default"/>
      </w:rPr>
    </w:lvl>
    <w:lvl w:ilvl="8">
      <w:start w:val="1"/>
      <w:numFmt w:val="bullet"/>
      <w:lvlText w:val=""/>
      <w:lvlJc w:val="left"/>
      <w:pPr>
        <w:tabs>
          <w:tab w:val="left" w:pos="1680"/>
        </w:tabs>
        <w:ind w:left="1680" w:hanging="420"/>
      </w:pPr>
      <w:rPr>
        <w:rFonts w:ascii="Wingdings" w:hAnsi="Wingdings" w:hint="default"/>
      </w:rPr>
    </w:lvl>
  </w:abstractNum>
  <w:abstractNum w:abstractNumId="3" w15:restartNumberingAfterBreak="0">
    <w:nsid w:val="08961A9A"/>
    <w:multiLevelType w:val="hybridMultilevel"/>
    <w:tmpl w:val="86A048D6"/>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A1B5594"/>
    <w:multiLevelType w:val="hybridMultilevel"/>
    <w:tmpl w:val="9FD2B8FA"/>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C1B23F9"/>
    <w:multiLevelType w:val="hybridMultilevel"/>
    <w:tmpl w:val="7FB47B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B65156"/>
    <w:multiLevelType w:val="multilevel"/>
    <w:tmpl w:val="0CB6515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E4A560E"/>
    <w:multiLevelType w:val="multilevel"/>
    <w:tmpl w:val="0E4A56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AD1321"/>
    <w:multiLevelType w:val="hybridMultilevel"/>
    <w:tmpl w:val="002E4800"/>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89372B0"/>
    <w:multiLevelType w:val="multilevel"/>
    <w:tmpl w:val="AC8CF6D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DCC47C1"/>
    <w:multiLevelType w:val="hybridMultilevel"/>
    <w:tmpl w:val="15D61CBE"/>
    <w:lvl w:ilvl="0" w:tplc="910E591A">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694B13"/>
    <w:multiLevelType w:val="hybridMultilevel"/>
    <w:tmpl w:val="BE9E389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206E5"/>
    <w:multiLevelType w:val="hybridMultilevel"/>
    <w:tmpl w:val="319A2E3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FA33C7"/>
    <w:multiLevelType w:val="hybridMultilevel"/>
    <w:tmpl w:val="03FC4C72"/>
    <w:lvl w:ilvl="0" w:tplc="0409000B">
      <w:start w:val="1"/>
      <w:numFmt w:val="bullet"/>
      <w:lvlText w:val=""/>
      <w:lvlJc w:val="left"/>
      <w:pPr>
        <w:ind w:left="420" w:hanging="420"/>
      </w:pPr>
      <w:rPr>
        <w:rFonts w:ascii="Wingdings" w:hAnsi="Wingdings" w:hint="default"/>
        <w:b/>
        <w:i w:val="0"/>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CC0ABE"/>
    <w:multiLevelType w:val="multilevel"/>
    <w:tmpl w:val="64B00D6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810706"/>
    <w:multiLevelType w:val="multilevel"/>
    <w:tmpl w:val="105E3A78"/>
    <w:lvl w:ilvl="0">
      <w:start w:val="1"/>
      <w:numFmt w:val="bullet"/>
      <w:lvlText w:val=""/>
      <w:lvlJc w:val="left"/>
      <w:pPr>
        <w:ind w:left="1225" w:hanging="420"/>
      </w:pPr>
      <w:rPr>
        <w:rFonts w:ascii="Wingdings" w:hAnsi="Wingdings" w:hint="default"/>
      </w:rPr>
    </w:lvl>
    <w:lvl w:ilvl="1">
      <w:start w:val="1"/>
      <w:numFmt w:val="bullet"/>
      <w:lvlText w:val=""/>
      <w:lvlJc w:val="left"/>
      <w:pPr>
        <w:ind w:left="1645" w:hanging="420"/>
      </w:pPr>
      <w:rPr>
        <w:rFonts w:ascii="Wingdings" w:hAnsi="Wingdings" w:hint="default"/>
      </w:rPr>
    </w:lvl>
    <w:lvl w:ilvl="2">
      <w:start w:val="1"/>
      <w:numFmt w:val="bullet"/>
      <w:lvlText w:val=""/>
      <w:lvlJc w:val="left"/>
      <w:pPr>
        <w:ind w:left="2065" w:hanging="420"/>
      </w:pPr>
      <w:rPr>
        <w:rFonts w:ascii="Wingdings" w:hAnsi="Wingdings" w:hint="default"/>
      </w:rPr>
    </w:lvl>
    <w:lvl w:ilvl="3">
      <w:start w:val="1"/>
      <w:numFmt w:val="bullet"/>
      <w:lvlText w:val=""/>
      <w:lvlJc w:val="left"/>
      <w:pPr>
        <w:ind w:left="2485" w:hanging="420"/>
      </w:pPr>
      <w:rPr>
        <w:rFonts w:ascii="Wingdings" w:hAnsi="Wingdings" w:hint="default"/>
      </w:rPr>
    </w:lvl>
    <w:lvl w:ilvl="4">
      <w:start w:val="1"/>
      <w:numFmt w:val="bullet"/>
      <w:lvlText w:val=""/>
      <w:lvlJc w:val="left"/>
      <w:pPr>
        <w:ind w:left="2905" w:hanging="420"/>
      </w:pPr>
      <w:rPr>
        <w:rFonts w:ascii="Wingdings" w:hAnsi="Wingdings" w:hint="default"/>
      </w:rPr>
    </w:lvl>
    <w:lvl w:ilvl="5">
      <w:start w:val="1"/>
      <w:numFmt w:val="bullet"/>
      <w:lvlText w:val=""/>
      <w:lvlJc w:val="left"/>
      <w:pPr>
        <w:ind w:left="3325" w:hanging="420"/>
      </w:pPr>
      <w:rPr>
        <w:rFonts w:ascii="Wingdings" w:hAnsi="Wingdings" w:hint="default"/>
      </w:rPr>
    </w:lvl>
    <w:lvl w:ilvl="6">
      <w:start w:val="1"/>
      <w:numFmt w:val="bullet"/>
      <w:lvlText w:val=""/>
      <w:lvlJc w:val="left"/>
      <w:pPr>
        <w:ind w:left="3745" w:hanging="420"/>
      </w:pPr>
      <w:rPr>
        <w:rFonts w:ascii="Wingdings" w:hAnsi="Wingdings" w:hint="default"/>
      </w:rPr>
    </w:lvl>
    <w:lvl w:ilvl="7">
      <w:start w:val="1"/>
      <w:numFmt w:val="bullet"/>
      <w:lvlText w:val=""/>
      <w:lvlJc w:val="left"/>
      <w:pPr>
        <w:ind w:left="4165" w:hanging="420"/>
      </w:pPr>
      <w:rPr>
        <w:rFonts w:ascii="Wingdings" w:hAnsi="Wingdings" w:hint="default"/>
      </w:rPr>
    </w:lvl>
    <w:lvl w:ilvl="8">
      <w:start w:val="1"/>
      <w:numFmt w:val="bullet"/>
      <w:lvlText w:val=""/>
      <w:lvlJc w:val="left"/>
      <w:pPr>
        <w:ind w:left="4585" w:hanging="420"/>
      </w:pPr>
      <w:rPr>
        <w:rFonts w:ascii="Wingdings" w:hAnsi="Wingdings" w:hint="default"/>
      </w:rPr>
    </w:lvl>
  </w:abstractNum>
  <w:abstractNum w:abstractNumId="16" w15:restartNumberingAfterBreak="0">
    <w:nsid w:val="2C84771D"/>
    <w:multiLevelType w:val="hybridMultilevel"/>
    <w:tmpl w:val="B54A7A5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1960AF1"/>
    <w:multiLevelType w:val="multilevel"/>
    <w:tmpl w:val="31960A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155784"/>
    <w:multiLevelType w:val="hybridMultilevel"/>
    <w:tmpl w:val="319A2E3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270824"/>
    <w:multiLevelType w:val="hybridMultilevel"/>
    <w:tmpl w:val="137E4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F86C0A"/>
    <w:multiLevelType w:val="hybridMultilevel"/>
    <w:tmpl w:val="319A2E3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151D00"/>
    <w:multiLevelType w:val="hybridMultilevel"/>
    <w:tmpl w:val="676E7A0E"/>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4DDA678C"/>
    <w:multiLevelType w:val="hybridMultilevel"/>
    <w:tmpl w:val="53D23914"/>
    <w:lvl w:ilvl="0" w:tplc="04090009">
      <w:start w:val="1"/>
      <w:numFmt w:val="bullet"/>
      <w:lvlText w:val=""/>
      <w:lvlJc w:val="left"/>
      <w:pPr>
        <w:ind w:left="846" w:hanging="420"/>
      </w:pPr>
      <w:rPr>
        <w:rFonts w:ascii="Wingdings" w:hAnsi="Wingding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4F0A783C"/>
    <w:multiLevelType w:val="hybridMultilevel"/>
    <w:tmpl w:val="0FC6A418"/>
    <w:lvl w:ilvl="0" w:tplc="8D5EF0D6">
      <w:start w:val="1"/>
      <w:numFmt w:val="bullet"/>
      <w:lvlText w:val=""/>
      <w:lvlJc w:val="left"/>
      <w:pPr>
        <w:ind w:left="420" w:hanging="420"/>
      </w:pPr>
      <w:rPr>
        <w:rFonts w:ascii="Wingdings" w:hAnsi="Wingdings" w:hint="default"/>
        <w:color w:val="00206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F2446E"/>
    <w:multiLevelType w:val="hybridMultilevel"/>
    <w:tmpl w:val="0B8C7C5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577DF5"/>
    <w:multiLevelType w:val="hybridMultilevel"/>
    <w:tmpl w:val="E160C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087DAE"/>
    <w:multiLevelType w:val="hybridMultilevel"/>
    <w:tmpl w:val="BFD86558"/>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5FB73642"/>
    <w:multiLevelType w:val="hybridMultilevel"/>
    <w:tmpl w:val="5C48A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831885"/>
    <w:multiLevelType w:val="hybridMultilevel"/>
    <w:tmpl w:val="DCD2F7D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18D172C"/>
    <w:multiLevelType w:val="hybridMultilevel"/>
    <w:tmpl w:val="319A2E3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B23C6F"/>
    <w:multiLevelType w:val="multilevel"/>
    <w:tmpl w:val="64B23C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983272D"/>
    <w:multiLevelType w:val="multilevel"/>
    <w:tmpl w:val="6983272D"/>
    <w:lvl w:ilvl="0">
      <w:start w:val="1"/>
      <w:numFmt w:val="bullet"/>
      <w:pStyle w:val="2163"/>
      <w:lvlText w:val=""/>
      <w:lvlPicBulletId w:val="0"/>
      <w:lvlJc w:val="left"/>
      <w:pPr>
        <w:tabs>
          <w:tab w:val="left" w:pos="2181"/>
        </w:tabs>
        <w:ind w:left="2181" w:hanging="480"/>
      </w:pPr>
      <w:rPr>
        <w:rFonts w:ascii="Symbol" w:hAnsi="Symbol" w:hint="default"/>
        <w:color w:val="auto"/>
      </w:rPr>
    </w:lvl>
    <w:lvl w:ilvl="1">
      <w:start w:val="1"/>
      <w:numFmt w:val="bullet"/>
      <w:lvlText w:val=""/>
      <w:lvlJc w:val="left"/>
      <w:pPr>
        <w:tabs>
          <w:tab w:val="left" w:pos="4101"/>
        </w:tabs>
        <w:ind w:left="4101" w:hanging="480"/>
      </w:pPr>
      <w:rPr>
        <w:rFonts w:ascii="Wingdings" w:hAnsi="Wingdings" w:hint="default"/>
      </w:rPr>
    </w:lvl>
    <w:lvl w:ilvl="2">
      <w:start w:val="1"/>
      <w:numFmt w:val="bullet"/>
      <w:lvlText w:val=""/>
      <w:lvlJc w:val="left"/>
      <w:pPr>
        <w:tabs>
          <w:tab w:val="left" w:pos="4581"/>
        </w:tabs>
        <w:ind w:left="4581" w:hanging="480"/>
      </w:pPr>
      <w:rPr>
        <w:rFonts w:ascii="Wingdings" w:hAnsi="Wingdings" w:hint="default"/>
      </w:rPr>
    </w:lvl>
    <w:lvl w:ilvl="3">
      <w:start w:val="1"/>
      <w:numFmt w:val="bullet"/>
      <w:lvlText w:val=""/>
      <w:lvlJc w:val="left"/>
      <w:pPr>
        <w:tabs>
          <w:tab w:val="left" w:pos="5061"/>
        </w:tabs>
        <w:ind w:left="5061" w:hanging="480"/>
      </w:pPr>
      <w:rPr>
        <w:rFonts w:ascii="Wingdings" w:hAnsi="Wingdings" w:hint="default"/>
      </w:rPr>
    </w:lvl>
    <w:lvl w:ilvl="4">
      <w:start w:val="1"/>
      <w:numFmt w:val="bullet"/>
      <w:lvlText w:val=""/>
      <w:lvlJc w:val="left"/>
      <w:pPr>
        <w:tabs>
          <w:tab w:val="left" w:pos="5541"/>
        </w:tabs>
        <w:ind w:left="5541" w:hanging="480"/>
      </w:pPr>
      <w:rPr>
        <w:rFonts w:ascii="Wingdings" w:hAnsi="Wingdings" w:hint="default"/>
      </w:rPr>
    </w:lvl>
    <w:lvl w:ilvl="5">
      <w:start w:val="1"/>
      <w:numFmt w:val="bullet"/>
      <w:lvlText w:val=""/>
      <w:lvlJc w:val="left"/>
      <w:pPr>
        <w:tabs>
          <w:tab w:val="left" w:pos="6021"/>
        </w:tabs>
        <w:ind w:left="6021" w:hanging="480"/>
      </w:pPr>
      <w:rPr>
        <w:rFonts w:ascii="Wingdings" w:hAnsi="Wingdings" w:hint="default"/>
      </w:rPr>
    </w:lvl>
    <w:lvl w:ilvl="6">
      <w:start w:val="1"/>
      <w:numFmt w:val="bullet"/>
      <w:lvlText w:val=""/>
      <w:lvlJc w:val="left"/>
      <w:pPr>
        <w:tabs>
          <w:tab w:val="left" w:pos="6501"/>
        </w:tabs>
        <w:ind w:left="6501" w:hanging="480"/>
      </w:pPr>
      <w:rPr>
        <w:rFonts w:ascii="Wingdings" w:hAnsi="Wingdings" w:hint="default"/>
      </w:rPr>
    </w:lvl>
    <w:lvl w:ilvl="7">
      <w:start w:val="1"/>
      <w:numFmt w:val="bullet"/>
      <w:lvlText w:val=""/>
      <w:lvlJc w:val="left"/>
      <w:pPr>
        <w:tabs>
          <w:tab w:val="left" w:pos="6981"/>
        </w:tabs>
        <w:ind w:left="6981" w:hanging="480"/>
      </w:pPr>
      <w:rPr>
        <w:rFonts w:ascii="Wingdings" w:hAnsi="Wingdings" w:hint="default"/>
      </w:rPr>
    </w:lvl>
    <w:lvl w:ilvl="8">
      <w:start w:val="1"/>
      <w:numFmt w:val="bullet"/>
      <w:lvlText w:val=""/>
      <w:lvlJc w:val="left"/>
      <w:pPr>
        <w:tabs>
          <w:tab w:val="left" w:pos="7461"/>
        </w:tabs>
        <w:ind w:left="7461" w:hanging="480"/>
      </w:pPr>
      <w:rPr>
        <w:rFonts w:ascii="Wingdings" w:hAnsi="Wingdings" w:hint="default"/>
      </w:rPr>
    </w:lvl>
  </w:abstractNum>
  <w:abstractNum w:abstractNumId="32" w15:restartNumberingAfterBreak="0">
    <w:nsid w:val="710771BF"/>
    <w:multiLevelType w:val="hybridMultilevel"/>
    <w:tmpl w:val="D562BF2A"/>
    <w:lvl w:ilvl="0" w:tplc="0409000D">
      <w:start w:val="1"/>
      <w:numFmt w:val="bullet"/>
      <w:lvlText w:val=""/>
      <w:lvlJc w:val="left"/>
      <w:pPr>
        <w:ind w:left="420" w:hanging="420"/>
      </w:pPr>
      <w:rPr>
        <w:rFonts w:ascii="Wingdings" w:hAnsi="Wingdings" w:hint="default"/>
        <w:b/>
        <w:i w:val="0"/>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163FD1"/>
    <w:multiLevelType w:val="hybridMultilevel"/>
    <w:tmpl w:val="0A4699FC"/>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B6F2C7C"/>
    <w:multiLevelType w:val="multilevel"/>
    <w:tmpl w:val="5ABE8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8333D4"/>
    <w:multiLevelType w:val="hybridMultilevel"/>
    <w:tmpl w:val="382C55A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6"/>
  </w:num>
  <w:num w:numId="3">
    <w:abstractNumId w:val="7"/>
  </w:num>
  <w:num w:numId="4">
    <w:abstractNumId w:val="9"/>
  </w:num>
  <w:num w:numId="5">
    <w:abstractNumId w:val="17"/>
  </w:num>
  <w:num w:numId="6">
    <w:abstractNumId w:val="30"/>
  </w:num>
  <w:num w:numId="7">
    <w:abstractNumId w:val="15"/>
  </w:num>
  <w:num w:numId="8">
    <w:abstractNumId w:val="14"/>
  </w:num>
  <w:num w:numId="9">
    <w:abstractNumId w:val="34"/>
  </w:num>
  <w:num w:numId="10">
    <w:abstractNumId w:val="2"/>
  </w:num>
  <w:num w:numId="11">
    <w:abstractNumId w:val="19"/>
  </w:num>
  <w:num w:numId="12">
    <w:abstractNumId w:val="22"/>
  </w:num>
  <w:num w:numId="13">
    <w:abstractNumId w:val="27"/>
  </w:num>
  <w:num w:numId="14">
    <w:abstractNumId w:val="16"/>
  </w:num>
  <w:num w:numId="15">
    <w:abstractNumId w:val="4"/>
  </w:num>
  <w:num w:numId="16">
    <w:abstractNumId w:val="28"/>
  </w:num>
  <w:num w:numId="17">
    <w:abstractNumId w:val="24"/>
  </w:num>
  <w:num w:numId="18">
    <w:abstractNumId w:val="10"/>
  </w:num>
  <w:num w:numId="19">
    <w:abstractNumId w:val="35"/>
  </w:num>
  <w:num w:numId="20">
    <w:abstractNumId w:val="20"/>
  </w:num>
  <w:num w:numId="21">
    <w:abstractNumId w:val="18"/>
  </w:num>
  <w:num w:numId="22">
    <w:abstractNumId w:val="12"/>
  </w:num>
  <w:num w:numId="23">
    <w:abstractNumId w:val="0"/>
  </w:num>
  <w:num w:numId="24">
    <w:abstractNumId w:val="29"/>
  </w:num>
  <w:num w:numId="25">
    <w:abstractNumId w:val="11"/>
  </w:num>
  <w:num w:numId="26">
    <w:abstractNumId w:val="1"/>
  </w:num>
  <w:num w:numId="27">
    <w:abstractNumId w:val="23"/>
  </w:num>
  <w:num w:numId="28">
    <w:abstractNumId w:val="5"/>
  </w:num>
  <w:num w:numId="29">
    <w:abstractNumId w:val="25"/>
  </w:num>
  <w:num w:numId="30">
    <w:abstractNumId w:val="3"/>
  </w:num>
  <w:num w:numId="31">
    <w:abstractNumId w:val="21"/>
  </w:num>
  <w:num w:numId="32">
    <w:abstractNumId w:val="33"/>
  </w:num>
  <w:num w:numId="33">
    <w:abstractNumId w:val="26"/>
  </w:num>
  <w:num w:numId="34">
    <w:abstractNumId w:val="8"/>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D0"/>
    <w:rsid w:val="00021E80"/>
    <w:rsid w:val="00022C53"/>
    <w:rsid w:val="00042E2C"/>
    <w:rsid w:val="00044CB4"/>
    <w:rsid w:val="00061563"/>
    <w:rsid w:val="00062EFA"/>
    <w:rsid w:val="00063C17"/>
    <w:rsid w:val="000730B6"/>
    <w:rsid w:val="00091BE5"/>
    <w:rsid w:val="000B0AE3"/>
    <w:rsid w:val="000B0D8B"/>
    <w:rsid w:val="000F3D9B"/>
    <w:rsid w:val="001011B3"/>
    <w:rsid w:val="00110B43"/>
    <w:rsid w:val="00151FEA"/>
    <w:rsid w:val="00155C53"/>
    <w:rsid w:val="00162EE8"/>
    <w:rsid w:val="0016580A"/>
    <w:rsid w:val="001661C7"/>
    <w:rsid w:val="001741B4"/>
    <w:rsid w:val="00177254"/>
    <w:rsid w:val="00185662"/>
    <w:rsid w:val="001A2910"/>
    <w:rsid w:val="001B589B"/>
    <w:rsid w:val="001E2883"/>
    <w:rsid w:val="001E4888"/>
    <w:rsid w:val="0021100D"/>
    <w:rsid w:val="00232C15"/>
    <w:rsid w:val="00241937"/>
    <w:rsid w:val="00264C59"/>
    <w:rsid w:val="00264D0F"/>
    <w:rsid w:val="00290BBC"/>
    <w:rsid w:val="002C0DC8"/>
    <w:rsid w:val="002D2322"/>
    <w:rsid w:val="002D6194"/>
    <w:rsid w:val="002E289B"/>
    <w:rsid w:val="002E3FED"/>
    <w:rsid w:val="002F0999"/>
    <w:rsid w:val="002F4EF1"/>
    <w:rsid w:val="00312A41"/>
    <w:rsid w:val="003166D3"/>
    <w:rsid w:val="003206FC"/>
    <w:rsid w:val="0032598E"/>
    <w:rsid w:val="00325C56"/>
    <w:rsid w:val="003272B1"/>
    <w:rsid w:val="00331007"/>
    <w:rsid w:val="0035353E"/>
    <w:rsid w:val="00355D27"/>
    <w:rsid w:val="00367CD3"/>
    <w:rsid w:val="00382F36"/>
    <w:rsid w:val="00384491"/>
    <w:rsid w:val="003866F8"/>
    <w:rsid w:val="003936B1"/>
    <w:rsid w:val="003959E7"/>
    <w:rsid w:val="003A19D2"/>
    <w:rsid w:val="003B466F"/>
    <w:rsid w:val="00411C46"/>
    <w:rsid w:val="004127AA"/>
    <w:rsid w:val="00426F39"/>
    <w:rsid w:val="00465623"/>
    <w:rsid w:val="004A6340"/>
    <w:rsid w:val="004D2752"/>
    <w:rsid w:val="004E1FC2"/>
    <w:rsid w:val="004F2E16"/>
    <w:rsid w:val="004F501C"/>
    <w:rsid w:val="005361BE"/>
    <w:rsid w:val="00546817"/>
    <w:rsid w:val="00564F9F"/>
    <w:rsid w:val="00572817"/>
    <w:rsid w:val="00574098"/>
    <w:rsid w:val="005817AC"/>
    <w:rsid w:val="00585AA8"/>
    <w:rsid w:val="00595185"/>
    <w:rsid w:val="00595955"/>
    <w:rsid w:val="005A11DB"/>
    <w:rsid w:val="005D7B24"/>
    <w:rsid w:val="005E3114"/>
    <w:rsid w:val="005F51AC"/>
    <w:rsid w:val="006108D4"/>
    <w:rsid w:val="0062621C"/>
    <w:rsid w:val="006467BF"/>
    <w:rsid w:val="006617A4"/>
    <w:rsid w:val="00663896"/>
    <w:rsid w:val="00665827"/>
    <w:rsid w:val="006B1097"/>
    <w:rsid w:val="006B429B"/>
    <w:rsid w:val="006B6C56"/>
    <w:rsid w:val="006B7378"/>
    <w:rsid w:val="006C321D"/>
    <w:rsid w:val="006C4559"/>
    <w:rsid w:val="006C47C4"/>
    <w:rsid w:val="006F33C2"/>
    <w:rsid w:val="006F773F"/>
    <w:rsid w:val="00703F46"/>
    <w:rsid w:val="00724A6B"/>
    <w:rsid w:val="0073362D"/>
    <w:rsid w:val="007502D1"/>
    <w:rsid w:val="007646FD"/>
    <w:rsid w:val="00773814"/>
    <w:rsid w:val="00776AE4"/>
    <w:rsid w:val="00776B5A"/>
    <w:rsid w:val="0078052A"/>
    <w:rsid w:val="00783F03"/>
    <w:rsid w:val="00796AA0"/>
    <w:rsid w:val="007C3B4C"/>
    <w:rsid w:val="007F6F01"/>
    <w:rsid w:val="008032AD"/>
    <w:rsid w:val="00816013"/>
    <w:rsid w:val="00821F70"/>
    <w:rsid w:val="008237BE"/>
    <w:rsid w:val="0083760A"/>
    <w:rsid w:val="008408CB"/>
    <w:rsid w:val="00867156"/>
    <w:rsid w:val="00884BE1"/>
    <w:rsid w:val="00885C82"/>
    <w:rsid w:val="008A2BC7"/>
    <w:rsid w:val="008A676E"/>
    <w:rsid w:val="008C1BD0"/>
    <w:rsid w:val="008C59B0"/>
    <w:rsid w:val="008E1C99"/>
    <w:rsid w:val="00933D49"/>
    <w:rsid w:val="009475B5"/>
    <w:rsid w:val="00950B4D"/>
    <w:rsid w:val="00952106"/>
    <w:rsid w:val="00954952"/>
    <w:rsid w:val="00966B0B"/>
    <w:rsid w:val="009C697C"/>
    <w:rsid w:val="009E6466"/>
    <w:rsid w:val="009F5EDB"/>
    <w:rsid w:val="009F758D"/>
    <w:rsid w:val="009F7F2A"/>
    <w:rsid w:val="00A0146D"/>
    <w:rsid w:val="00A02D7C"/>
    <w:rsid w:val="00A14C74"/>
    <w:rsid w:val="00A53352"/>
    <w:rsid w:val="00A834BF"/>
    <w:rsid w:val="00AA68CE"/>
    <w:rsid w:val="00AA7397"/>
    <w:rsid w:val="00AB6AC1"/>
    <w:rsid w:val="00AD7CA5"/>
    <w:rsid w:val="00AE73BE"/>
    <w:rsid w:val="00B13360"/>
    <w:rsid w:val="00B31436"/>
    <w:rsid w:val="00B3452B"/>
    <w:rsid w:val="00B55E55"/>
    <w:rsid w:val="00B751B3"/>
    <w:rsid w:val="00B76E25"/>
    <w:rsid w:val="00B776EE"/>
    <w:rsid w:val="00B84598"/>
    <w:rsid w:val="00BB52D4"/>
    <w:rsid w:val="00BB5BD6"/>
    <w:rsid w:val="00BC74E9"/>
    <w:rsid w:val="00BD32D6"/>
    <w:rsid w:val="00BD4FDC"/>
    <w:rsid w:val="00BE4FEC"/>
    <w:rsid w:val="00BE5787"/>
    <w:rsid w:val="00BE69B4"/>
    <w:rsid w:val="00BF7589"/>
    <w:rsid w:val="00C132DC"/>
    <w:rsid w:val="00C14500"/>
    <w:rsid w:val="00C15AEF"/>
    <w:rsid w:val="00C201C0"/>
    <w:rsid w:val="00C27C28"/>
    <w:rsid w:val="00C30FEE"/>
    <w:rsid w:val="00C35099"/>
    <w:rsid w:val="00C43C59"/>
    <w:rsid w:val="00C5485C"/>
    <w:rsid w:val="00C63C28"/>
    <w:rsid w:val="00C6495D"/>
    <w:rsid w:val="00C90054"/>
    <w:rsid w:val="00CA1249"/>
    <w:rsid w:val="00CB0817"/>
    <w:rsid w:val="00D113D9"/>
    <w:rsid w:val="00D44F43"/>
    <w:rsid w:val="00D7386E"/>
    <w:rsid w:val="00D769E2"/>
    <w:rsid w:val="00D87D65"/>
    <w:rsid w:val="00D903AF"/>
    <w:rsid w:val="00DB066E"/>
    <w:rsid w:val="00DB7B56"/>
    <w:rsid w:val="00DC06B1"/>
    <w:rsid w:val="00DC3956"/>
    <w:rsid w:val="00DC39EA"/>
    <w:rsid w:val="00DD6117"/>
    <w:rsid w:val="00DD727E"/>
    <w:rsid w:val="00DE307E"/>
    <w:rsid w:val="00E056AF"/>
    <w:rsid w:val="00E27BE2"/>
    <w:rsid w:val="00E51C14"/>
    <w:rsid w:val="00E642F2"/>
    <w:rsid w:val="00E824B6"/>
    <w:rsid w:val="00E936B3"/>
    <w:rsid w:val="00E97252"/>
    <w:rsid w:val="00EA5226"/>
    <w:rsid w:val="00EB53AD"/>
    <w:rsid w:val="00EB6F9D"/>
    <w:rsid w:val="00EC4D9A"/>
    <w:rsid w:val="00ED05F5"/>
    <w:rsid w:val="00ED0B07"/>
    <w:rsid w:val="00ED38D0"/>
    <w:rsid w:val="00EE64FE"/>
    <w:rsid w:val="00EF42BC"/>
    <w:rsid w:val="00EF6318"/>
    <w:rsid w:val="00F0236B"/>
    <w:rsid w:val="00F130D0"/>
    <w:rsid w:val="00F23A6B"/>
    <w:rsid w:val="00F23C4E"/>
    <w:rsid w:val="00F26792"/>
    <w:rsid w:val="00F4358B"/>
    <w:rsid w:val="00F44238"/>
    <w:rsid w:val="00F52E3D"/>
    <w:rsid w:val="00F73646"/>
    <w:rsid w:val="00F8325E"/>
    <w:rsid w:val="00F90D06"/>
    <w:rsid w:val="00F914F3"/>
    <w:rsid w:val="00F97250"/>
    <w:rsid w:val="00F9733F"/>
    <w:rsid w:val="00FB1390"/>
    <w:rsid w:val="00FC4060"/>
    <w:rsid w:val="00FC5F97"/>
    <w:rsid w:val="00FE6984"/>
    <w:rsid w:val="51EF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21A5BA4-4290-4CE1-9468-61D41FE2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Plain Text"/>
    <w:basedOn w:val="a"/>
    <w:link w:val="a6"/>
    <w:uiPriority w:val="99"/>
    <w:unhideWhenUsed/>
    <w:rPr>
      <w:rFonts w:ascii="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Subtitle"/>
    <w:basedOn w:val="a"/>
    <w:link w:val="ae"/>
    <w:qFormat/>
    <w:rPr>
      <w:b/>
      <w:sz w:val="24"/>
      <w:szCs w:val="20"/>
    </w:rPr>
  </w:style>
  <w:style w:type="paragraph" w:styleId="af">
    <w:name w:val="Normal (Web)"/>
    <w:basedOn w:val="a"/>
    <w:qFormat/>
    <w:pPr>
      <w:widowControl/>
      <w:spacing w:before="100" w:beforeAutospacing="1" w:after="100" w:afterAutospacing="1"/>
      <w:jc w:val="left"/>
    </w:pPr>
    <w:rPr>
      <w:rFonts w:ascii="宋体" w:hAnsi="宋体" w:hint="eastAsia"/>
      <w:kern w:val="0"/>
      <w:sz w:val="18"/>
      <w:szCs w:val="18"/>
    </w:rPr>
  </w:style>
  <w:style w:type="paragraph" w:styleId="af0">
    <w:name w:val="Title"/>
    <w:basedOn w:val="a"/>
    <w:next w:val="a"/>
    <w:link w:val="af1"/>
    <w:uiPriority w:val="10"/>
    <w:qFormat/>
    <w:pPr>
      <w:spacing w:before="240" w:after="60"/>
      <w:jc w:val="center"/>
      <w:outlineLvl w:val="0"/>
    </w:pPr>
    <w:rPr>
      <w:rFonts w:asciiTheme="majorHAnsi" w:hAnsiTheme="majorHAnsi" w:cstheme="majorBidi"/>
      <w:b/>
      <w:bCs/>
      <w:sz w:val="32"/>
      <w:szCs w:val="32"/>
    </w:rPr>
  </w:style>
  <w:style w:type="character" w:styleId="af2">
    <w:name w:val="Hyperlink"/>
    <w:basedOn w:val="a0"/>
    <w:uiPriority w:val="99"/>
    <w:unhideWhenUsed/>
    <w:rPr>
      <w:color w:val="0000FF"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paragraph" w:styleId="af3">
    <w:name w:val="List Paragraph"/>
    <w:basedOn w:val="a"/>
    <w:link w:val="af4"/>
    <w:uiPriority w:val="34"/>
    <w:qFormat/>
    <w:pPr>
      <w:ind w:firstLineChars="200" w:firstLine="420"/>
    </w:pPr>
  </w:style>
  <w:style w:type="paragraph" w:customStyle="1" w:styleId="p0">
    <w:name w:val="p0"/>
    <w:basedOn w:val="a"/>
    <w:qFormat/>
    <w:pPr>
      <w:widowControl/>
      <w:jc w:val="left"/>
    </w:pPr>
    <w:rPr>
      <w:kern w:val="0"/>
      <w:sz w:val="24"/>
      <w:szCs w:val="20"/>
    </w:rPr>
  </w:style>
  <w:style w:type="character" w:customStyle="1" w:styleId="a4">
    <w:name w:val="正文文本缩进 字符"/>
    <w:basedOn w:val="a0"/>
    <w:link w:val="a3"/>
    <w:qFormat/>
    <w:rPr>
      <w:rFonts w:ascii="Times New Roman" w:eastAsia="宋体" w:hAnsi="Times New Roman" w:cs="Times New Roman"/>
      <w:szCs w:val="24"/>
    </w:rPr>
  </w:style>
  <w:style w:type="character" w:customStyle="1" w:styleId="ae">
    <w:name w:val="副标题 字符"/>
    <w:basedOn w:val="a0"/>
    <w:link w:val="ad"/>
    <w:rPr>
      <w:rFonts w:ascii="Times New Roman" w:eastAsia="宋体" w:hAnsi="Times New Roman" w:cs="Times New Roman"/>
      <w:b/>
      <w:sz w:val="24"/>
      <w:szCs w:val="20"/>
    </w:rPr>
  </w:style>
  <w:style w:type="paragraph" w:customStyle="1" w:styleId="1">
    <w:name w:val="樣式1"/>
    <w:basedOn w:val="a"/>
    <w:link w:val="10"/>
    <w:pPr>
      <w:widowControl/>
      <w:spacing w:line="300" w:lineRule="exact"/>
      <w:ind w:rightChars="360" w:right="360"/>
    </w:pPr>
    <w:rPr>
      <w:rFonts w:ascii="Century Gothic" w:eastAsia="PMingLiU" w:hAnsi="Century Gothic"/>
      <w:color w:val="000000"/>
      <w:sz w:val="22"/>
      <w:lang w:eastAsia="zh-TW"/>
    </w:rPr>
  </w:style>
  <w:style w:type="character" w:customStyle="1" w:styleId="10">
    <w:name w:val="樣式1 字元"/>
    <w:link w:val="1"/>
    <w:rPr>
      <w:rFonts w:ascii="Century Gothic" w:eastAsia="PMingLiU" w:hAnsi="Century Gothic" w:cs="Times New Roman"/>
      <w:color w:val="000000"/>
      <w:sz w:val="22"/>
      <w:lang w:eastAsia="zh-TW"/>
    </w:rPr>
  </w:style>
  <w:style w:type="paragraph" w:customStyle="1" w:styleId="2163">
    <w:name w:val="樣式 樣式2 + 右 1.63 字元"/>
    <w:basedOn w:val="a"/>
    <w:qFormat/>
    <w:pPr>
      <w:widowControl/>
      <w:numPr>
        <w:numId w:val="1"/>
      </w:numPr>
      <w:spacing w:line="360" w:lineRule="exact"/>
      <w:ind w:rightChars="163" w:right="391"/>
    </w:pPr>
    <w:rPr>
      <w:rFonts w:ascii="Century Gothic" w:eastAsia="PMingLiU" w:hAnsi="Century Gothic" w:cs="PMingLiU"/>
      <w:color w:val="000000"/>
      <w:sz w:val="22"/>
      <w:szCs w:val="20"/>
      <w:lang w:eastAsia="zh-TW"/>
    </w:rPr>
  </w:style>
  <w:style w:type="character" w:customStyle="1" w:styleId="style56">
    <w:name w:val="style56"/>
    <w:basedOn w:val="a0"/>
  </w:style>
  <w:style w:type="character" w:customStyle="1" w:styleId="af1">
    <w:name w:val="标题 字符"/>
    <w:basedOn w:val="a0"/>
    <w:link w:val="af0"/>
    <w:uiPriority w:val="10"/>
    <w:qFormat/>
    <w:rPr>
      <w:rFonts w:asciiTheme="majorHAnsi" w:eastAsia="宋体" w:hAnsiTheme="majorHAnsi" w:cstheme="majorBidi"/>
      <w:b/>
      <w:bCs/>
      <w:sz w:val="32"/>
      <w:szCs w:val="32"/>
    </w:rPr>
  </w:style>
  <w:style w:type="character" w:customStyle="1" w:styleId="a6">
    <w:name w:val="纯文本 字符"/>
    <w:basedOn w:val="a0"/>
    <w:link w:val="a5"/>
    <w:uiPriority w:val="99"/>
    <w:rPr>
      <w:rFonts w:ascii="宋体" w:eastAsia="宋体" w:hAnsi="Courier New" w:cs="Courier New"/>
      <w:szCs w:val="21"/>
    </w:rPr>
  </w:style>
  <w:style w:type="character" w:customStyle="1" w:styleId="af4">
    <w:name w:val="列出段落 字符"/>
    <w:link w:val="af3"/>
    <w:uiPriority w:val="34"/>
    <w:rsid w:val="00A0146D"/>
    <w:rPr>
      <w:rFonts w:ascii="Times New Roman" w:eastAsia="宋体" w:hAnsi="Times New Roman" w:cs="Times New Roman"/>
      <w:kern w:val="2"/>
      <w:sz w:val="21"/>
      <w:szCs w:val="24"/>
    </w:rPr>
  </w:style>
  <w:style w:type="table" w:styleId="af5">
    <w:name w:val="Table Grid"/>
    <w:basedOn w:val="a1"/>
    <w:uiPriority w:val="59"/>
    <w:rsid w:val="0095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上海牛牛企业管理咨询有限公司  www.dpx123.com.cn</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328379-A7A1-4109-8EC1-D885B1BF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99</cp:revision>
  <dcterms:created xsi:type="dcterms:W3CDTF">2019-04-12T01:07:00Z</dcterms:created>
  <dcterms:modified xsi:type="dcterms:W3CDTF">2019-12-20T07:11:00Z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