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7" w:firstLineChars="500"/>
        <w:rPr>
          <w:rFonts w:hint="eastAsia" w:ascii="微软雅黑" w:hAnsi="微软雅黑" w:eastAsia="宋体"/>
          <w:b/>
          <w:bCs/>
          <w:color w:val="FF0000"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36"/>
          <w:szCs w:val="36"/>
        </w:rPr>
        <w:t>激励性薪酬方案设与优化实务</w:t>
      </w:r>
      <w:r>
        <w:rPr>
          <w:rFonts w:hint="eastAsia" w:ascii="宋体" w:hAnsi="宋体" w:eastAsia="宋体"/>
          <w:b/>
          <w:bCs/>
          <w:color w:val="FF0000"/>
          <w:sz w:val="32"/>
          <w:szCs w:val="32"/>
          <w:lang w:eastAsia="zh-CN"/>
        </w:rPr>
        <w:t>（网课）</w:t>
      </w:r>
    </w:p>
    <w:p>
      <w:pPr>
        <w:rPr>
          <w:rFonts w:hint="eastAsia" w:ascii="微软雅黑" w:hAnsi="微软雅黑" w:eastAsia="微软雅黑"/>
          <w:b/>
          <w:bCs/>
          <w:color w:val="F79646"/>
          <w:sz w:val="32"/>
          <w:szCs w:val="32"/>
        </w:rPr>
      </w:pPr>
      <w:r>
        <w:rPr>
          <w:rFonts w:hint="default" w:ascii="微软雅黑" w:hAnsi="微软雅黑" w:eastAsia="微软雅黑"/>
          <w:b/>
          <w:bCs/>
          <w:color w:val="F79646"/>
          <w:sz w:val="32"/>
          <w:szCs w:val="32"/>
        </w:rPr>
        <w:t>————————————————————————</w:t>
      </w:r>
    </w:p>
    <w:p>
      <w:pPr>
        <w:rPr>
          <w:rFonts w:hint="eastAsia" w:asciiTheme="minorEastAsia" w:hAnsiTheme="minorEastAsia" w:eastAsiaTheme="minorEastAsia" w:cstheme="minorEastAsia"/>
          <w:color w:val="C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C00000"/>
          <w:sz w:val="24"/>
          <w:szCs w:val="24"/>
        </w:rPr>
        <w:t>培训时间：8月3-10日（8天每晚20：00-22：00 直播）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C00000"/>
          <w:sz w:val="24"/>
          <w:szCs w:val="24"/>
        </w:rPr>
        <w:t>培训对象；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1"/>
          <w:szCs w:val="21"/>
          <w:shd w:val="clear" w:fill="FFFFFF"/>
        </w:rPr>
        <w:t>设计类企业主、企业高管和人力资源部门负责人</w:t>
      </w:r>
    </w:p>
    <w:p>
      <w:pPr>
        <w:rPr>
          <w:rFonts w:hint="eastAsia" w:asciiTheme="minorEastAsia" w:hAnsiTheme="minorEastAsia" w:eastAsiaTheme="minorEastAsia" w:cstheme="minorEastAsia"/>
          <w:color w:val="C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C00000"/>
          <w:sz w:val="24"/>
          <w:szCs w:val="24"/>
        </w:rPr>
        <w:t>培训费用：</w:t>
      </w:r>
      <w:r>
        <w:rPr>
          <w:rFonts w:hint="eastAsia" w:asciiTheme="minorEastAsia" w:hAnsiTheme="minorEastAsia" w:eastAsiaTheme="minorEastAsia" w:cstheme="minorEastAsia"/>
          <w:color w:val="C00000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C00000"/>
          <w:sz w:val="24"/>
          <w:szCs w:val="24"/>
        </w:rPr>
        <w:t xml:space="preserve">99元/人（直播） </w:t>
      </w:r>
      <w:r>
        <w:rPr>
          <w:rFonts w:hint="eastAsia" w:asciiTheme="minorEastAsia" w:hAnsiTheme="minorEastAsia" w:eastAsiaTheme="minorEastAsia" w:cstheme="minorEastAsia"/>
          <w:color w:val="C0000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C00000"/>
          <w:sz w:val="24"/>
          <w:szCs w:val="24"/>
        </w:rPr>
        <w:t xml:space="preserve">99元/人（录播） </w:t>
      </w:r>
      <w:r>
        <w:rPr>
          <w:rFonts w:hint="eastAsia" w:asciiTheme="minorEastAsia" w:hAnsiTheme="minorEastAsia" w:eastAsiaTheme="minorEastAsia" w:cstheme="minorEastAsia"/>
          <w:color w:val="C00000"/>
          <w:sz w:val="24"/>
          <w:szCs w:val="24"/>
          <w:lang w:val="en-US" w:eastAsia="zh-CN"/>
        </w:rPr>
        <w:t>580</w:t>
      </w:r>
      <w:r>
        <w:rPr>
          <w:rFonts w:hint="eastAsia" w:asciiTheme="minorEastAsia" w:hAnsiTheme="minorEastAsia" w:eastAsiaTheme="minorEastAsia" w:cstheme="minorEastAsia"/>
          <w:color w:val="C00000"/>
          <w:sz w:val="24"/>
          <w:szCs w:val="24"/>
        </w:rPr>
        <w:t>0元/人（线下面授）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color w:val="C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C00000"/>
          <w:sz w:val="24"/>
          <w:szCs w:val="24"/>
        </w:rPr>
        <w:t>学习工具：企赢微课堂在线学习平台</w:t>
      </w:r>
    </w:p>
    <w:p>
      <w:pPr>
        <w:numPr>
          <w:ilvl w:val="0"/>
          <w:numId w:val="0"/>
        </w:numPr>
        <w:ind w:firstLine="840" w:firstLineChars="350"/>
        <w:rPr>
          <w:rFonts w:ascii="宋体" w:hAnsi="宋体"/>
          <w:sz w:val="24"/>
          <w:szCs w:val="24"/>
        </w:rPr>
      </w:pPr>
      <w:r>
        <w:rPr>
          <w:rFonts w:hint="default" w:ascii="宋体" w:hAnsi="宋体"/>
          <w:sz w:val="24"/>
          <w:szCs w:val="24"/>
        </w:rPr>
        <w:t>1.学员</w:t>
      </w:r>
      <w:r>
        <w:rPr>
          <w:rFonts w:hint="eastAsia" w:ascii="宋体" w:hAnsi="宋体"/>
          <w:sz w:val="24"/>
          <w:szCs w:val="24"/>
        </w:rPr>
        <w:t>微信群</w:t>
      </w:r>
      <w:r>
        <w:rPr>
          <w:rFonts w:hint="default" w:ascii="宋体" w:hAnsi="宋体"/>
          <w:sz w:val="24"/>
          <w:szCs w:val="24"/>
        </w:rPr>
        <w:t>社群辅导作业</w:t>
      </w:r>
      <w:r>
        <w:rPr>
          <w:rFonts w:hint="eastAsia" w:ascii="宋体" w:hAnsi="宋体"/>
          <w:sz w:val="24"/>
          <w:szCs w:val="24"/>
        </w:rPr>
        <w:t>学员提问</w:t>
      </w:r>
      <w:r>
        <w:rPr>
          <w:rFonts w:hint="default" w:ascii="宋体" w:hAnsi="宋体"/>
          <w:sz w:val="24"/>
          <w:szCs w:val="24"/>
        </w:rPr>
        <w:t>解答。</w:t>
      </w:r>
    </w:p>
    <w:p>
      <w:pPr>
        <w:numPr>
          <w:ilvl w:val="0"/>
          <w:numId w:val="0"/>
        </w:numPr>
        <w:ind w:firstLine="840" w:firstLineChars="350"/>
        <w:rPr>
          <w:color w:val="000000"/>
          <w:sz w:val="24"/>
          <w:szCs w:val="24"/>
        </w:rPr>
      </w:pPr>
      <w:r>
        <w:rPr>
          <w:rFonts w:hint="default" w:ascii="宋体" w:hAnsi="宋体"/>
          <w:sz w:val="24"/>
          <w:szCs w:val="24"/>
        </w:rPr>
        <w:t>2.企赢微课程随时可回看，利用碎片化的时间充电。</w:t>
      </w:r>
    </w:p>
    <w:p>
      <w:pPr>
        <w:pStyle w:val="8"/>
        <w:numPr>
          <w:ilvl w:val="0"/>
          <w:numId w:val="0"/>
        </w:numPr>
        <w:ind w:firstLine="840" w:firstLineChars="350"/>
        <w:rPr>
          <w:color w:val="000000"/>
          <w:sz w:val="24"/>
          <w:szCs w:val="24"/>
        </w:rPr>
      </w:pPr>
      <w:r>
        <w:rPr>
          <w:rFonts w:hint="default" w:ascii="宋体" w:hAnsi="宋体"/>
          <w:sz w:val="24"/>
          <w:szCs w:val="24"/>
        </w:rPr>
        <w:t>3.企赢微课</w:t>
      </w:r>
      <w:r>
        <w:rPr>
          <w:rFonts w:hint="eastAsia" w:ascii="宋体" w:hAnsi="宋体"/>
          <w:sz w:val="24"/>
          <w:szCs w:val="24"/>
        </w:rPr>
        <w:t>网课都采用</w:t>
      </w:r>
      <w:r>
        <w:rPr>
          <w:rFonts w:hint="default" w:ascii="宋体" w:hAnsi="宋体"/>
          <w:sz w:val="24"/>
          <w:szCs w:val="24"/>
        </w:rPr>
        <w:t>账号</w:t>
      </w:r>
      <w:r>
        <w:rPr>
          <w:rFonts w:hint="eastAsia" w:ascii="宋体" w:hAnsi="宋体"/>
          <w:sz w:val="24"/>
          <w:szCs w:val="24"/>
        </w:rPr>
        <w:t>密码进入制防止</w:t>
      </w:r>
      <w:r>
        <w:rPr>
          <w:rFonts w:hint="default" w:ascii="宋体" w:hAnsi="宋体"/>
          <w:sz w:val="24"/>
          <w:szCs w:val="24"/>
        </w:rPr>
        <w:t>非购买课程</w:t>
      </w:r>
      <w:r>
        <w:rPr>
          <w:rFonts w:hint="eastAsia" w:ascii="宋体" w:hAnsi="宋体"/>
          <w:sz w:val="24"/>
          <w:szCs w:val="24"/>
        </w:rPr>
        <w:t>人员参与听课</w:t>
      </w:r>
      <w:r>
        <w:rPr>
          <w:rFonts w:hint="default" w:ascii="宋体" w:hAnsi="宋体"/>
          <w:sz w:val="24"/>
          <w:szCs w:val="24"/>
        </w:rPr>
        <w:t>。</w:t>
      </w:r>
    </w:p>
    <w:p>
      <w:pPr>
        <w:pStyle w:val="8"/>
        <w:numPr>
          <w:ilvl w:val="0"/>
          <w:numId w:val="0"/>
        </w:numPr>
        <w:ind w:firstLine="840" w:firstLineChars="350"/>
        <w:rPr>
          <w:rFonts w:ascii="宋体" w:hAnsi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ascii="宋体" w:hAnsi="宋体" w:cs="宋体"/>
          <w:b w:val="0"/>
          <w:bCs w:val="0"/>
          <w:color w:val="auto"/>
          <w:kern w:val="0"/>
          <w:sz w:val="24"/>
          <w:szCs w:val="24"/>
        </w:rPr>
        <w:t>4.凡事参加企赢微课堂学员购买课程回看期限1年。</w:t>
      </w:r>
    </w:p>
    <w:p>
      <w:pPr>
        <w:rPr>
          <w:rFonts w:hint="default" w:ascii="黑体" w:hAnsi="黑体" w:eastAsia="黑体"/>
          <w:color w:val="C00000"/>
          <w:sz w:val="24"/>
        </w:rPr>
      </w:pPr>
      <w:r>
        <w:rPr>
          <w:rFonts w:hint="default" w:ascii="黑体" w:hAnsi="黑体" w:eastAsia="黑体"/>
          <w:color w:val="C00000"/>
          <w:sz w:val="24"/>
        </w:rPr>
        <w:t xml:space="preserve">服务热线：18820199517  彭老师  </w:t>
      </w:r>
    </w:p>
    <w:p>
      <w:pPr>
        <w:rPr>
          <w:rFonts w:hint="default" w:ascii="黑体" w:hAnsi="黑体" w:eastAsia="黑体"/>
          <w:color w:val="000000"/>
          <w:sz w:val="24"/>
        </w:rPr>
      </w:pPr>
      <w:r>
        <w:rPr>
          <w:rFonts w:hint="default" w:ascii="黑体" w:hAnsi="黑体" w:eastAsia="黑体"/>
          <w:color w:val="000000"/>
          <w:sz w:val="24"/>
        </w:rPr>
        <w:t>温馨提示：此课程我们可以提供企业内部培训与咨询服务，欢迎来电咨询。</w:t>
      </w:r>
    </w:p>
    <w:p>
      <w:pPr>
        <w:rPr>
          <w:rFonts w:hint="default" w:ascii="黑体" w:hAnsi="黑体" w:eastAsia="黑体"/>
          <w:color w:val="000000"/>
          <w:sz w:val="24"/>
        </w:rPr>
      </w:pPr>
    </w:p>
    <w:p>
      <w:pPr>
        <w:numPr>
          <w:ilvl w:val="0"/>
          <w:numId w:val="0"/>
        </w:numPr>
        <w:spacing w:line="276" w:lineRule="auto"/>
        <w:rPr>
          <w:rStyle w:val="6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</w:pPr>
      <w:r>
        <w:rPr>
          <w:rStyle w:val="6"/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第一部分：基础概念与方法论</w:t>
      </w:r>
    </w:p>
    <w:p>
      <w:pPr>
        <w:numPr>
          <w:ilvl w:val="0"/>
          <w:numId w:val="0"/>
        </w:numPr>
        <w:spacing w:line="276" w:lineRule="auto"/>
        <w:ind w:left="1260" w:leftChars="0"/>
        <w:rPr>
          <w:rStyle w:val="6"/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1.薪酬的本质</w:t>
      </w:r>
    </w:p>
    <w:p>
      <w:pPr>
        <w:numPr>
          <w:ilvl w:val="0"/>
          <w:numId w:val="0"/>
        </w:numPr>
        <w:spacing w:line="276" w:lineRule="auto"/>
        <w:ind w:left="1260" w:leftChars="0"/>
        <w:rPr>
          <w:rStyle w:val="6"/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2.薪酬管理体系及核心概念</w:t>
      </w:r>
    </w:p>
    <w:p>
      <w:pPr>
        <w:numPr>
          <w:ilvl w:val="0"/>
          <w:numId w:val="0"/>
        </w:numPr>
        <w:spacing w:line="276" w:lineRule="auto"/>
        <w:ind w:left="1260" w:leftChars="0"/>
        <w:rPr>
          <w:rStyle w:val="6"/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3.薪酬管理的底层逻辑</w:t>
      </w:r>
    </w:p>
    <w:p>
      <w:pPr>
        <w:numPr>
          <w:ilvl w:val="0"/>
          <w:numId w:val="0"/>
        </w:numPr>
        <w:spacing w:line="276" w:lineRule="auto"/>
        <w:ind w:left="1260" w:leftChars="0"/>
        <w:rPr>
          <w:rStyle w:val="6"/>
          <w:rFonts w:hint="eastAsia" w:asciiTheme="minorEastAsia" w:hAnsiTheme="minorEastAsia" w:eastAsiaTheme="minorEastAsia" w:cstheme="minorEastAsia"/>
          <w:color w:val="CC0000"/>
          <w:sz w:val="21"/>
          <w:szCs w:val="21"/>
          <w:lang w:val="en-US" w:eastAsia="zh-CN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4.薪酬方案设计方法</w:t>
      </w:r>
    </w:p>
    <w:p>
      <w:pPr>
        <w:numPr>
          <w:ilvl w:val="0"/>
          <w:numId w:val="0"/>
        </w:numPr>
        <w:spacing w:line="276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 xml:space="preserve">第二部分：薪酬方案设计实务 </w:t>
      </w:r>
    </w:p>
    <w:p>
      <w:pPr>
        <w:numPr>
          <w:ilvl w:val="0"/>
          <w:numId w:val="0"/>
        </w:numPr>
        <w:spacing w:line="276" w:lineRule="auto"/>
        <w:ind w:firstLine="1260" w:firstLineChars="6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高管的激励性薪酬方案</w:t>
      </w:r>
    </w:p>
    <w:p>
      <w:pPr>
        <w:numPr>
          <w:ilvl w:val="0"/>
          <w:numId w:val="0"/>
        </w:numPr>
        <w:spacing w:line="276" w:lineRule="auto"/>
        <w:ind w:firstLine="1260" w:firstLineChars="6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销售团队的激励性薪酬方案  </w:t>
      </w:r>
    </w:p>
    <w:p>
      <w:pPr>
        <w:numPr>
          <w:ilvl w:val="0"/>
          <w:numId w:val="0"/>
        </w:numPr>
        <w:spacing w:line="276" w:lineRule="auto"/>
        <w:ind w:firstLine="1260" w:firstLineChars="6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生产人员的激励性薪酬方案</w:t>
      </w:r>
    </w:p>
    <w:p>
      <w:pPr>
        <w:numPr>
          <w:ilvl w:val="0"/>
          <w:numId w:val="0"/>
        </w:numPr>
        <w:spacing w:line="276" w:lineRule="auto"/>
        <w:ind w:firstLine="1260" w:firstLineChars="6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岗位绩效工资制以及适用的岗位</w:t>
      </w:r>
    </w:p>
    <w:p>
      <w:pPr>
        <w:numPr>
          <w:ilvl w:val="0"/>
          <w:numId w:val="0"/>
        </w:numPr>
        <w:spacing w:line="276" w:lineRule="auto"/>
        <w:ind w:firstLine="1260" w:firstLineChars="6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特殊人才的薪酬模式</w:t>
      </w:r>
    </w:p>
    <w:p>
      <w:pPr>
        <w:numPr>
          <w:ilvl w:val="0"/>
          <w:numId w:val="0"/>
        </w:numPr>
        <w:spacing w:line="276" w:lineRule="auto"/>
        <w:ind w:firstLine="1260" w:firstLineChars="6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6.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利润分享与收益分享</w:t>
      </w:r>
    </w:p>
    <w:p>
      <w:pPr>
        <w:numPr>
          <w:ilvl w:val="0"/>
          <w:numId w:val="0"/>
        </w:numPr>
        <w:spacing w:line="276" w:lineRule="auto"/>
        <w:ind w:firstLine="1260" w:firstLineChars="6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7.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奖金与补贴</w:t>
      </w:r>
    </w:p>
    <w:p>
      <w:pPr>
        <w:numPr>
          <w:ilvl w:val="0"/>
          <w:numId w:val="0"/>
        </w:numPr>
        <w:spacing w:line="276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ind w:firstLine="420" w:firstLineChars="200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4483735</wp:posOffset>
            </wp:positionH>
            <wp:positionV relativeFrom="page">
              <wp:posOffset>7691755</wp:posOffset>
            </wp:positionV>
            <wp:extent cx="1096645" cy="1645285"/>
            <wp:effectExtent l="0" t="0" r="8255" b="12065"/>
            <wp:wrapTight wrapText="bothSides">
              <wp:wrapPolygon>
                <wp:start x="0" y="0"/>
                <wp:lineTo x="0" y="21258"/>
                <wp:lineTo x="21387" y="21258"/>
                <wp:lineTo x="21387" y="0"/>
                <wp:lineTo x="0" y="0"/>
              </wp:wrapPolygon>
            </wp:wrapTight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45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8"/>
          <w:szCs w:val="28"/>
          <w:lang w:val="en-US" w:eastAsia="zh-CN"/>
        </w:rPr>
        <w:t>曹老师</w:t>
      </w:r>
      <w:r>
        <w:rPr>
          <w:rFonts w:hint="eastAsia"/>
          <w:lang w:val="en-US" w:eastAsia="zh-CN"/>
        </w:rPr>
        <w:t xml:space="preserve"> ：  </w:t>
      </w:r>
    </w:p>
    <w:p>
      <w:pPr>
        <w:ind w:firstLine="241" w:firstLineChars="10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特点：</w:t>
      </w:r>
    </w:p>
    <w:p>
      <w:pPr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十三年企业高管经验，任职事业部总经理、集团副总、中美合资企业COO,公司董事长兼总经理</w:t>
      </w:r>
    </w:p>
    <w:p>
      <w:pPr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十九年企业管理咨询、培训、顾问经验</w:t>
      </w:r>
    </w:p>
    <w:p>
      <w:pPr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清华大学、中山大学、四川大学、山东大学、人民大学、浙江大学、西南财大、华中科技大学等多家高等院校MBA、EMBA、DBA、EDP课程教授</w:t>
      </w:r>
    </w:p>
    <w:p>
      <w:pPr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任英国威尔士大学、美国美洲大学（学位班）外聘教授</w:t>
      </w:r>
    </w:p>
    <w:p>
      <w:pPr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深度参与和亲自指导的管理咨询项目47例</w:t>
      </w:r>
    </w:p>
    <w:p>
      <w:pPr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现任职：北大纵横管理咨询集团 高级合伙人，导师，北大纵横《首席人才官》班、《后EMBA》班讲师 </w:t>
      </w:r>
    </w:p>
    <w:p>
      <w:pPr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相得益彰的工作方式及时间分配：</w:t>
      </w:r>
    </w:p>
    <w:p>
      <w:pPr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咨询项目：      1/3时间，</w:t>
      </w:r>
    </w:p>
    <w:p>
      <w:pPr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管理顾问、董事：1/3时间</w:t>
      </w:r>
    </w:p>
    <w:p>
      <w:pPr>
        <w:ind w:firstLine="21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公开课、内训：  1/3时间</w:t>
      </w:r>
    </w:p>
    <w:p>
      <w:pPr>
        <w:ind w:firstLine="241" w:firstLineChars="10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 资质与荣誉：</w:t>
      </w:r>
    </w:p>
    <w:p>
      <w:pPr>
        <w:rPr>
          <w:rFonts w:hint="eastAsia"/>
        </w:rPr>
      </w:pPr>
      <w:r>
        <w:rPr>
          <w:rFonts w:hint="eastAsia"/>
        </w:rPr>
        <w:t>具有担任上市公司独立董事资质，兼任多家知名企业的高级管理顾问、董事</w:t>
      </w:r>
    </w:p>
    <w:p>
      <w:pPr>
        <w:rPr>
          <w:rFonts w:hint="eastAsia"/>
        </w:rPr>
      </w:pPr>
      <w:r>
        <w:rPr>
          <w:rFonts w:hint="eastAsia"/>
        </w:rPr>
        <w:t>获【搜狐职场一言堂】“最佳人力资源管理咨询师”荣誉</w:t>
      </w:r>
    </w:p>
    <w:p>
      <w:pPr>
        <w:rPr>
          <w:rFonts w:hint="eastAsia"/>
        </w:rPr>
      </w:pPr>
      <w:r>
        <w:rPr>
          <w:rFonts w:hint="eastAsia"/>
        </w:rPr>
        <w:t>获“搜狐十大人气讲师”荣誉</w:t>
      </w:r>
    </w:p>
    <w:p>
      <w:pPr>
        <w:rPr>
          <w:rFonts w:hint="eastAsia"/>
        </w:rPr>
      </w:pPr>
      <w:r>
        <w:rPr>
          <w:rFonts w:hint="eastAsia"/>
        </w:rPr>
        <w:t>入选《管理咨询的智慧》“中国最具影响力的管理咨询师”</w:t>
      </w:r>
    </w:p>
    <w:p>
      <w:pPr>
        <w:rPr>
          <w:rFonts w:hint="eastAsia"/>
        </w:rPr>
      </w:pPr>
      <w:r>
        <w:rPr>
          <w:rFonts w:hint="eastAsia"/>
        </w:rPr>
        <w:t>获“绩效考核及薪酬咨询中国领导品牌”荣誉</w:t>
      </w:r>
    </w:p>
    <w:p>
      <w:pPr>
        <w:rPr>
          <w:rFonts w:hint="eastAsia"/>
        </w:rPr>
      </w:pPr>
      <w:r>
        <w:rPr>
          <w:rFonts w:hint="eastAsia"/>
        </w:rPr>
        <w:t>获“国际十大培训师”荣誉</w:t>
      </w:r>
    </w:p>
    <w:p>
      <w:pPr>
        <w:rPr>
          <w:rFonts w:hint="eastAsia"/>
        </w:rPr>
      </w:pPr>
      <w:r>
        <w:rPr>
          <w:rFonts w:hint="eastAsia"/>
        </w:rPr>
        <w:t>获“首届人力资源管理大奖成果银奖”</w:t>
      </w:r>
    </w:p>
    <w:p>
      <w:pPr>
        <w:rPr>
          <w:rFonts w:hint="eastAsia"/>
        </w:rPr>
      </w:pPr>
      <w:r>
        <w:rPr>
          <w:rFonts w:hint="eastAsia"/>
        </w:rPr>
        <w:t>获“影响深圳咨询业的二十位风云人物”荣誉</w:t>
      </w:r>
    </w:p>
    <w:p>
      <w:pPr>
        <w:rPr>
          <w:rFonts w:hint="eastAsia"/>
        </w:rPr>
      </w:pPr>
      <w:r>
        <w:rPr>
          <w:rFonts w:hint="eastAsia"/>
        </w:rPr>
        <w:t>获“最受欢迎培训师”荣誉</w:t>
      </w:r>
    </w:p>
    <w:p>
      <w:pPr>
        <w:rPr>
          <w:rFonts w:hint="eastAsia"/>
        </w:rPr>
      </w:pPr>
      <w:r>
        <w:rPr>
          <w:rFonts w:hint="eastAsia"/>
        </w:rPr>
        <w:t>内训和顾问客户摘选（超500家）：</w:t>
      </w:r>
    </w:p>
    <w:p>
      <w:pPr>
        <w:rPr>
          <w:rFonts w:hint="eastAsia"/>
        </w:rPr>
      </w:pPr>
      <w:r>
        <w:rPr>
          <w:rFonts w:hint="eastAsia"/>
        </w:rPr>
        <w:t xml:space="preserve">   IBM、TCL、赛尔康、美的、金蝶、南太电子集团、康佳集团、湖南省人民银行、中国工商银行、河南工商银行、招商银行、兴业银行、浙江省建设银行、雅昌印刷集团、九芝堂、中国移动、中国邮政、健力宝集团、平安保险、北京当代集团、北京富泰、中国国际旅行社、胜利油田、兰州石化集团、富士康集团、白沙集团、东糖集团、亚华乳业、深圳特区报、南方都市报、深圳证券通信、贵州汉方制药、西王集团、雅莹服装、艾维凯服饰、影儿时尚、欧典、易鸿润、番禺有线、壹时代广告、分众传媒、宁波报业集团、欧曼汽车、金地集团、内蒙古伊利集团、递四方国际速递、正大康地、深圳国旅、鑫福矿业、五矿集团、希尔威矿业、大唐集团、湖北邮政、宁波开发投资集团、宁波兴光燃气集团、宜昌和远气体集团、广东物资集团、可派实业、文山烟草、陕盐包装、通茂电子、青岛机械工业总公司、山东森诺胜利工程公司、深圳英威腾电气股份公司、南京梅钢集团、长春皓月集团、北京丽贝亚装饰集团、河南心连心集团……</w:t>
      </w:r>
    </w:p>
    <w:p>
      <w:pPr>
        <w:rPr>
          <w:rFonts w:hint="eastAsia"/>
        </w:rPr>
      </w:pPr>
      <w:r>
        <w:rPr>
          <w:rFonts w:hint="eastAsia"/>
        </w:rPr>
        <w:t xml:space="preserve">传媒活动： </w:t>
      </w:r>
    </w:p>
    <w:p>
      <w:pPr>
        <w:ind w:firstLine="420"/>
        <w:rPr>
          <w:rFonts w:hint="eastAsia"/>
        </w:rPr>
      </w:pPr>
      <w:r>
        <w:rPr>
          <w:rFonts w:hint="eastAsia"/>
        </w:rPr>
        <w:t>多家报刊、网站、电视台、电台的人力资源管理专栏撰稿人和主持嘉宾，发表文章160多篇；曾被《商界名家》、《南方杂志》、《新资本》、《人力资源报》、《亚洲新闻人物》《培训师》《中外管理》等多家杂志专题报导；并多次受邀北京《前沿讲座》电视栏目、深圳广播电台做企业管理主题特约嘉宾。</w:t>
      </w: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  <w:bookmarkStart w:id="0" w:name="_GoBack"/>
      <w:bookmarkEnd w:id="0"/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ind w:firstLine="420"/>
        <w:rPr>
          <w:rFonts w:hint="eastAsia"/>
        </w:rPr>
      </w:pPr>
    </w:p>
    <w:p>
      <w:pPr>
        <w:spacing w:line="360" w:lineRule="auto"/>
        <w:ind w:firstLine="3242" w:firstLineChars="900"/>
        <w:jc w:val="both"/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  <w:t>报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  <w:t>名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  <w:t>表</w:t>
      </w:r>
    </w:p>
    <w:tbl>
      <w:tblPr>
        <w:tblStyle w:val="4"/>
        <w:tblpPr w:leftFromText="180" w:rightFromText="180" w:vertAnchor="text" w:horzAnchor="page" w:tblpX="1041" w:tblpY="108"/>
        <w:tblOverlap w:val="never"/>
        <w:tblW w:w="0" w:type="auto"/>
        <w:tblInd w:w="0" w:type="dxa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387"/>
        <w:gridCol w:w="1044"/>
        <w:gridCol w:w="424"/>
        <w:gridCol w:w="927"/>
        <w:gridCol w:w="255"/>
        <w:gridCol w:w="1141"/>
        <w:gridCol w:w="757"/>
        <w:gridCol w:w="175"/>
        <w:gridCol w:w="796"/>
        <w:gridCol w:w="699"/>
        <w:gridCol w:w="374"/>
        <w:gridCol w:w="2424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</w:trPr>
        <w:tc>
          <w:tcPr>
            <w:tcW w:w="110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6"/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单位名称</w:t>
            </w:r>
          </w:p>
        </w:tc>
        <w:tc>
          <w:tcPr>
            <w:tcW w:w="9016" w:type="dxa"/>
            <w:gridSpan w:val="11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6"/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exact"/>
        </w:trPr>
        <w:tc>
          <w:tcPr>
            <w:tcW w:w="110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/>
                <w:sz w:val="21"/>
                <w:szCs w:val="21"/>
              </w:rPr>
              <w:t>发票抬头</w:t>
            </w: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1"/>
                <w:szCs w:val="21"/>
              </w:rPr>
              <w:t>税务号</w:t>
            </w:r>
          </w:p>
        </w:tc>
        <w:tc>
          <w:tcPr>
            <w:tcW w:w="4293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</w:trPr>
        <w:tc>
          <w:tcPr>
            <w:tcW w:w="110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公司地址</w:t>
            </w:r>
          </w:p>
        </w:tc>
        <w:tc>
          <w:tcPr>
            <w:tcW w:w="9016" w:type="dxa"/>
            <w:gridSpan w:val="11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exact"/>
        </w:trPr>
        <w:tc>
          <w:tcPr>
            <w:tcW w:w="110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联系人</w:t>
            </w: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手机</w:t>
            </w:r>
          </w:p>
        </w:tc>
        <w:tc>
          <w:tcPr>
            <w:tcW w:w="3124" w:type="dxa"/>
            <w:gridSpan w:val="5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279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</w:trPr>
        <w:tc>
          <w:tcPr>
            <w:tcW w:w="2572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6"/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参会</w:t>
            </w:r>
            <w:r>
              <w:rPr>
                <w:rFonts w:hint="default" w:ascii="宋体" w:hAnsi="宋体" w:eastAsia="宋体"/>
                <w:sz w:val="21"/>
                <w:szCs w:val="21"/>
              </w:rPr>
              <w:t>费用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default" w:ascii="宋体" w:hAnsi="宋体" w:eastAsia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hint="default" w:ascii="宋体" w:hAnsi="宋体" w:eastAsia="宋体"/>
                <w:sz w:val="21"/>
                <w:szCs w:val="21"/>
                <w:u w:val="none"/>
              </w:rPr>
              <w:t>元</w:t>
            </w:r>
          </w:p>
        </w:tc>
        <w:tc>
          <w:tcPr>
            <w:tcW w:w="4051" w:type="dxa"/>
            <w:gridSpan w:val="6"/>
            <w:noWrap w:val="0"/>
            <w:vAlign w:val="center"/>
          </w:tcPr>
          <w:p>
            <w:pPr>
              <w:spacing w:before="100" w:beforeAutospacing="1" w:after="100" w:afterAutospacing="1"/>
              <w:jc w:val="both"/>
              <w:rPr>
                <w:rStyle w:val="6"/>
                <w:rFonts w:ascii="宋体" w:hAnsi="宋体" w:eastAsia="宋体"/>
                <w:sz w:val="21"/>
                <w:szCs w:val="21"/>
              </w:rPr>
            </w:pPr>
            <w:r>
              <w:rPr>
                <w:rStyle w:val="6"/>
                <w:rFonts w:hint="eastAsia"/>
                <w:b w:val="0"/>
                <w:bCs w:val="0"/>
                <w:sz w:val="20"/>
              </w:rPr>
              <w:t>发票内容</w:t>
            </w:r>
            <w:r>
              <w:rPr>
                <w:rStyle w:val="6"/>
                <w:rFonts w:hint="default"/>
                <w:b w:val="0"/>
                <w:bCs w:val="0"/>
                <w:sz w:val="20"/>
              </w:rPr>
              <w:t>：1.</w:t>
            </w:r>
            <w:r>
              <w:rPr>
                <w:rFonts w:hint="eastAsia"/>
                <w:bCs/>
                <w:sz w:val="20"/>
                <w:lang w:eastAsia="zh-CN"/>
              </w:rPr>
              <w:t>培训费</w:t>
            </w:r>
            <w:r>
              <w:rPr>
                <w:rFonts w:hint="default"/>
                <w:bCs/>
                <w:sz w:val="20"/>
                <w:lang w:eastAsia="zh-CN"/>
              </w:rPr>
              <w:t xml:space="preserve"> 2.</w:t>
            </w:r>
            <w:r>
              <w:rPr>
                <w:rFonts w:hint="default"/>
                <w:bCs/>
                <w:sz w:val="20"/>
              </w:rPr>
              <w:t>信息服务费 3.咨询费</w:t>
            </w:r>
          </w:p>
        </w:tc>
        <w:tc>
          <w:tcPr>
            <w:tcW w:w="3497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both"/>
              <w:rPr>
                <w:rStyle w:val="6"/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 xml:space="preserve">付款方式：□课前转帐  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</w:trPr>
        <w:tc>
          <w:tcPr>
            <w:tcW w:w="214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酒店预订委托</w:t>
            </w:r>
          </w:p>
        </w:tc>
        <w:tc>
          <w:tcPr>
            <w:tcW w:w="7972" w:type="dxa"/>
            <w:gridSpan w:val="10"/>
            <w:noWrap w:val="0"/>
            <w:vAlign w:val="center"/>
          </w:tcPr>
          <w:p>
            <w:pPr>
              <w:spacing w:before="100" w:beforeAutospacing="1" w:after="100" w:afterAutospacing="1"/>
              <w:ind w:firstLine="315" w:firstLineChars="15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□是   标双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间    标单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间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exact"/>
        </w:trPr>
        <w:tc>
          <w:tcPr>
            <w:tcW w:w="214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ind w:firstLine="480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sz w:val="21"/>
                <w:szCs w:val="21"/>
              </w:rPr>
              <w:t>汇款账号</w:t>
            </w:r>
          </w:p>
        </w:tc>
        <w:tc>
          <w:tcPr>
            <w:tcW w:w="7972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</w:rPr>
              <w:t>户    名：</w:t>
            </w:r>
            <w:r>
              <w:rPr>
                <w:b w:val="0"/>
                <w:bCs w:val="0"/>
                <w:color w:val="000000"/>
                <w:sz w:val="21"/>
                <w:szCs w:val="21"/>
              </w:rPr>
              <w:t>企赢（深圳）企业管理咨询有限责任公司</w:t>
            </w:r>
          </w:p>
          <w:p>
            <w:pPr>
              <w:rPr>
                <w:rFonts w:hint="eastAsia"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</w:rPr>
              <w:t>开 户 行：</w:t>
            </w:r>
            <w:r>
              <w:rPr>
                <w:b w:val="0"/>
                <w:bCs w:val="0"/>
                <w:color w:val="000000"/>
                <w:sz w:val="21"/>
                <w:szCs w:val="21"/>
              </w:rPr>
              <w:t>中国工商银行股份有限公司深圳布吉支行</w:t>
            </w:r>
          </w:p>
          <w:p>
            <w:pPr>
              <w:rPr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</w:rPr>
              <w:t>公司账号：</w:t>
            </w:r>
            <w:r>
              <w:rPr>
                <w:rFonts w:hint="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/>
                <w:b w:val="0"/>
                <w:bCs w:val="0"/>
                <w:color w:val="000000"/>
                <w:sz w:val="21"/>
                <w:szCs w:val="21"/>
                <w:lang w:eastAsia="zh-CN"/>
              </w:rPr>
              <w:t>4000022309202049860</w:t>
            </w:r>
          </w:p>
          <w:p>
            <w:pPr>
              <w:spacing w:after="0"/>
              <w:rPr>
                <w:rFonts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717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参加</w:t>
            </w:r>
          </w:p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学员</w:t>
            </w:r>
          </w:p>
          <w:p>
            <w:pPr>
              <w:spacing w:before="100" w:beforeAutospacing="1" w:after="100" w:afterAutospacing="1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名单</w:t>
            </w:r>
          </w:p>
        </w:tc>
        <w:tc>
          <w:tcPr>
            <w:tcW w:w="1431" w:type="dxa"/>
            <w:gridSpan w:val="2"/>
            <w:shd w:val="clear" w:color="auto" w:fill="E6E6E6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6"/>
                <w:rFonts w:ascii="宋体" w:hAnsi="宋体" w:eastAsia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606" w:type="dxa"/>
            <w:gridSpan w:val="3"/>
            <w:shd w:val="clear" w:color="auto" w:fill="E6E6E6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6"/>
                <w:rFonts w:ascii="宋体" w:hAnsi="宋体" w:eastAsia="宋体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1898" w:type="dxa"/>
            <w:gridSpan w:val="2"/>
            <w:shd w:val="clear" w:color="auto" w:fill="E6E6E6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6"/>
                <w:rFonts w:ascii="宋体" w:hAnsi="宋体" w:eastAsia="宋体"/>
                <w:sz w:val="21"/>
                <w:szCs w:val="21"/>
              </w:rPr>
            </w:pPr>
            <w:r>
              <w:rPr>
                <w:rStyle w:val="6"/>
                <w:rFonts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2044" w:type="dxa"/>
            <w:gridSpan w:val="4"/>
            <w:shd w:val="clear" w:color="auto" w:fill="E6E6E6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6"/>
                <w:rFonts w:ascii="宋体" w:hAnsi="宋体" w:eastAsia="宋体"/>
                <w:sz w:val="21"/>
                <w:szCs w:val="21"/>
              </w:rPr>
            </w:pPr>
            <w:r>
              <w:rPr>
                <w:rStyle w:val="6"/>
                <w:rFonts w:ascii="宋体" w:hAnsi="宋体" w:eastAsia="宋体"/>
                <w:sz w:val="21"/>
                <w:szCs w:val="21"/>
              </w:rPr>
              <w:t>课程名称</w:t>
            </w:r>
          </w:p>
        </w:tc>
        <w:tc>
          <w:tcPr>
            <w:tcW w:w="2424" w:type="dxa"/>
            <w:shd w:val="clear" w:color="auto" w:fill="E6E6E6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6"/>
                <w:rFonts w:ascii="宋体" w:hAnsi="宋体" w:eastAsia="宋体"/>
                <w:sz w:val="21"/>
                <w:szCs w:val="21"/>
              </w:rPr>
            </w:pPr>
            <w:r>
              <w:rPr>
                <w:rStyle w:val="6"/>
                <w:rFonts w:ascii="宋体" w:hAnsi="宋体" w:eastAsia="宋体"/>
                <w:sz w:val="21"/>
                <w:szCs w:val="21"/>
              </w:rPr>
              <w:t>培训时间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6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6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6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44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6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6"/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6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6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6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6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44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6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6"/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pStyle w:val="9"/>
              <w:spacing w:before="100" w:beforeAutospacing="1" w:after="100" w:afterAutospacing="1"/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6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6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44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6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6"/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pStyle w:val="9"/>
              <w:spacing w:before="100" w:beforeAutospacing="1" w:after="100" w:afterAutospacing="1"/>
              <w:jc w:val="center"/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6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9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6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44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6"/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6"/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szCs w:val="22"/>
        </w:rPr>
      </w:pPr>
    </w:p>
    <w:p>
      <w:pPr>
        <w:rPr>
          <w:rFonts w:hint="eastAsia" w:ascii="宋体" w:hAnsi="宋体" w:eastAsia="宋体" w:cs="宋体"/>
          <w:b/>
          <w:bCs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szCs w:val="22"/>
        </w:rPr>
        <w:t>备注：为确保您的名额和及时参加，请提前将《报名表》填好后</w:t>
      </w:r>
      <w:r>
        <w:rPr>
          <w:rFonts w:hint="eastAsia" w:ascii="宋体" w:hAnsi="宋体" w:eastAsia="宋体" w:cs="宋体"/>
          <w:b/>
          <w:bCs/>
          <w:szCs w:val="22"/>
          <w:lang w:eastAsia="zh-CN"/>
        </w:rPr>
        <w:t>回复</w:t>
      </w:r>
      <w:r>
        <w:rPr>
          <w:rFonts w:hint="default" w:ascii="宋体" w:hAnsi="宋体" w:eastAsia="宋体" w:cs="宋体"/>
          <w:b/>
          <w:bCs/>
          <w:szCs w:val="22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Cs w:val="22"/>
        </w:rPr>
        <w:t>我们将有专人与您联系确认，并于开课前发出《</w:t>
      </w:r>
      <w:r>
        <w:rPr>
          <w:rFonts w:hint="eastAsia" w:ascii="宋体" w:hAnsi="宋体" w:eastAsia="宋体" w:cs="宋体"/>
          <w:b/>
          <w:bCs/>
          <w:szCs w:val="22"/>
          <w:lang w:eastAsia="zh-CN"/>
        </w:rPr>
        <w:t>开课邀请函</w:t>
      </w:r>
      <w:r>
        <w:rPr>
          <w:rFonts w:hint="eastAsia" w:ascii="宋体" w:hAnsi="宋体" w:eastAsia="宋体" w:cs="宋体"/>
          <w:b/>
          <w:bCs/>
          <w:szCs w:val="22"/>
        </w:rPr>
        <w:t>》。培训时间、地点、住宿等详细信息请以《</w:t>
      </w:r>
      <w:r>
        <w:rPr>
          <w:rFonts w:hint="eastAsia" w:ascii="宋体" w:hAnsi="宋体" w:eastAsia="宋体" w:cs="宋体"/>
          <w:b/>
          <w:bCs/>
          <w:szCs w:val="22"/>
          <w:lang w:eastAsia="zh-CN"/>
        </w:rPr>
        <w:t>开课邀请函</w:t>
      </w:r>
      <w:r>
        <w:rPr>
          <w:rFonts w:hint="eastAsia" w:ascii="宋体" w:hAnsi="宋体" w:eastAsia="宋体" w:cs="宋体"/>
          <w:b/>
          <w:bCs/>
          <w:szCs w:val="22"/>
        </w:rPr>
        <w:t>》书面通知为准，敬请留意。谢谢！详询热线：</w:t>
      </w:r>
      <w:r>
        <w:rPr>
          <w:rFonts w:hint="eastAsia" w:ascii="宋体" w:hAnsi="宋体" w:eastAsia="宋体" w:cs="宋体"/>
          <w:b/>
          <w:bCs/>
          <w:szCs w:val="22"/>
          <w:lang w:eastAsia="zh-CN"/>
        </w:rPr>
        <w:t>1882019</w:t>
      </w:r>
      <w:r>
        <w:rPr>
          <w:rFonts w:hint="default" w:ascii="宋体" w:hAnsi="宋体" w:eastAsia="宋体" w:cs="宋体"/>
          <w:b/>
          <w:bCs/>
          <w:szCs w:val="22"/>
          <w:lang w:eastAsia="zh-CN"/>
        </w:rPr>
        <w:t>9517</w:t>
      </w:r>
      <w:r>
        <w:rPr>
          <w:rFonts w:hint="eastAsia" w:ascii="宋体" w:hAnsi="宋体" w:eastAsia="宋体" w:cs="宋体"/>
          <w:b/>
          <w:bCs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Cs w:val="22"/>
        </w:rPr>
        <w:t>(</w:t>
      </w:r>
      <w:r>
        <w:rPr>
          <w:rFonts w:hint="default" w:ascii="宋体" w:hAnsi="宋体" w:eastAsia="宋体" w:cs="宋体"/>
          <w:b/>
          <w:bCs/>
          <w:szCs w:val="22"/>
        </w:rPr>
        <w:t>彭</w:t>
      </w:r>
      <w:r>
        <w:rPr>
          <w:rFonts w:hint="eastAsia" w:ascii="宋体" w:hAnsi="宋体" w:eastAsia="宋体" w:cs="宋体"/>
          <w:b/>
          <w:bCs/>
          <w:szCs w:val="22"/>
        </w:rPr>
        <w:t>老师)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</w:p>
    <w:p/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-766"/>
      <w:jc w:val="both"/>
      <w:rPr>
        <w:rFonts w:hint="eastAsia"/>
        <w:color w:val="E36C09"/>
        <w:sz w:val="21"/>
        <w:szCs w:val="21"/>
        <w:lang w:val="en-US"/>
      </w:rPr>
    </w:pPr>
    <w:r>
      <w:rPr>
        <w:rFonts w:hint="eastAsia"/>
        <w:color w:val="E36C09"/>
        <w:sz w:val="21"/>
        <w:szCs w:val="21"/>
      </w:rPr>
      <w:t>地址：</w:t>
    </w:r>
    <w:r>
      <w:rPr>
        <w:rFonts w:hint="default"/>
        <w:color w:val="E36C09"/>
        <w:sz w:val="21"/>
        <w:szCs w:val="21"/>
      </w:rPr>
      <w:t>深圳市龙岗区布吉街道吉信大厦17K</w:t>
    </w:r>
    <w:r>
      <w:rPr>
        <w:rFonts w:hint="eastAsia"/>
        <w:color w:val="E36C09"/>
        <w:sz w:val="28"/>
        <w:szCs w:val="28"/>
      </w:rPr>
      <w:t xml:space="preserve"> </w:t>
    </w:r>
    <w:r>
      <w:rPr>
        <w:rFonts w:hint="default"/>
        <w:color w:val="E36C09"/>
        <w:szCs w:val="21"/>
      </w:rPr>
      <w:t xml:space="preserve">  </w:t>
    </w:r>
    <w:r>
      <w:rPr>
        <w:rFonts w:hint="eastAsia"/>
        <w:color w:val="E36C09"/>
        <w:sz w:val="21"/>
        <w:szCs w:val="21"/>
      </w:rPr>
      <w:t>电话</w:t>
    </w:r>
    <w:r>
      <w:rPr>
        <w:rFonts w:hint="default"/>
        <w:color w:val="E36C09"/>
        <w:sz w:val="21"/>
        <w:szCs w:val="21"/>
      </w:rPr>
      <w:t xml:space="preserve">：18820199517       </w:t>
    </w:r>
    <w:r>
      <w:rPr>
        <w:rFonts w:hint="eastAsia" w:eastAsia="新宋体"/>
        <w:color w:val="E36C09"/>
        <w:sz w:val="21"/>
        <w:szCs w:val="21"/>
        <w:lang w:val="en-US" w:eastAsia="zh-CN"/>
      </w:rPr>
      <w:t>QQ</w:t>
    </w:r>
    <w:r>
      <w:rPr>
        <w:rFonts w:hint="default" w:eastAsia="新宋体"/>
        <w:color w:val="E36C09"/>
        <w:sz w:val="21"/>
        <w:szCs w:val="21"/>
        <w:lang w:eastAsia="zh-CN"/>
      </w:rPr>
      <w:t>:2857848000</w:t>
    </w:r>
  </w:p>
  <w:p>
    <w:pPr>
      <w:pStyle w:val="2"/>
      <w:framePr w:wrap="around" w:vAnchor="text" w:hAnchor="page" w:x="10906" w:y="64"/>
      <w:pBdr>
        <w:between w:val="none" w:color="auto" w:sz="0" w:space="0"/>
      </w:pBdr>
      <w:rPr>
        <w:rFonts w:hint="eastAsia"/>
        <w:color w:val="9C2173"/>
        <w:sz w:val="21"/>
        <w:szCs w:val="21"/>
      </w:rPr>
    </w:pPr>
    <w:r>
      <w:rPr>
        <w:rFonts w:hint="eastAsia"/>
        <w:color w:val="9C2173"/>
        <w:sz w:val="21"/>
        <w:szCs w:val="21"/>
      </w:rPr>
      <w:fldChar w:fldCharType="begin"/>
    </w:r>
    <w:r>
      <w:rPr>
        <w:rStyle w:val="7"/>
        <w:rFonts w:hint="eastAsia"/>
        <w:color w:val="9C2173"/>
        <w:sz w:val="21"/>
        <w:szCs w:val="21"/>
      </w:rPr>
      <w:instrText xml:space="preserve"> PAGE  </w:instrText>
    </w:r>
    <w:r>
      <w:rPr>
        <w:rFonts w:hint="eastAsia"/>
        <w:color w:val="9C2173"/>
        <w:sz w:val="21"/>
        <w:szCs w:val="21"/>
      </w:rPr>
      <w:fldChar w:fldCharType="separate"/>
    </w:r>
    <w:r>
      <w:rPr>
        <w:rStyle w:val="7"/>
        <w:color w:val="9C2173"/>
        <w:sz w:val="21"/>
        <w:szCs w:val="21"/>
      </w:rPr>
      <w:t>- 2 -</w:t>
    </w:r>
    <w:r>
      <w:rPr>
        <w:rFonts w:hint="eastAsia"/>
        <w:color w:val="9C2173"/>
        <w:sz w:val="21"/>
        <w:szCs w:val="21"/>
      </w:rPr>
      <w:fldChar w:fldCharType="end"/>
    </w:r>
  </w:p>
  <w:p>
    <w:pPr>
      <w:pStyle w:val="2"/>
      <w:ind w:right="360"/>
      <w:rPr>
        <w:rFonts w:hint="eastAsia"/>
        <w:color w:val="9C2173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黑体" w:eastAsia="黑体"/>
        <w:b/>
        <w:color w:val="9C2173"/>
        <w:sz w:val="20"/>
        <w:szCs w:val="20"/>
      </w:rPr>
    </w:pPr>
    <w:r>
      <w:rPr>
        <w:rFonts w:hint="eastAsia" w:ascii="黑体" w:eastAsia="黑体"/>
        <w:b/>
        <w:color w:val="9C2173"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54610</wp:posOffset>
          </wp:positionH>
          <wp:positionV relativeFrom="paragraph">
            <wp:posOffset>-74930</wp:posOffset>
          </wp:positionV>
          <wp:extent cx="1892300" cy="421005"/>
          <wp:effectExtent l="0" t="0" r="12700" b="17145"/>
          <wp:wrapNone/>
          <wp:docPr id="1" name="图片 1" descr="横着的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横着的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230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eastAsia="黑体"/>
        <w:b/>
        <w:color w:val="9C2173"/>
        <w:sz w:val="20"/>
        <w:szCs w:val="20"/>
      </w:rPr>
      <w:t xml:space="preserve">                                                          </w:t>
    </w:r>
  </w:p>
  <w:p>
    <w:pPr>
      <w:pStyle w:val="3"/>
      <w:rPr>
        <w:rFonts w:hint="eastAsia" w:ascii="宋体" w:hAnsi="宋体"/>
        <w:color w:val="F79646"/>
        <w:sz w:val="20"/>
        <w:szCs w:val="20"/>
      </w:rPr>
    </w:pPr>
    <w:r>
      <w:rPr>
        <w:rFonts w:hint="eastAsia" w:ascii="黑体" w:eastAsia="黑体"/>
        <w:b/>
        <w:color w:val="9C2173"/>
        <w:sz w:val="20"/>
        <w:szCs w:val="20"/>
      </w:rPr>
      <w:t xml:space="preserve">        </w:t>
    </w:r>
    <w:r>
      <w:rPr>
        <w:rFonts w:hint="eastAsia" w:ascii="黑体" w:eastAsia="黑体"/>
        <w:b/>
        <w:bCs w:val="0"/>
        <w:color w:val="9C2173"/>
        <w:sz w:val="20"/>
        <w:szCs w:val="20"/>
      </w:rPr>
      <w:t xml:space="preserve"> </w:t>
    </w:r>
    <w:r>
      <w:rPr>
        <w:rFonts w:hint="eastAsia" w:ascii="宋体" w:hAnsi="宋体" w:eastAsia="宋体" w:cs="宋体"/>
        <w:b w:val="0"/>
        <w:bCs/>
        <w:color w:val="9C2173"/>
        <w:sz w:val="20"/>
        <w:szCs w:val="20"/>
      </w:rPr>
      <w:t xml:space="preserve">                       </w:t>
    </w:r>
    <w:r>
      <w:rPr>
        <w:rFonts w:hint="eastAsia" w:ascii="黑体" w:eastAsia="黑体"/>
        <w:b/>
        <w:bCs w:val="0"/>
        <w:color w:val="9C2173"/>
        <w:sz w:val="20"/>
        <w:szCs w:val="20"/>
      </w:rPr>
      <w:t xml:space="preserve"> </w:t>
    </w:r>
    <w:r>
      <w:rPr>
        <w:rFonts w:hint="eastAsia" w:ascii="黑体" w:eastAsia="黑体"/>
        <w:b/>
        <w:color w:val="9C2173"/>
        <w:sz w:val="20"/>
        <w:szCs w:val="20"/>
      </w:rPr>
      <w:t xml:space="preserve">                      </w:t>
    </w:r>
    <w:r>
      <w:rPr>
        <w:rFonts w:hint="default" w:ascii="宋体" w:hAnsi="宋体"/>
        <w:color w:val="auto"/>
        <w:sz w:val="22"/>
        <w:szCs w:val="22"/>
      </w:rPr>
      <w:t>帮助企业成长——助力共赢</w:t>
    </w:r>
  </w:p>
  <w:p>
    <w:pPr>
      <w:rPr>
        <w:rFonts w:ascii="宋体" w:hAnsi="宋体"/>
        <w:color w:val="9C2173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9B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22"/>
    <w:rPr>
      <w:b/>
      <w:bCs/>
    </w:rPr>
  </w:style>
  <w:style w:type="character" w:styleId="7">
    <w:name w:val="page number"/>
    <w:basedOn w:val="5"/>
    <w:qFormat/>
    <w:uiPriority w:val="0"/>
  </w:style>
  <w:style w:type="paragraph" w:styleId="8">
    <w:name w:val="List Paragraph"/>
    <w:basedOn w:val="1"/>
    <w:qFormat/>
    <w:uiPriority w:val="0"/>
    <w:pPr>
      <w:ind w:firstLine="420"/>
    </w:pPr>
  </w:style>
  <w:style w:type="paragraph" w:customStyle="1" w:styleId="9">
    <w:name w:val="默认段落字体 Para Char Char Char Char"/>
    <w:basedOn w:val="1"/>
    <w:qFormat/>
    <w:uiPriority w:val="0"/>
    <w:pPr>
      <w:widowControl w:val="0"/>
      <w:adjustRightInd/>
      <w:snapToGrid/>
      <w:spacing w:after="0" w:afterLines="0"/>
      <w:jc w:val="both"/>
    </w:pPr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2020-06-12T03:26:17Z</dcterms:created>
  <dc:creator>Administrator</dc:creator>
  <cp:lastModifiedBy>Administrator</cp:lastModifiedBy>
  <dcterms:modified xsi:type="dcterms:W3CDTF">2020-06-12T03:32:46Z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