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810B8"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</w:pPr>
      <w:bookmarkStart w:id="6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  <w:t>向世界500强学HR三支柱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(网课）</w:t>
      </w:r>
    </w:p>
    <w:bookmarkEnd w:id="6"/>
    <w:p>
      <w:pPr>
        <w:jc w:val="center"/>
        <w:rPr>
          <w:rFonts w:hint="default" w:ascii="微软雅黑" w:hAnsi="微软雅黑" w:eastAsia="微软雅黑"/>
          <w:b/>
          <w:bCs/>
          <w:color w:val="F79646"/>
          <w:sz w:val="32"/>
          <w:szCs w:val="32"/>
        </w:rPr>
      </w:pPr>
      <w:r>
        <w:rPr>
          <w:rFonts w:hint="default" w:ascii="微软雅黑" w:hAnsi="微软雅黑" w:eastAsia="微软雅黑"/>
          <w:b/>
          <w:bCs/>
          <w:color w:val="F79646"/>
          <w:sz w:val="32"/>
          <w:szCs w:val="32"/>
        </w:rPr>
        <w:t>————————————————————————</w:t>
      </w:r>
    </w:p>
    <w:p>
      <w:pPr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培训时间：8月13-15日（3天每晚20：00-22：00 直播）</w:t>
      </w:r>
    </w:p>
    <w:p>
      <w:pPr>
        <w:pStyle w:val="10"/>
        <w:spacing w:line="50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培训对象：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CEO、HRVP、CHO、HRD、HRM、HRCOE、HRBP、HRSSC、各级直线经理。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培训费用：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99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元/人（直播） 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99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元/人（录播）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980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元/人（线下面授）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学习工具：企赢微课堂在线学习平台</w:t>
      </w:r>
    </w:p>
    <w:p>
      <w:pPr>
        <w:numPr>
          <w:ilvl w:val="0"/>
          <w:numId w:val="0"/>
        </w:numPr>
        <w:ind w:firstLine="840" w:firstLineChars="3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1.学员微信群社群辅导作业学员提问解答。</w:t>
      </w:r>
    </w:p>
    <w:p>
      <w:pPr>
        <w:numPr>
          <w:ilvl w:val="0"/>
          <w:numId w:val="0"/>
        </w:numPr>
        <w:ind w:firstLine="840" w:firstLineChars="35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2.企赢微课程随时可回看，利用碎片化的时间充电。</w:t>
      </w:r>
    </w:p>
    <w:p>
      <w:pPr>
        <w:pStyle w:val="10"/>
        <w:numPr>
          <w:ilvl w:val="0"/>
          <w:numId w:val="0"/>
        </w:numPr>
        <w:ind w:firstLine="840" w:firstLineChars="35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3.企赢微课网课都采用账号密码进入制防止非购买课程人员参与听课。</w:t>
      </w:r>
    </w:p>
    <w:p>
      <w:pPr>
        <w:pStyle w:val="10"/>
        <w:numPr>
          <w:ilvl w:val="0"/>
          <w:numId w:val="0"/>
        </w:numPr>
        <w:ind w:firstLine="840" w:firstLineChars="35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4.凡事参加企赢微课堂学员购买课程回看期限1年。</w:t>
      </w:r>
    </w:p>
    <w:p>
      <w:pP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 xml:space="preserve">服务热线：18820199517  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（彭老师）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温馨提示：此课程我们可以提供企业内部培训与咨询服务，欢迎来电咨询。</w:t>
      </w:r>
    </w:p>
    <w:p>
      <w:pPr>
        <w:pStyle w:val="10"/>
        <w:numPr>
          <w:ilvl w:val="0"/>
          <w:numId w:val="1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b/>
          <w:bCs/>
          <w:color w:val="0066FF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66FF"/>
          <w:sz w:val="24"/>
        </w:rPr>
        <w:t>课程收益</w:t>
      </w:r>
    </w:p>
    <w:p>
      <w:pPr>
        <w:spacing w:line="500" w:lineRule="exact"/>
        <w:ind w:left="240"/>
        <w:jc w:val="left"/>
        <w:rPr>
          <w:rFonts w:hint="eastAsia" w:asciiTheme="minorEastAsia" w:hAnsiTheme="minorEastAsia" w:eastAsiaTheme="minorEastAsia" w:cstheme="minorEastAsia"/>
          <w:b/>
          <w:bCs/>
          <w:color w:val="0070C0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Cs w:val="21"/>
        </w:rPr>
        <w:t>人力资源管理升级为三支柱运营模式后，必须明白三支柱到底是什么？</w:t>
      </w:r>
      <w:r>
        <w:rPr>
          <w:rFonts w:hint="eastAsia" w:asciiTheme="minorEastAsia" w:hAnsiTheme="minorEastAsia" w:eastAsiaTheme="minorEastAsia" w:cstheme="minorEastAsia"/>
          <w:b/>
          <w:bCs/>
          <w:color w:val="0070C0"/>
          <w:szCs w:val="21"/>
        </w:rPr>
        <w:t>（与时俱进啊）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；企业要运作好，首先组织要健康，三支柱们必须为组织的健康把脉、诊断</w:t>
      </w:r>
      <w:r>
        <w:rPr>
          <w:rFonts w:hint="eastAsia" w:asciiTheme="minorEastAsia" w:hAnsiTheme="minorEastAsia" w:eastAsiaTheme="minorEastAsia" w:cstheme="minorEastAsia"/>
          <w:b/>
          <w:bCs/>
          <w:color w:val="0070C0"/>
          <w:szCs w:val="21"/>
        </w:rPr>
        <w:t>（掌握组织诊断技能）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；为了更好地为业务把关和服务，必须提前了解和掌握业务部门的战略环境</w:t>
      </w:r>
      <w:r>
        <w:rPr>
          <w:rFonts w:hint="eastAsia" w:asciiTheme="minorEastAsia" w:hAnsiTheme="minorEastAsia" w:eastAsiaTheme="minorEastAsia" w:cstheme="minorEastAsia"/>
          <w:b/>
          <w:bCs/>
          <w:color w:val="0070C0"/>
          <w:szCs w:val="21"/>
        </w:rPr>
        <w:t>（掌握战略分析技能）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；当业务出现问题时，懂得进行业务诊断，找出问题所在，提出解决思路</w:t>
      </w:r>
      <w:r>
        <w:rPr>
          <w:rFonts w:hint="eastAsia" w:asciiTheme="minorEastAsia" w:hAnsiTheme="minorEastAsia" w:eastAsiaTheme="minorEastAsia" w:cstheme="minorEastAsia"/>
          <w:b/>
          <w:bCs/>
          <w:color w:val="0070C0"/>
          <w:szCs w:val="21"/>
        </w:rPr>
        <w:t>（业务诊断技能），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业务部门的项目结束后，组织开展项目复盘工作，找出优势与问题，为业务取得更的成绩打好基础</w:t>
      </w:r>
      <w:r>
        <w:rPr>
          <w:rFonts w:hint="eastAsia" w:asciiTheme="minorEastAsia" w:hAnsiTheme="minorEastAsia" w:eastAsiaTheme="minorEastAsia" w:cstheme="minorEastAsia"/>
          <w:b/>
          <w:bCs/>
          <w:color w:val="0070C0"/>
          <w:szCs w:val="21"/>
        </w:rPr>
        <w:t>（项目复盘技能）。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推动实施三支柱，应该做哪些工作呢？</w:t>
      </w:r>
      <w:r>
        <w:rPr>
          <w:rFonts w:hint="eastAsia" w:asciiTheme="minorEastAsia" w:hAnsiTheme="minorEastAsia" w:eastAsiaTheme="minorEastAsia" w:cstheme="minorEastAsia"/>
          <w:b/>
          <w:bCs/>
          <w:color w:val="0070C0"/>
          <w:szCs w:val="21"/>
        </w:rPr>
        <w:t>（掌握落地有声的技巧）</w:t>
      </w:r>
    </w:p>
    <w:p>
      <w:pPr>
        <w:pStyle w:val="10"/>
        <w:numPr>
          <w:ilvl w:val="0"/>
          <w:numId w:val="2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bookmarkStart w:id="0" w:name="_Hlk3846954"/>
      <w:r>
        <w:rPr>
          <w:rFonts w:hint="eastAsia" w:asciiTheme="minorEastAsia" w:hAnsiTheme="minorEastAsia" w:eastAsiaTheme="minorEastAsia" w:cstheme="minorEastAsia"/>
          <w:szCs w:val="21"/>
        </w:rPr>
        <w:t>与时俱进——了解三支柱的基本概念和实施三支柱的目的与意义；</w:t>
      </w:r>
      <w:bookmarkStart w:id="1" w:name="_Hlk4058226"/>
      <w:r>
        <w:rPr>
          <w:rFonts w:hint="eastAsia" w:asciiTheme="minorEastAsia" w:hAnsiTheme="minorEastAsia" w:eastAsiaTheme="minorEastAsia" w:cstheme="minorEastAsia"/>
          <w:szCs w:val="21"/>
        </w:rPr>
        <w:t>掌握基于三支柱的人力资源组织架构设计与HRCOE、HRBP、HRSSC的职责与分工。</w:t>
      </w:r>
    </w:p>
    <w:p>
      <w:pPr>
        <w:pStyle w:val="10"/>
        <w:numPr>
          <w:ilvl w:val="0"/>
          <w:numId w:val="2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望闻问切——组织诊断技能：掌握从金字塔顶端的角度，对组织的健康状况进行全方位诊断的技术。</w:t>
      </w:r>
    </w:p>
    <w:p>
      <w:pPr>
        <w:pStyle w:val="10"/>
        <w:numPr>
          <w:ilvl w:val="0"/>
          <w:numId w:val="2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抬头看天——战略分析技能：掌握调研诊断技能，从全局角度分析战略、了解战略，跳出本业务部门从全局看各业务部门的发展与问题，不仅分析内部业务，更把触角伸到外部环境和竞争对手，使HR们全面掌握战略环境。</w:t>
      </w:r>
    </w:p>
    <w:p>
      <w:pPr>
        <w:pStyle w:val="10"/>
        <w:numPr>
          <w:ilvl w:val="0"/>
          <w:numId w:val="2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深入前线——业务诊断技能：掌握正确的业务诊断方法，大力提高业务洞察能力，为业务把脉，提高HR撩业务的能力。</w:t>
      </w:r>
    </w:p>
    <w:p>
      <w:pPr>
        <w:pStyle w:val="10"/>
        <w:numPr>
          <w:ilvl w:val="0"/>
          <w:numId w:val="2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温故知新——项目复盘技能：</w:t>
      </w:r>
      <w:r>
        <w:rPr>
          <w:rFonts w:hint="eastAsia" w:asciiTheme="minorEastAsia" w:hAnsiTheme="minorEastAsia" w:eastAsiaTheme="minorEastAsia" w:cstheme="minorEastAsia"/>
          <w:color w:val="2D2D2D"/>
          <w:szCs w:val="21"/>
        </w:rPr>
        <w:t>复盘可以帮助业务避免犯同样的错误，固化流程、校验方向、认清问题背后的问题，发现和产生新的想法与知识，把失败转化为财富，把成功转化为能力。</w:t>
      </w:r>
    </w:p>
    <w:p>
      <w:pPr>
        <w:pStyle w:val="10"/>
        <w:numPr>
          <w:ilvl w:val="0"/>
          <w:numId w:val="2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落地有声——了解和掌握推动或运营三支柱的关键点和方法。</w:t>
      </w:r>
    </w:p>
    <w:bookmarkEnd w:id="0"/>
    <w:bookmarkEnd w:id="1"/>
    <w:p>
      <w:pPr>
        <w:spacing w:line="500" w:lineRule="exact"/>
        <w:ind w:left="315"/>
        <w:rPr>
          <w:rFonts w:hint="eastAsia" w:asciiTheme="minorEastAsia" w:hAnsiTheme="minorEastAsia" w:eastAsiaTheme="minorEastAsia" w:cstheme="minorEastAsia"/>
          <w:b/>
          <w:color w:val="0070C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0070C0"/>
          <w:sz w:val="24"/>
        </w:rPr>
        <w:t>特别收获：你将获得西门子/IBM/华为/阿里/亚马逊/腾讯等企业在使用的三支柱专用的工具包。</w:t>
      </w:r>
    </w:p>
    <w:p>
      <w:pPr>
        <w:pStyle w:val="10"/>
        <w:spacing w:line="500" w:lineRule="exact"/>
        <w:ind w:left="420" w:firstLine="0" w:firstLineChars="0"/>
        <w:rPr>
          <w:rFonts w:hint="eastAsia" w:asciiTheme="minorEastAsia" w:hAnsiTheme="minorEastAsia" w:eastAsiaTheme="minorEastAsia" w:cstheme="minorEastAsia"/>
          <w:b/>
          <w:bCs/>
          <w:color w:val="0066FF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66FF"/>
          <w:sz w:val="24"/>
        </w:rPr>
        <w:t>二、学习对象</w:t>
      </w:r>
    </w:p>
    <w:p>
      <w:pPr>
        <w:pStyle w:val="10"/>
        <w:spacing w:line="500" w:lineRule="exact"/>
        <w:ind w:left="420" w:firstLine="0" w:firstLineChars="0"/>
        <w:rPr>
          <w:rFonts w:hint="eastAsia" w:asciiTheme="minorEastAsia" w:hAnsiTheme="minorEastAsia" w:eastAsiaTheme="minorEastAsia" w:cstheme="minorEastAsia"/>
          <w:bCs/>
          <w:color w:val="FF0000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Cs w:val="21"/>
        </w:rPr>
        <w:t>CEO、HRVP、CHO、HRD、HRM、HRCOE、HRBP、HRSSC、各级直线经理。</w:t>
      </w:r>
    </w:p>
    <w:p>
      <w:pPr>
        <w:spacing w:line="500" w:lineRule="exact"/>
        <w:ind w:firstLine="361" w:firstLineChars="150"/>
        <w:rPr>
          <w:rFonts w:hint="eastAsia" w:asciiTheme="minorEastAsia" w:hAnsiTheme="minorEastAsia" w:eastAsiaTheme="minorEastAsia" w:cstheme="minorEastAsia"/>
          <w:b/>
          <w:bCs/>
          <w:color w:val="0066FF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66FF"/>
          <w:sz w:val="24"/>
        </w:rPr>
        <w:t xml:space="preserve">三、培训导师 </w:t>
      </w:r>
    </w:p>
    <w:p>
      <w:pPr>
        <w:pStyle w:val="10"/>
        <w:spacing w:line="500" w:lineRule="exact"/>
        <w:ind w:left="420" w:firstLine="0" w:firstLineChars="0"/>
        <w:rPr>
          <w:rFonts w:hint="eastAsia" w:asciiTheme="minorEastAsia" w:hAnsiTheme="minorEastAsia" w:eastAsiaTheme="minorEastAsia" w:cstheme="minorEastAsia"/>
          <w:bCs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Cs w:val="21"/>
        </w:rPr>
        <w:t>钟虹添教授。</w:t>
      </w:r>
    </w:p>
    <w:p>
      <w:pPr>
        <w:spacing w:line="500" w:lineRule="exact"/>
        <w:ind w:firstLine="361" w:firstLineChars="150"/>
        <w:rPr>
          <w:rFonts w:hint="eastAsia" w:asciiTheme="minorEastAsia" w:hAnsiTheme="minorEastAsia" w:eastAsiaTheme="minorEastAsia" w:cstheme="minorEastAsia"/>
          <w:b/>
          <w:color w:val="0066FF"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0066FF"/>
          <w:sz w:val="24"/>
        </w:rPr>
        <w:t>四、培训课时</w:t>
      </w:r>
    </w:p>
    <w:p>
      <w:pPr>
        <w:pStyle w:val="10"/>
        <w:spacing w:line="500" w:lineRule="exact"/>
        <w:ind w:left="420" w:firstLine="0"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二天。</w:t>
      </w:r>
    </w:p>
    <w:p>
      <w:pPr>
        <w:pStyle w:val="10"/>
        <w:spacing w:line="500" w:lineRule="exact"/>
        <w:ind w:left="420" w:firstLine="0" w:firstLineChars="0"/>
        <w:rPr>
          <w:rFonts w:hint="eastAsia" w:asciiTheme="minorEastAsia" w:hAnsiTheme="minorEastAsia" w:eastAsiaTheme="minorEastAsia" w:cstheme="minorEastAsia"/>
          <w:b/>
          <w:color w:val="0066FF"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0066FF"/>
          <w:sz w:val="24"/>
        </w:rPr>
        <w:t>五、授课方式</w:t>
      </w:r>
    </w:p>
    <w:p>
      <w:pPr>
        <w:pStyle w:val="10"/>
        <w:spacing w:line="500" w:lineRule="exact"/>
        <w:ind w:left="420" w:firstLine="0"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案例分析、分组讨论、独立思考、角色扮演、情景模拟、游戏、故事启发、视频、主要技能练习等。</w:t>
      </w:r>
    </w:p>
    <w:p>
      <w:pPr>
        <w:pStyle w:val="10"/>
        <w:spacing w:line="500" w:lineRule="exact"/>
        <w:ind w:left="420" w:firstLine="0" w:firstLineChars="0"/>
        <w:rPr>
          <w:rFonts w:hint="eastAsia" w:asciiTheme="minorEastAsia" w:hAnsiTheme="minorEastAsia" w:eastAsiaTheme="minorEastAsia" w:cstheme="minorEastAsia"/>
          <w:b/>
          <w:bCs/>
          <w:color w:val="0066FF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66FF"/>
          <w:sz w:val="24"/>
        </w:rPr>
        <w:t>六、课程大纲</w:t>
      </w:r>
    </w:p>
    <w:p>
      <w:pPr>
        <w:widowControl/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hd w:val="clear" w:color="auto" w:fill="FFFFFF"/>
        </w:rPr>
        <w:t>第一讲、与时俱进——揭秘HR三支柱</w:t>
      </w:r>
    </w:p>
    <w:p>
      <w:pPr>
        <w:widowControl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（本讲适合初学三支柱的学员）</w:t>
      </w:r>
    </w:p>
    <w:p>
      <w:pPr>
        <w:pStyle w:val="10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互联网+的时代，世界颠覆了什么？</w:t>
      </w:r>
    </w:p>
    <w:p>
      <w:pPr>
        <w:pStyle w:val="10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什么样的人力资源管理才能适应企业的需要？</w:t>
      </w:r>
    </w:p>
    <w:p>
      <w:pPr>
        <w:pStyle w:val="10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戴维尤里齐的HRCOE\HRBP\HRSSC；</w:t>
      </w:r>
    </w:p>
    <w:p>
      <w:pPr>
        <w:pStyle w:val="10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HR三支柱的核心观点是什么？</w:t>
      </w:r>
    </w:p>
    <w:p>
      <w:pPr>
        <w:pStyle w:val="10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为什么三支柱是企业人力资源管理必走之路？</w:t>
      </w:r>
    </w:p>
    <w:p>
      <w:pPr>
        <w:pStyle w:val="10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世界与中国企业的三支柱的现状；</w:t>
      </w:r>
    </w:p>
    <w:p>
      <w:pPr>
        <w:pStyle w:val="10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三支柱运营模式的HR组织架构设计与案例分析；</w:t>
      </w:r>
    </w:p>
    <w:p>
      <w:pPr>
        <w:pStyle w:val="10"/>
        <w:widowControl/>
        <w:spacing w:line="500" w:lineRule="exact"/>
        <w:ind w:left="420" w:firstLine="0"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（西门子、亚马逊、苹果的三支柱架构，华为、BAT三支柱架构，优缺点分析与启发）</w:t>
      </w:r>
    </w:p>
    <w:p>
      <w:pPr>
        <w:pStyle w:val="10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能力提升者——HRCOE的主要功能与职责分工，岗位如何设置？</w:t>
      </w:r>
    </w:p>
    <w:p>
      <w:pPr>
        <w:pStyle w:val="10"/>
        <w:widowControl/>
        <w:spacing w:line="500" w:lineRule="exact"/>
        <w:ind w:left="420" w:firstLine="0"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（争执点：COE需要承担招聘、培训、组织发展等具体工作吗？）</w:t>
      </w:r>
    </w:p>
    <w:p>
      <w:pPr>
        <w:pStyle w:val="10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效能提升者——HRBP的主要功能与职责分工，岗位如何设置？</w:t>
      </w:r>
    </w:p>
    <w:p>
      <w:pPr>
        <w:pStyle w:val="10"/>
        <w:widowControl/>
        <w:spacing w:line="500" w:lineRule="exact"/>
        <w:ind w:left="420" w:firstLine="0"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（争执点：COE需要承担招聘、培训、组织发展等具体工作吗？）</w:t>
      </w:r>
    </w:p>
    <w:p>
      <w:pPr>
        <w:pStyle w:val="10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效率提升者——HRSSC的主要功能与职责分工，岗位如何设置？</w:t>
      </w:r>
    </w:p>
    <w:p>
      <w:pPr>
        <w:pStyle w:val="10"/>
        <w:widowControl/>
        <w:spacing w:line="500" w:lineRule="exact"/>
        <w:ind w:left="420" w:firstLine="0"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（如何从SSC直接提升为SDC？）</w:t>
      </w:r>
    </w:p>
    <w:p>
      <w:pPr>
        <w:widowControl/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Cs w:val="21"/>
          <w:shd w:val="clear" w:color="auto" w:fill="FFFFFF"/>
        </w:rPr>
        <w:t>案例解读：第一个吃螃蟹的IBM的三支柱解、分析与启发。</w:t>
      </w:r>
    </w:p>
    <w:p>
      <w:pPr>
        <w:widowControl/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kern w:val="0"/>
          <w:szCs w:val="21"/>
          <w:shd w:val="clear" w:color="auto" w:fill="FFFFFF"/>
        </w:rPr>
      </w:pPr>
      <w:bookmarkStart w:id="2" w:name="_Hlk4276349"/>
      <w:r>
        <w:rPr>
          <w:rFonts w:hint="eastAsia" w:asciiTheme="minorEastAsia" w:hAnsiTheme="minorEastAsia" w:eastAsiaTheme="minorEastAsia" w:cstheme="minorEastAsia"/>
          <w:b/>
          <w:kern w:val="0"/>
          <w:szCs w:val="21"/>
          <w:shd w:val="clear" w:color="auto" w:fill="FFFFFF"/>
        </w:rPr>
        <w:t>练习：三支柱架构的职能与岗位职责设计。</w:t>
      </w:r>
    </w:p>
    <w:bookmarkEnd w:id="2"/>
    <w:p>
      <w:pPr>
        <w:spacing w:line="500" w:lineRule="exact"/>
        <w:ind w:left="72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</w:rPr>
      </w:pPr>
      <w:bookmarkStart w:id="3" w:name="_Hlk4066810"/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</w:rPr>
        <w:t>第二讲、望闻问切——组织诊断技术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一、亚马逊组织诊断案例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1.诊断人员选择。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2.角色设置与每个角色的责任——主持人、观察员、专家团、组织者。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3.PPT式的诊断范围展示。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4.组织形式：成员分组、轮流发言、结果反馈、小组评比、学员DIY、奖励机制、学员虚拟币。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5.复盘：重要问题回顾，总结关键结果。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二、阿里巴巴六个盒子案例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第一个盒子：目标/使命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诊断范围：战略大图、绘制战略地图、衡量标准与KPI、拼战略大图。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第二个盒子：组织/架构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诊断范围：组织架构选择、战略核心能力评估、经理胜任能力、布阵点兵分析。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第三个盒子：关系/流程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诊断范围：部门/岗位之间依赖关系的基础、沟通协调流畅性、关键流程评估、边界的定义、组织文化模式选择。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第四个盒子：激励/奖励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诊断范围：精神激励与物质奖励的选择、奖励机制/激励机制方向与思路。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第五个盒子：帮助/支持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诊断范围：需要资源分析、支持的工具分析、帮助与支持的内容和方法。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第六个盒子：领导/管理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诊断范围：管理层领导力、领导风格、从第一到第五个盒子需要管理层的领导/管理能力。</w:t>
      </w:r>
    </w:p>
    <w:p>
      <w:pPr>
        <w:widowControl/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Cs w:val="21"/>
          <w:shd w:val="clear" w:color="auto" w:fill="FFFFFF"/>
        </w:rPr>
        <w:t>练习：组织诊断案例分析与研讨。</w:t>
      </w:r>
    </w:p>
    <w:p>
      <w:pPr>
        <w:pStyle w:val="6"/>
        <w:spacing w:before="0" w:beforeAutospacing="0" w:after="0" w:afterAutospacing="0" w:line="500" w:lineRule="exac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第三讲、抬头看天——战略分析技能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bookmarkStart w:id="4" w:name="_Hlk4067769"/>
      <w:r>
        <w:rPr>
          <w:rFonts w:hint="eastAsia" w:asciiTheme="minorEastAsia" w:hAnsiTheme="minorEastAsia" w:eastAsiaTheme="minorEastAsia" w:cstheme="minorEastAsia"/>
          <w:szCs w:val="21"/>
        </w:rPr>
        <w:t>一、三支柱的战略调研技能</w:t>
      </w:r>
    </w:p>
    <w:bookmarkEnd w:id="4"/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（一）调研访谈技能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如何从三支柱的角度设计访谈思路；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访谈对象选择；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访谈人员数量的选择的技巧；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编写访谈问题提纲；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设计访谈问题的主要维度；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访谈方法与技巧；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提问题的技巧；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访谈场所的选择；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访谈内容整理；</w:t>
      </w:r>
    </w:p>
    <w:p>
      <w:pPr>
        <w:pStyle w:val="10"/>
        <w:numPr>
          <w:ilvl w:val="0"/>
          <w:numId w:val="4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访谈结论与主要现象/问题。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案例分享：西门子的三支柱的人员访谈案例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练习：三支柱人员的访谈技能练习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（二）问卷调查技能</w:t>
      </w:r>
    </w:p>
    <w:p>
      <w:pPr>
        <w:pStyle w:val="10"/>
        <w:numPr>
          <w:ilvl w:val="0"/>
          <w:numId w:val="5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三支柱的问卷调查与企业其它调查的区别在哪里？</w:t>
      </w:r>
    </w:p>
    <w:p>
      <w:pPr>
        <w:pStyle w:val="10"/>
        <w:numPr>
          <w:ilvl w:val="0"/>
          <w:numId w:val="5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问卷调查对象选择；</w:t>
      </w:r>
    </w:p>
    <w:p>
      <w:pPr>
        <w:pStyle w:val="10"/>
        <w:numPr>
          <w:ilvl w:val="0"/>
          <w:numId w:val="5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问卷调查对象数量确定的技巧；</w:t>
      </w:r>
    </w:p>
    <w:p>
      <w:pPr>
        <w:pStyle w:val="10"/>
        <w:numPr>
          <w:ilvl w:val="0"/>
          <w:numId w:val="5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编写问卷调查问题提纲；</w:t>
      </w:r>
    </w:p>
    <w:p>
      <w:pPr>
        <w:pStyle w:val="10"/>
        <w:numPr>
          <w:ilvl w:val="0"/>
          <w:numId w:val="5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设计问卷调查问题的主要维度；</w:t>
      </w:r>
    </w:p>
    <w:p>
      <w:pPr>
        <w:pStyle w:val="10"/>
        <w:numPr>
          <w:ilvl w:val="0"/>
          <w:numId w:val="5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问卷调查方法与技巧；</w:t>
      </w:r>
    </w:p>
    <w:p>
      <w:pPr>
        <w:pStyle w:val="10"/>
        <w:numPr>
          <w:ilvl w:val="0"/>
          <w:numId w:val="5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问卷回收技巧；</w:t>
      </w:r>
    </w:p>
    <w:p>
      <w:pPr>
        <w:pStyle w:val="10"/>
        <w:numPr>
          <w:ilvl w:val="0"/>
          <w:numId w:val="5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问卷调查内容整理与统计；</w:t>
      </w:r>
    </w:p>
    <w:p>
      <w:pPr>
        <w:pStyle w:val="10"/>
        <w:numPr>
          <w:ilvl w:val="0"/>
          <w:numId w:val="5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问卷调查结论与主要现象/问题。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案例分享：西门子三支柱的问卷调查案例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bookmarkStart w:id="5" w:name="_Hlk4067344"/>
      <w:r>
        <w:rPr>
          <w:rFonts w:hint="eastAsia" w:asciiTheme="minorEastAsia" w:hAnsiTheme="minorEastAsia" w:eastAsiaTheme="minorEastAsia" w:cstheme="minorEastAsia"/>
          <w:b/>
          <w:szCs w:val="21"/>
        </w:rPr>
        <w:t>练习：基于三支柱运营模式的问卷调查练习</w:t>
      </w:r>
    </w:p>
    <w:bookmarkEnd w:id="5"/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（三）目标观察技能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1.目标观察范围和内容设计；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2.目标观察对象设计；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3.目标观察实施技巧；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4.目标观察总结、分析技能。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练习：基于三支柱运营模式的目标观察练习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二、三支柱的战略分析技能</w:t>
      </w:r>
    </w:p>
    <w:p>
      <w:pPr>
        <w:pStyle w:val="10"/>
        <w:numPr>
          <w:ilvl w:val="0"/>
          <w:numId w:val="6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事务型三支柱与战略型三支柱的区别；</w:t>
      </w:r>
    </w:p>
    <w:p>
      <w:pPr>
        <w:pStyle w:val="10"/>
        <w:numPr>
          <w:ilvl w:val="0"/>
          <w:numId w:val="6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调研诊断维度：公司、客户、竞争对手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3C's （Strategic Triangle Model）</w:t>
      </w:r>
      <w:r>
        <w:rPr>
          <w:rFonts w:hint="eastAsia" w:asciiTheme="minorEastAsia" w:hAnsiTheme="minorEastAsia" w:eastAsiaTheme="minorEastAsia" w:cstheme="minorEastAsia"/>
          <w:szCs w:val="21"/>
        </w:rPr>
        <w:t>；</w:t>
      </w:r>
    </w:p>
    <w:p>
      <w:pPr>
        <w:pStyle w:val="10"/>
        <w:numPr>
          <w:ilvl w:val="0"/>
          <w:numId w:val="6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公司层面调研的维度与方法；</w:t>
      </w:r>
    </w:p>
    <w:p>
      <w:pPr>
        <w:pStyle w:val="10"/>
        <w:numPr>
          <w:ilvl w:val="0"/>
          <w:numId w:val="6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竞争对手调研的维度与方法；</w:t>
      </w:r>
    </w:p>
    <w:p>
      <w:pPr>
        <w:pStyle w:val="10"/>
        <w:numPr>
          <w:ilvl w:val="0"/>
          <w:numId w:val="6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客户调研的维度与方法。</w:t>
      </w:r>
    </w:p>
    <w:p>
      <w:pPr>
        <w:pStyle w:val="10"/>
        <w:numPr>
          <w:ilvl w:val="0"/>
          <w:numId w:val="6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业务部门的SWOT分析；</w:t>
      </w:r>
    </w:p>
    <w:p>
      <w:pPr>
        <w:pStyle w:val="10"/>
        <w:numPr>
          <w:ilvl w:val="0"/>
          <w:numId w:val="6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运用有效的业务信息，做出正确的对策，为HR服务。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案例解读：</w:t>
      </w:r>
      <w:r>
        <w:rPr>
          <w:rFonts w:hint="eastAsia" w:asciiTheme="minorEastAsia" w:hAnsiTheme="minorEastAsia" w:eastAsiaTheme="minorEastAsia" w:cstheme="minorEastAsia"/>
          <w:szCs w:val="21"/>
        </w:rPr>
        <w:t>西门子以项目管理和产品导向为主，华为与之类似，而腾讯是以产品为导向；业务链比较复杂的西门子，三支柱们如何去了解和掌握企业内外环境和战略，业务策略和运营情况，为HR产品开发提供方向，为业务部门服务，其战略分析技能和方法值得借鉴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练习：企业内外环境与战略案例分析练习</w:t>
      </w:r>
    </w:p>
    <w:bookmarkEnd w:id="3"/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第四讲、 深入前线——业务诊断技能</w:t>
      </w:r>
    </w:p>
    <w:p>
      <w:pPr>
        <w:pStyle w:val="10"/>
        <w:numPr>
          <w:ilvl w:val="0"/>
          <w:numId w:val="7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业务运作，三支柱该介入多深？</w:t>
      </w:r>
    </w:p>
    <w:p>
      <w:pPr>
        <w:pStyle w:val="10"/>
        <w:numPr>
          <w:ilvl w:val="0"/>
          <w:numId w:val="7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业务诊断，诊断什么内容？</w:t>
      </w:r>
    </w:p>
    <w:p>
      <w:pPr>
        <w:pStyle w:val="10"/>
        <w:numPr>
          <w:ilvl w:val="0"/>
          <w:numId w:val="7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业务诊断不要忘了竞争对手；</w:t>
      </w:r>
    </w:p>
    <w:p>
      <w:pPr>
        <w:pStyle w:val="10"/>
        <w:numPr>
          <w:ilvl w:val="0"/>
          <w:numId w:val="7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业务诊断的四个步骤；</w:t>
      </w:r>
    </w:p>
    <w:p>
      <w:pPr>
        <w:pStyle w:val="10"/>
        <w:numPr>
          <w:ilvl w:val="0"/>
          <w:numId w:val="7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业务诊断的五种方法</w:t>
      </w:r>
    </w:p>
    <w:p>
      <w:pPr>
        <w:pStyle w:val="10"/>
        <w:numPr>
          <w:ilvl w:val="0"/>
          <w:numId w:val="7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业务诊断结果的呈现技巧——把握火候与时机。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案例解读：华为三支柱撩业务的方法-——“1245模式”</w:t>
      </w:r>
    </w:p>
    <w:p>
      <w:pPr>
        <w:pStyle w:val="10"/>
        <w:numPr>
          <w:ilvl w:val="0"/>
          <w:numId w:val="8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1撩：可以撩</w:t>
      </w:r>
    </w:p>
    <w:p>
      <w:pPr>
        <w:pStyle w:val="10"/>
        <w:numPr>
          <w:ilvl w:val="0"/>
          <w:numId w:val="8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2个目的：把关业务、服务业务</w:t>
      </w:r>
    </w:p>
    <w:p>
      <w:pPr>
        <w:pStyle w:val="10"/>
        <w:numPr>
          <w:ilvl w:val="0"/>
          <w:numId w:val="8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4大步骤：调研、分析、判断、呈现</w:t>
      </w:r>
    </w:p>
    <w:p>
      <w:pPr>
        <w:pStyle w:val="10"/>
        <w:numPr>
          <w:ilvl w:val="0"/>
          <w:numId w:val="8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5种方法：CPM、人员访谈、问卷调查、资料分析、市场调查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练习：企业业务部门业务运营诊断练习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第五讲：温故知新——项目复盘技能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每个项目结束，每个考核周期完成，HRBP与三支柱们都需要组织业务部门的人员开展复盘工作，以</w:t>
      </w:r>
      <w:r>
        <w:rPr>
          <w:rFonts w:hint="eastAsia" w:asciiTheme="minorEastAsia" w:hAnsiTheme="minorEastAsia" w:eastAsiaTheme="minorEastAsia" w:cstheme="minorEastAsia"/>
          <w:color w:val="2D2D2D"/>
          <w:sz w:val="21"/>
          <w:szCs w:val="21"/>
        </w:rPr>
        <w:t>发现和产生新的想法与知识，把失败转化为财富，把成功转化为能力，持续提升业务部门的业绩暴涨。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第一步：复盘工作坊规则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备注：让所有人在统一的规则下进行复盘，并使促动师与学员建立充分的亲和；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第二步：团队建设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备注：团队建设，加强学员之间的竞争氛围与集体荣誉感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第三步：复盘澄清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备注：明确本次复盘的目标，即上次培训后小组提出的行动目标、改进计划、行动方案等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第四步：目标回顾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备注：充分回顾上次培训现场确定的目标、改进计划和行动方案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第五步：评估结果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备注：客观对照，目前各项目标、计划，行动方案达成的情况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第六步：分析原因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备注：分析原因，深度推演，复盘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第七步：总结规律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备注：复盘，有了哪些洞见，总结出了什么样的规律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第八步：再次起航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备注：根据以上复盘得出的结论，我们将如何再次起航（沙盘—目标、计划）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第九步：分享收获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备注：整个工作坊结束后，每个人每个小组分享收获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案例解读：</w:t>
      </w:r>
      <w:r>
        <w:rPr>
          <w:rFonts w:hint="eastAsia" w:asciiTheme="minorEastAsia" w:hAnsiTheme="minorEastAsia" w:eastAsiaTheme="minorEastAsia" w:cstheme="minorEastAsia"/>
          <w:szCs w:val="21"/>
        </w:rPr>
        <w:t>亚马逊的业绩复盘、阿里巴巴的项目复盘，在业内非常有名气，通过案例介绍得到启发和思考。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练习：业务复盘工作坊使用与练习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pacing w:val="15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15"/>
          <w:sz w:val="24"/>
          <w:shd w:val="clear" w:color="auto" w:fill="FFFFFF"/>
        </w:rPr>
        <w:t>第六讲、落地有声——推动与运营三支柱</w:t>
      </w:r>
    </w:p>
    <w:p>
      <w:pPr>
        <w:widowControl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一、推动三支柱运营模式</w:t>
      </w:r>
    </w:p>
    <w:p>
      <w:pPr>
        <w:widowControl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（适合准备推动三支柱/HRBP的企业）</w:t>
      </w:r>
    </w:p>
    <w:p>
      <w:pPr>
        <w:pStyle w:val="10"/>
        <w:widowControl/>
        <w:numPr>
          <w:ilvl w:val="0"/>
          <w:numId w:val="9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企业发展战略与三支柱运营模式；</w:t>
      </w:r>
    </w:p>
    <w:p>
      <w:pPr>
        <w:pStyle w:val="10"/>
        <w:widowControl/>
        <w:numPr>
          <w:ilvl w:val="0"/>
          <w:numId w:val="9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什么规模、哪种发展阶段的企业适合三支柱运营模式？</w:t>
      </w:r>
    </w:p>
    <w:p>
      <w:pPr>
        <w:pStyle w:val="10"/>
        <w:widowControl/>
        <w:numPr>
          <w:ilvl w:val="0"/>
          <w:numId w:val="9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推动三支柱运营模式的准备工作；</w:t>
      </w:r>
    </w:p>
    <w:p>
      <w:pPr>
        <w:pStyle w:val="10"/>
        <w:widowControl/>
        <w:numPr>
          <w:ilvl w:val="0"/>
          <w:numId w:val="9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推动三支柱运营模式的各方职责；</w:t>
      </w:r>
    </w:p>
    <w:p>
      <w:pPr>
        <w:pStyle w:val="10"/>
        <w:widowControl/>
        <w:numPr>
          <w:ilvl w:val="0"/>
          <w:numId w:val="9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如何循序渐进推动三支柱运营模式？</w:t>
      </w:r>
    </w:p>
    <w:p>
      <w:pPr>
        <w:pStyle w:val="10"/>
        <w:widowControl/>
        <w:numPr>
          <w:ilvl w:val="0"/>
          <w:numId w:val="9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运营三支柱模型遇到的主要问题与解决对策；</w:t>
      </w:r>
    </w:p>
    <w:p>
      <w:pPr>
        <w:pStyle w:val="10"/>
        <w:widowControl/>
        <w:numPr>
          <w:ilvl w:val="0"/>
          <w:numId w:val="9"/>
        </w:numPr>
        <w:spacing w:line="500" w:lineRule="exact"/>
        <w:ind w:firstLineChars="0"/>
        <w:jc w:val="left"/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shd w:val="clear" w:color="auto" w:fill="FFFFFF"/>
        </w:rPr>
        <w:t>三支柱人员考核方法与策略。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bCs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</w:rPr>
        <w:t>案例解读：中兴、百度等名企是引入与推动三支柱案例分析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  <w:t>二、三支柱能力素质要求</w:t>
      </w:r>
    </w:p>
    <w:p>
      <w:pPr>
        <w:pStyle w:val="10"/>
        <w:numPr>
          <w:ilvl w:val="0"/>
          <w:numId w:val="10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  <w:t>COE的素质能力要求；</w:t>
      </w:r>
    </w:p>
    <w:p>
      <w:pPr>
        <w:pStyle w:val="10"/>
        <w:numPr>
          <w:ilvl w:val="0"/>
          <w:numId w:val="10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  <w:t>BP的素质能力要求；</w:t>
      </w:r>
    </w:p>
    <w:p>
      <w:pPr>
        <w:pStyle w:val="10"/>
        <w:numPr>
          <w:ilvl w:val="0"/>
          <w:numId w:val="10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  <w:t>SSC的素质能力要求；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pacing w:val="15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15"/>
          <w:shd w:val="clear" w:color="auto" w:fill="FFFFFF"/>
        </w:rPr>
        <w:t>案例解读：腾讯COE、BP、SSC能力素质要求解析与借鉴、启发。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  <w:t>三、企业战略阶段与三支柱运营</w:t>
      </w:r>
    </w:p>
    <w:p>
      <w:pPr>
        <w:pStyle w:val="10"/>
        <w:numPr>
          <w:ilvl w:val="0"/>
          <w:numId w:val="11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  <w:t>企业发展初期的三支柱工作重点；</w:t>
      </w:r>
    </w:p>
    <w:p>
      <w:pPr>
        <w:pStyle w:val="10"/>
        <w:numPr>
          <w:ilvl w:val="0"/>
          <w:numId w:val="11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  <w:t>企业高速发展期的三支柱工作重点；</w:t>
      </w:r>
    </w:p>
    <w:p>
      <w:pPr>
        <w:pStyle w:val="10"/>
        <w:numPr>
          <w:ilvl w:val="0"/>
          <w:numId w:val="11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  <w:t>企业稳定运营期的三支柱工作重点；</w:t>
      </w:r>
    </w:p>
    <w:p>
      <w:pPr>
        <w:pStyle w:val="10"/>
        <w:numPr>
          <w:ilvl w:val="0"/>
          <w:numId w:val="11"/>
        </w:numPr>
        <w:spacing w:line="500" w:lineRule="exact"/>
        <w:ind w:firstLineChars="0"/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hd w:val="clear" w:color="auto" w:fill="FFFFFF"/>
        </w:rPr>
        <w:t>三支柱人员的培养与职业发展规划。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pacing w:val="15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15"/>
          <w:shd w:val="clear" w:color="auto" w:fill="FFFFFF"/>
        </w:rPr>
        <w:t>案例解读：IBM、西门子、阿里巴巴各阶段三支柱运营的案例解析与借鉴、启发。</w:t>
      </w:r>
    </w:p>
    <w:p>
      <w:pPr>
        <w:spacing w:line="288" w:lineRule="auto"/>
        <w:rPr>
          <w:rFonts w:hint="eastAsia" w:ascii="宋体" w:hAnsi="宋体" w:cs="宋体"/>
          <w:b/>
          <w:bCs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  <w:lang w:eastAsia="zh-CN"/>
        </w:rPr>
        <w:t>讲师介绍：</w:t>
      </w:r>
    </w:p>
    <w:p>
      <w:pPr>
        <w:pStyle w:val="2"/>
        <w:ind w:firstLine="361" w:firstLineChars="100"/>
        <w:jc w:val="both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钟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老师：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0066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125730</wp:posOffset>
                </wp:positionV>
                <wp:extent cx="2952750" cy="3219450"/>
                <wp:effectExtent l="0" t="0" r="0" b="0"/>
                <wp:wrapNone/>
                <wp:docPr id="18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o:spt="1" style="position:absolute;left:0pt;margin-left:305.55pt;margin-top:9.9pt;height:253.5pt;width:232.5pt;z-index:251668480;mso-width-relative:page;mso-height-relative:page;" fillcolor="#FFFFFF" filled="t" stroked="f" coordsize="21600,21600" o:gfxdata="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QqzQ+1wAAAAsBAAAPAAAAAAAAAAEAIAAAACIAAABkcnMvZG93bnJldi54&#10;bWxQSwECFAAUAAAACACHTuJA+hV4gPsBAADpAwAADgAAAAAAAAABACAAAAAmAQAAZHJzL2Uyb0Rv&#10;Yy54bWxQSwUGAAAAAAYABgBZAQAAk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color w:val="0066FF"/>
          <w:sz w:val="21"/>
          <w:szCs w:val="21"/>
        </w:rPr>
        <w:t xml:space="preserve">【专业资历】 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121285</wp:posOffset>
            </wp:positionV>
            <wp:extent cx="1767205" cy="2728595"/>
            <wp:effectExtent l="0" t="0" r="4445" b="14605"/>
            <wp:wrapNone/>
            <wp:docPr id="3" name="图片 3" descr="C:\Users\ADMINI~1\AppData\Local\Temp\15162917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1516291799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香港科技大学特聘教授，清华大学特聘教授，2018-2019</w:t>
      </w:r>
    </w:p>
    <w:p>
      <w:pPr>
        <w:pStyle w:val="12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年度“中国首席培训师”。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工商管理博士DBA、中国HR三支柱首席培训师，中国人才</w:t>
      </w:r>
    </w:p>
    <w:p>
      <w:pPr>
        <w:pStyle w:val="12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梯队建设第一人、世界级领导力培养专家。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建设银行总行前行长张建国、中国移动集团前董事长奚国华</w:t>
      </w:r>
    </w:p>
    <w:p>
      <w:pPr>
        <w:pStyle w:val="12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最推崇的著名企业管理导师。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核心专长： HR三支柱运营模式、人才梯队建设、人力资源</w:t>
      </w:r>
    </w:p>
    <w:p>
      <w:pPr>
        <w:pStyle w:val="12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管理体系建设、关键人才培养、领导力培养、企业战略管理。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二十八年工作经验，世界500强工作经历。曾任西门子、</w:t>
      </w:r>
    </w:p>
    <w:p>
      <w:pPr>
        <w:pStyle w:val="12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亚马逊、恒信集团等著名企业的高级管理者；培训足迹遍布台湾、香港、新加坡、马来西亚、德国、澳大利亚、韩国、日本、美国等地。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GE、IBM、中国移动集团、中国建设银行总行、中国工商银行总行、汇丰银行、国家烟草专卖局、国家电网、三星集团、宝龙集团等著名企业指定培训师/顾问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；</w:t>
      </w:r>
    </w:p>
    <w:p>
      <w:pPr>
        <w:pStyle w:val="12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著名企业管理咨询师，为众多企业提供了战略规划、企业文化建设、人力资源管理、三支柱运营模式、人才梯队建设、领导力培养等咨询项目服务；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0066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66FF"/>
          <w:sz w:val="21"/>
          <w:szCs w:val="21"/>
        </w:rPr>
        <w:t xml:space="preserve">【研究成果】 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著作：《人才梯队建设和思八步法》厦门大学出版社，2011年；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著作：《对话世界500强CHO》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中国铁道出版社，2015年；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著作：《战略突破——打造终极核心竞争力》2020年；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课题：《厦门市民营经济发展战略》厦门市政府课题，2007年；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课题：《云南省烟草专卖局/公司发展战略规划》，云南省烟草专卖局课题，2009年；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课题：《云南省烟叶复烤集团发展战略规划》云南省烟叶复烤公司课题，2010年；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作序：为华为畅销书亲自作序《华为你学不会》、《华为人力资源管理方法论》、《华为组织运营方法论》。</w:t>
      </w:r>
    </w:p>
    <w:p>
      <w:pPr>
        <w:spacing w:line="500" w:lineRule="exact"/>
        <w:ind w:firstLine="315" w:firstLineChars="15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中国第一部帮助人才战略落地的著作《人才梯队建设和思八步法》2011年12月由厦门大学出版社出版！全书共58万字，由钟虹添博士与中国移动前董事长奚国华、中国建设银行前行长张建国合著，本书以严谨、系统的专业理论为基础，以企业人才梯队建设实际案例为主要内容，书中有大量的流程、工具和图表，具有很强的专业性、系统性、操作性，可以直接引用或模仿，是企业实现智力需求和人力需求的最佳解决方案。</w:t>
      </w:r>
    </w:p>
    <w:p>
      <w:pPr>
        <w:spacing w:line="500" w:lineRule="exact"/>
        <w:ind w:firstLine="315" w:firstLineChars="150"/>
        <w:rPr>
          <w:rFonts w:asciiTheme="minorEastAsia" w:hAnsiTheme="minorEastAsia" w:eastAsia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本书得到了中央大型企业相关领导的好评，如：工商银行董事长姜建清、中国石化集团董事长傅成玉、中国电信董事长王晓初、国家电网公司总经理刘振亚、国家烟草专卖局前局长姜成康等。</w:t>
      </w:r>
    </w:p>
    <w:p>
      <w:pPr>
        <w:spacing w:line="288" w:lineRule="auto"/>
        <w:rPr>
          <w:rFonts w:hint="eastAsia" w:ascii="宋体" w:hAnsi="宋体" w:cs="宋体"/>
          <w:szCs w:val="21"/>
          <w:shd w:val="clear" w:color="auto" w:fill="FFFFFF"/>
        </w:rPr>
      </w:pPr>
    </w:p>
    <w:p>
      <w:pPr>
        <w:spacing w:line="288" w:lineRule="auto"/>
        <w:ind w:firstLine="3602" w:firstLineChars="1000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报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名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表</w:t>
      </w:r>
    </w:p>
    <w:tbl>
      <w:tblPr>
        <w:tblStyle w:val="7"/>
        <w:tblpPr w:leftFromText="180" w:rightFromText="180" w:vertAnchor="text" w:horzAnchor="page" w:tblpX="1041" w:tblpY="108"/>
        <w:tblOverlap w:val="never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87"/>
        <w:gridCol w:w="1044"/>
        <w:gridCol w:w="424"/>
        <w:gridCol w:w="927"/>
        <w:gridCol w:w="255"/>
        <w:gridCol w:w="1141"/>
        <w:gridCol w:w="757"/>
        <w:gridCol w:w="175"/>
        <w:gridCol w:w="796"/>
        <w:gridCol w:w="699"/>
        <w:gridCol w:w="374"/>
        <w:gridCol w:w="242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9016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/>
                <w:sz w:val="21"/>
                <w:szCs w:val="21"/>
              </w:rPr>
              <w:t>发票抬头</w:t>
            </w: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税务号</w:t>
            </w:r>
          </w:p>
        </w:tc>
        <w:tc>
          <w:tcPr>
            <w:tcW w:w="429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公司地址</w:t>
            </w:r>
          </w:p>
        </w:tc>
        <w:tc>
          <w:tcPr>
            <w:tcW w:w="9016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3124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2572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参会</w:t>
            </w:r>
            <w:r>
              <w:rPr>
                <w:rFonts w:hint="default" w:ascii="宋体" w:hAnsi="宋体" w:eastAsia="宋体"/>
                <w:sz w:val="21"/>
                <w:szCs w:val="21"/>
              </w:rPr>
              <w:t>费用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default" w:ascii="宋体" w:hAnsi="宋体" w:eastAsia="宋体"/>
                <w:sz w:val="21"/>
                <w:szCs w:val="21"/>
                <w:u w:val="none"/>
              </w:rPr>
              <w:t>元</w:t>
            </w: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hint="eastAsia"/>
                <w:b w:val="0"/>
                <w:bCs w:val="0"/>
                <w:sz w:val="20"/>
              </w:rPr>
              <w:t>发票内容</w:t>
            </w:r>
            <w:r>
              <w:rPr>
                <w:rStyle w:val="9"/>
                <w:rFonts w:hint="default"/>
                <w:b w:val="0"/>
                <w:bCs w:val="0"/>
                <w:sz w:val="20"/>
              </w:rPr>
              <w:t>：1.</w:t>
            </w:r>
            <w:r>
              <w:rPr>
                <w:rFonts w:hint="eastAsia"/>
                <w:bCs/>
                <w:sz w:val="20"/>
                <w:lang w:eastAsia="zh-CN"/>
              </w:rPr>
              <w:t>培训费</w:t>
            </w:r>
            <w:r>
              <w:rPr>
                <w:rFonts w:hint="default"/>
                <w:bCs/>
                <w:sz w:val="20"/>
                <w:lang w:eastAsia="zh-CN"/>
              </w:rPr>
              <w:t xml:space="preserve"> 2.</w:t>
            </w:r>
            <w:r>
              <w:rPr>
                <w:rFonts w:hint="default"/>
                <w:bCs/>
                <w:sz w:val="20"/>
              </w:rPr>
              <w:t>信息服务费 3.咨询费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付款方式：□课前转帐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214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酒店预订委托</w:t>
            </w:r>
          </w:p>
        </w:tc>
        <w:tc>
          <w:tcPr>
            <w:tcW w:w="7972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/>
              <w:ind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  标双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间    标单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</w:trPr>
        <w:tc>
          <w:tcPr>
            <w:tcW w:w="214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ind w:firstLine="48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汇款账号</w:t>
            </w:r>
          </w:p>
        </w:tc>
        <w:tc>
          <w:tcPr>
            <w:tcW w:w="7972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户    名：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企赢（深圳）企业管理咨询有限责任公司</w:t>
            </w:r>
          </w:p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开 户 行：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中国工商银行股份有限公司深圳布吉支行</w:t>
            </w:r>
          </w:p>
          <w:p>
            <w:pPr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公司账号：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/>
                <w:b w:val="0"/>
                <w:bCs w:val="0"/>
                <w:color w:val="000000"/>
                <w:sz w:val="21"/>
                <w:szCs w:val="21"/>
                <w:lang w:eastAsia="zh-CN"/>
              </w:rPr>
              <w:t>4000022309202049860</w:t>
            </w:r>
          </w:p>
          <w:p>
            <w:pPr>
              <w:spacing w:after="0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71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学员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名单</w:t>
            </w:r>
          </w:p>
        </w:tc>
        <w:tc>
          <w:tcPr>
            <w:tcW w:w="1431" w:type="dxa"/>
            <w:gridSpan w:val="2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606" w:type="dxa"/>
            <w:gridSpan w:val="3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98" w:type="dxa"/>
            <w:gridSpan w:val="2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044" w:type="dxa"/>
            <w:gridSpan w:val="4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2424" w:type="dxa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  <w:r>
              <w:rPr>
                <w:rStyle w:val="9"/>
                <w:rFonts w:ascii="宋体" w:hAnsi="宋体" w:eastAsia="宋体"/>
                <w:sz w:val="21"/>
                <w:szCs w:val="21"/>
              </w:rPr>
              <w:t>培训时间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11"/>
              <w:spacing w:before="100" w:beforeAutospacing="1" w:after="100" w:afterAutospacing="1"/>
              <w:jc w:val="center"/>
              <w:rPr>
                <w:rStyle w:val="9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11"/>
              <w:spacing w:before="100" w:beforeAutospacing="1" w:after="100" w:afterAutospacing="1"/>
              <w:jc w:val="center"/>
              <w:rPr>
                <w:rStyle w:val="9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9"/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Cs w:val="22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Cs w:val="22"/>
        </w:rPr>
        <w:t>备注：为确保您的名额和及时参加，请提前将《报名表》填好后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回复</w:t>
      </w:r>
      <w:r>
        <w:rPr>
          <w:rFonts w:hint="default" w:ascii="宋体" w:hAnsi="宋体" w:eastAsia="宋体" w:cs="宋体"/>
          <w:b/>
          <w:bCs/>
          <w:szCs w:val="2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Cs w:val="22"/>
        </w:rPr>
        <w:t>我们将有专人与您联系确认，并于开课前发出《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开课邀请函</w:t>
      </w:r>
      <w:r>
        <w:rPr>
          <w:rFonts w:hint="eastAsia" w:ascii="宋体" w:hAnsi="宋体" w:eastAsia="宋体" w:cs="宋体"/>
          <w:b/>
          <w:bCs/>
          <w:szCs w:val="22"/>
        </w:rPr>
        <w:t>》。培训时间、地点、住宿等详细信息请以《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开课邀请函</w:t>
      </w:r>
      <w:r>
        <w:rPr>
          <w:rFonts w:hint="eastAsia" w:ascii="宋体" w:hAnsi="宋体" w:eastAsia="宋体" w:cs="宋体"/>
          <w:b/>
          <w:bCs/>
          <w:szCs w:val="22"/>
        </w:rPr>
        <w:t>》书面通知为准，敬请留意。谢谢！详询热线：</w:t>
      </w:r>
      <w:r>
        <w:rPr>
          <w:rFonts w:hint="default"/>
          <w:b/>
          <w:bCs/>
          <w:color w:val="000000"/>
          <w:sz w:val="21"/>
          <w:szCs w:val="21"/>
        </w:rPr>
        <w:t xml:space="preserve">18820199517 </w:t>
      </w:r>
      <w:r>
        <w:rPr>
          <w:rFonts w:hint="eastAsia" w:ascii="宋体" w:hAnsi="宋体" w:eastAsia="宋体" w:cs="宋体"/>
          <w:b/>
          <w:bCs/>
          <w:color w:val="000000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Cs w:val="22"/>
        </w:rPr>
        <w:t>(</w:t>
      </w:r>
      <w:r>
        <w:rPr>
          <w:rFonts w:hint="eastAsia" w:ascii="宋体" w:hAnsi="宋体" w:eastAsia="宋体" w:cs="宋体"/>
          <w:b/>
          <w:bCs/>
          <w:color w:val="000000"/>
          <w:szCs w:val="22"/>
          <w:lang w:eastAsia="zh-CN"/>
        </w:rPr>
        <w:t>彭</w:t>
      </w:r>
      <w:r>
        <w:rPr>
          <w:rFonts w:hint="eastAsia" w:ascii="宋体" w:hAnsi="宋体" w:eastAsia="宋体" w:cs="宋体"/>
          <w:b/>
          <w:bCs/>
          <w:color w:val="000000"/>
          <w:szCs w:val="22"/>
        </w:rPr>
        <w:t>老师)</w:t>
      </w:r>
    </w:p>
    <w:p>
      <w:pPr>
        <w:rPr>
          <w:rFonts w:ascii="微软雅黑" w:hAnsi="微软雅黑" w:eastAsia="微软雅黑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-766"/>
      <w:jc w:val="both"/>
      <w:rPr>
        <w:rFonts w:hint="eastAsia"/>
        <w:color w:val="E36C09"/>
        <w:sz w:val="21"/>
        <w:szCs w:val="21"/>
        <w:lang w:val="en-US"/>
      </w:rPr>
    </w:pPr>
    <w:r>
      <w:rPr>
        <w:rFonts w:hint="eastAsia"/>
        <w:color w:val="E36C09"/>
        <w:sz w:val="21"/>
        <w:szCs w:val="21"/>
      </w:rPr>
      <w:t>地址：</w:t>
    </w:r>
    <w:r>
      <w:rPr>
        <w:rFonts w:hint="default"/>
        <w:color w:val="E36C09"/>
        <w:sz w:val="21"/>
        <w:szCs w:val="21"/>
      </w:rPr>
      <w:t>深圳市龙岗区布吉街道吉信大厦17</w:t>
    </w:r>
    <w:r>
      <w:rPr>
        <w:rFonts w:hint="eastAsia"/>
        <w:color w:val="E36C09"/>
        <w:sz w:val="21"/>
        <w:szCs w:val="21"/>
        <w:lang w:val="en-US" w:eastAsia="zh-CN"/>
      </w:rPr>
      <w:t>K</w:t>
    </w:r>
    <w:r>
      <w:rPr>
        <w:rFonts w:hint="eastAsia"/>
        <w:color w:val="E36C09"/>
        <w:sz w:val="28"/>
        <w:szCs w:val="28"/>
      </w:rPr>
      <w:t xml:space="preserve"> </w:t>
    </w:r>
    <w:r>
      <w:rPr>
        <w:rFonts w:hint="default"/>
        <w:color w:val="E36C09"/>
        <w:szCs w:val="21"/>
      </w:rPr>
      <w:t xml:space="preserve">  </w:t>
    </w:r>
    <w:r>
      <w:rPr>
        <w:rFonts w:hint="eastAsia"/>
        <w:color w:val="E36C09"/>
        <w:sz w:val="21"/>
        <w:szCs w:val="21"/>
      </w:rPr>
      <w:t>电话</w:t>
    </w:r>
    <w:r>
      <w:rPr>
        <w:rFonts w:hint="default"/>
        <w:color w:val="E36C09"/>
        <w:sz w:val="21"/>
        <w:szCs w:val="21"/>
      </w:rPr>
      <w:t xml:space="preserve">：18820199517       </w:t>
    </w:r>
    <w:r>
      <w:rPr>
        <w:rFonts w:hint="eastAsia" w:eastAsia="新宋体"/>
        <w:color w:val="E36C09"/>
        <w:sz w:val="21"/>
        <w:szCs w:val="21"/>
        <w:lang w:val="en-US" w:eastAsia="zh-CN"/>
      </w:rPr>
      <w:t>QQ</w:t>
    </w:r>
    <w:r>
      <w:rPr>
        <w:rFonts w:hint="default" w:eastAsia="新宋体"/>
        <w:color w:val="E36C09"/>
        <w:sz w:val="21"/>
        <w:szCs w:val="21"/>
        <w:lang w:eastAsia="zh-CN"/>
      </w:rPr>
      <w:t>:2857848000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黑体" w:eastAsia="黑体"/>
        <w:b/>
        <w:color w:val="9C2173"/>
        <w:sz w:val="20"/>
        <w:szCs w:val="20"/>
      </w:rPr>
    </w:pPr>
    <w:r>
      <w:rPr>
        <w:rFonts w:hint="eastAsia" w:ascii="黑体" w:eastAsia="黑体"/>
        <w:b/>
        <w:color w:val="9C2173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-32385</wp:posOffset>
          </wp:positionV>
          <wp:extent cx="1892300" cy="421005"/>
          <wp:effectExtent l="0" t="0" r="12700" b="17145"/>
          <wp:wrapNone/>
          <wp:docPr id="1" name="图片 1" descr="横着的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横着的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b/>
        <w:color w:val="9C2173"/>
        <w:sz w:val="20"/>
        <w:szCs w:val="20"/>
      </w:rPr>
      <w:t xml:space="preserve"> </w:t>
    </w:r>
  </w:p>
  <w:p>
    <w:pPr>
      <w:pStyle w:val="5"/>
      <w:ind w:firstLine="5500" w:firstLineChars="2500"/>
    </w:pPr>
    <w:r>
      <w:rPr>
        <w:rFonts w:hint="default" w:ascii="宋体" w:hAnsi="宋体"/>
        <w:color w:val="auto"/>
        <w:sz w:val="22"/>
        <w:szCs w:val="22"/>
      </w:rPr>
      <w:t>帮助企业成长——助力共赢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FFA"/>
    <w:multiLevelType w:val="multilevel"/>
    <w:tmpl w:val="03602FF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F0E0E24"/>
    <w:multiLevelType w:val="multilevel"/>
    <w:tmpl w:val="1F0E0E24"/>
    <w:lvl w:ilvl="0" w:tentative="0">
      <w:start w:val="1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21475F82"/>
    <w:multiLevelType w:val="multilevel"/>
    <w:tmpl w:val="21475F8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E07DA4"/>
    <w:multiLevelType w:val="multilevel"/>
    <w:tmpl w:val="27E07DA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A3141F"/>
    <w:multiLevelType w:val="multilevel"/>
    <w:tmpl w:val="2DA3141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33770C3"/>
    <w:multiLevelType w:val="multilevel"/>
    <w:tmpl w:val="333770C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4F0149F"/>
    <w:multiLevelType w:val="multilevel"/>
    <w:tmpl w:val="34F0149F"/>
    <w:lvl w:ilvl="0" w:tentative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B90E3C"/>
    <w:multiLevelType w:val="multilevel"/>
    <w:tmpl w:val="3AB90E3C"/>
    <w:lvl w:ilvl="0" w:tentative="0">
      <w:start w:val="1"/>
      <w:numFmt w:val="decimal"/>
      <w:lvlText w:val="%1."/>
      <w:lvlJc w:val="left"/>
      <w:pPr>
        <w:ind w:left="735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47B36182"/>
    <w:multiLevelType w:val="multilevel"/>
    <w:tmpl w:val="47B3618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4E612CB5"/>
    <w:multiLevelType w:val="multilevel"/>
    <w:tmpl w:val="4E612CB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935BAE"/>
    <w:multiLevelType w:val="multilevel"/>
    <w:tmpl w:val="75935BAE"/>
    <w:lvl w:ilvl="0" w:tentative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DFF6F94"/>
    <w:multiLevelType w:val="multilevel"/>
    <w:tmpl w:val="7DFF6F9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C17F31"/>
    <w:multiLevelType w:val="multilevel"/>
    <w:tmpl w:val="7EC17F3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0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beforeLines="0" w:beforeAutospacing="0" w:after="25" w:afterLines="25" w:afterAutospacing="0" w:line="240" w:lineRule="auto"/>
      <w:jc w:val="center"/>
      <w:outlineLvl w:val="0"/>
    </w:pPr>
    <w:rPr>
      <w:rFonts w:ascii="Times New Roman" w:hAnsi="Times New Roman" w:eastAsia="微软雅黑"/>
      <w:b/>
      <w:kern w:val="44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paragraph" w:customStyle="1" w:styleId="10">
    <w:name w:val="List Paragraph"/>
    <w:basedOn w:val="1"/>
    <w:qFormat/>
    <w:uiPriority w:val="0"/>
    <w:pPr>
      <w:adjustRightInd/>
      <w:spacing w:line="240" w:lineRule="auto"/>
      <w:ind w:firstLine="420" w:firstLineChars="200"/>
      <w:textAlignment w:val="auto"/>
    </w:pPr>
    <w:rPr>
      <w:kern w:val="2"/>
      <w:szCs w:val="24"/>
    </w:rPr>
  </w:style>
  <w:style w:type="paragraph" w:customStyle="1" w:styleId="11">
    <w:name w:val="默认段落字体 Para Char Char Char Char"/>
    <w:basedOn w:val="1"/>
    <w:qFormat/>
    <w:uiPriority w:val="0"/>
    <w:pPr>
      <w:widowControl w:val="0"/>
      <w:adjustRightInd/>
      <w:snapToGrid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2">
    <w:name w:val="11p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2020-06-11T11:54:58Z</dcterms:created>
  <dc:creator>Administrator</dc:creator>
  <cp:lastModifiedBy>Administrator</cp:lastModifiedBy>
  <dcterms:modified xsi:type="dcterms:W3CDTF">2020-06-11T11:59:09Z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