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810B8"/>
          <w:sz w:val="30"/>
          <w:szCs w:val="30"/>
        </w:rPr>
      </w:pPr>
    </w:p>
    <w:p>
      <w:pPr>
        <w:pStyle w:val="10"/>
        <w:spacing w:line="360" w:lineRule="auto"/>
        <w:jc w:val="center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爆品战略——如何打造用户必然购买的产品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(网课）</w:t>
      </w:r>
    </w:p>
    <w:bookmarkEnd w:id="0"/>
    <w:p>
      <w:pPr>
        <w:jc w:val="center"/>
        <w:rPr>
          <w:rFonts w:hint="default" w:ascii="微软雅黑" w:hAnsi="微软雅黑" w:eastAsia="微软雅黑"/>
          <w:b/>
          <w:bCs/>
          <w:color w:val="F79646"/>
          <w:sz w:val="32"/>
          <w:szCs w:val="32"/>
        </w:rPr>
      </w:pPr>
      <w:r>
        <w:rPr>
          <w:rFonts w:hint="default" w:ascii="微软雅黑" w:hAnsi="微软雅黑" w:eastAsia="微软雅黑"/>
          <w:b/>
          <w:bCs/>
          <w:color w:val="F79646"/>
          <w:sz w:val="32"/>
          <w:szCs w:val="32"/>
        </w:rPr>
        <w:t>————————————————————————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培训时间：7月31日-8月2日（3天每晚20:00-22：00直播）</w:t>
      </w:r>
    </w:p>
    <w:p>
      <w:pPr>
        <w:pStyle w:val="2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培训对象：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shd w:val="clear" w:fill="FFFFFF"/>
        </w:rPr>
        <w:t>营销总经理/副总、市场总监、大区经理、营销经理/总监等中高层管理者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培训费用：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 xml:space="preserve">元/人（直播） 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99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元/人（录播）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4980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元/人（线下面授）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194945</wp:posOffset>
            </wp:positionV>
            <wp:extent cx="1229995" cy="1152525"/>
            <wp:effectExtent l="0" t="0" r="8255" b="9525"/>
            <wp:wrapThrough wrapText="bothSides">
              <wp:wrapPolygon>
                <wp:start x="0" y="0"/>
                <wp:lineTo x="0" y="21421"/>
                <wp:lineTo x="21410" y="21421"/>
                <wp:lineTo x="21410" y="0"/>
                <wp:lineTo x="0" y="0"/>
              </wp:wrapPolygon>
            </wp:wrapThrough>
            <wp:docPr id="8" name="图片 2" descr="2a9ac5570c6ccfa0655e35e5652a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2a9ac5570c6ccfa0655e35e5652a7e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z w:val="24"/>
          <w:szCs w:val="24"/>
        </w:rPr>
        <w:t>学习工具：微信扫码关注“企赢在线”立即体验线上精品课程~</w:t>
      </w:r>
    </w:p>
    <w:p>
      <w:pPr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1.学员微信群社群辅导作业学员提问解答。</w:t>
      </w:r>
    </w:p>
    <w:p>
      <w:pPr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2.企赢微课程随时可回看，利用碎片化的时间充电。</w:t>
      </w:r>
    </w:p>
    <w:p>
      <w:pPr>
        <w:pStyle w:val="11"/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3.企赢微课网课都采用账号密码进入制防止非购买课程人员参与听课。</w:t>
      </w:r>
    </w:p>
    <w:p>
      <w:pPr>
        <w:pStyle w:val="11"/>
        <w:numPr>
          <w:ilvl w:val="0"/>
          <w:numId w:val="0"/>
        </w:numPr>
        <w:ind w:firstLine="840" w:firstLineChars="35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4.凡事参加企赢微课堂学员购买课程回看期限1年。</w:t>
      </w:r>
    </w:p>
    <w:p>
      <w:pP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服务热线：18820199517 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（彭老师）</w:t>
      </w:r>
    </w:p>
    <w:p>
      <w:pPr>
        <w:rPr>
          <w:rFonts w:hint="eastAsia" w:ascii="宋体" w:hAnsi="宋体" w:eastAsia="宋体" w:cs="宋体"/>
          <w:color w:val="C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温馨提示：此课程我们可以提供企业内部培训与咨询服务，欢迎来电咨询。</w:t>
      </w:r>
    </w:p>
    <w:p>
      <w:pPr>
        <w:ind w:left="281" w:leftChars="134"/>
        <w:jc w:val="left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28"/>
        </w:rPr>
        <w:t>【课程大纲】</w:t>
      </w:r>
    </w:p>
    <w:p>
      <w:pPr>
        <w:ind w:left="426"/>
        <w:rPr>
          <w:rFonts w:hint="eastAsia" w:asciiTheme="minorEastAsia" w:hAnsiTheme="minorEastAsia" w:eastAsiaTheme="minorEastAsia" w:cstheme="minorEastAsia"/>
          <w:b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第一课：爆品打造模型工具——战略透视镜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第一节：理解战略本质——战略做对就能实现爆发式增长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战略的本质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阻碍企业增长的三大战略误区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案例：工业LED灯如何从亏损2300万到21个月营收1.38亿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第二节：洞察购买目的——洞察购买目的实现爆发式增长</w:t>
      </w:r>
    </w:p>
    <w:p>
      <w:pPr>
        <w:pStyle w:val="11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爆品方法——洞察用户购买目的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案例：熊猫不走蛋糕如何2年实现从0到年销2亿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其它案例：会展企业、化肥企业、少儿教育培训机构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第三节：洞察竞争本质——避免陷入市场泥潭</w:t>
      </w:r>
    </w:p>
    <w:p>
      <w:pPr>
        <w:pStyle w:val="11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两大竞争思考误区</w:t>
      </w:r>
    </w:p>
    <w:p>
      <w:pPr>
        <w:pStyle w:val="11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界定竞争对手的正确方法</w:t>
      </w:r>
    </w:p>
    <w:p>
      <w:pPr>
        <w:pStyle w:val="11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正确定义自己是谁的方法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案例：错误定义自己与对手的案例——老乡鸡vs肯德基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案例：错误定义自己与对手的案例——区域珠宝品牌vs周大福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ind w:left="426"/>
        <w:rPr>
          <w:rFonts w:hint="eastAsia" w:asciiTheme="minorEastAsia" w:hAnsiTheme="minorEastAsia" w:eastAsiaTheme="minorEastAsia" w:cstheme="minorEastAsia"/>
          <w:b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第二课：爆品打造模型工具——品牌通天塔</w:t>
      </w:r>
    </w:p>
    <w:p>
      <w:pPr>
        <w:pStyle w:val="11"/>
        <w:numPr>
          <w:ilvl w:val="0"/>
          <w:numId w:val="4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什么是购买的本质</w:t>
      </w:r>
    </w:p>
    <w:p>
      <w:pPr>
        <w:pStyle w:val="11"/>
        <w:numPr>
          <w:ilvl w:val="0"/>
          <w:numId w:val="4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关于购买的原理级洞察</w:t>
      </w:r>
    </w:p>
    <w:p>
      <w:pPr>
        <w:ind w:left="426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第一节：品牌通天塔第一层——价值极致</w:t>
      </w:r>
    </w:p>
    <w:p>
      <w:pPr>
        <w:pStyle w:val="11"/>
        <w:numPr>
          <w:ilvl w:val="0"/>
          <w:numId w:val="5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什么是价值极致化</w:t>
      </w:r>
    </w:p>
    <w:p>
      <w:pPr>
        <w:pStyle w:val="11"/>
        <w:widowControl/>
        <w:numPr>
          <w:ilvl w:val="0"/>
          <w:numId w:val="5"/>
        </w:numPr>
        <w:ind w:firstLineChars="0"/>
        <w:jc w:val="left"/>
        <w:rPr>
          <w:rFonts w:hint="eastAsia" w:asciiTheme="minorEastAsia" w:hAnsiTheme="minorEastAsia" w:eastAsiaTheme="minorEastAsia" w:cstheme="minorEastAsia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E3E3E"/>
          <w:spacing w:val="8"/>
          <w:kern w:val="0"/>
          <w:sz w:val="22"/>
          <w:szCs w:val="22"/>
        </w:rPr>
        <w:t>价值极致化打造爆品的工具方法</w:t>
      </w:r>
    </w:p>
    <w:p>
      <w:pPr>
        <w:ind w:left="426"/>
        <w:rPr>
          <w:rFonts w:hint="eastAsia" w:asciiTheme="minorEastAsia" w:hAnsiTheme="minorEastAsia" w:eastAsiaTheme="minorEastAsia" w:cstheme="minorEastAsia"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</w:t>
      </w:r>
      <w:r>
        <w:rPr>
          <w:rFonts w:hint="eastAsia" w:asciiTheme="minorEastAsia" w:hAnsiTheme="minorEastAsia" w:eastAsiaTheme="minorEastAsia" w:cstheme="minorEastAsia"/>
          <w:color w:val="3E3E3E"/>
          <w:kern w:val="0"/>
          <w:sz w:val="24"/>
          <w:szCs w:val="24"/>
        </w:rPr>
        <w:t>乐纯酸奶2年从0到年销2亿</w:t>
      </w:r>
      <w:r>
        <w:rPr>
          <w:rFonts w:hint="eastAsia" w:asciiTheme="minorEastAsia" w:hAnsiTheme="minorEastAsia" w:eastAsiaTheme="minorEastAsia" w:cstheme="minorEastAsia"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背后的秘密</w:t>
      </w:r>
    </w:p>
    <w:p>
      <w:pPr>
        <w:ind w:left="426"/>
        <w:rPr>
          <w:rFonts w:hint="eastAsia" w:asciiTheme="minorEastAsia" w:hAnsiTheme="minorEastAsia" w:eastAsiaTheme="minorEastAsia" w:cstheme="minorEastAsia"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案例：小米生态链产品，单品上市一年销售破10亿背后的秘密</w:t>
      </w:r>
    </w:p>
    <w:p>
      <w:pPr>
        <w:ind w:left="426"/>
        <w:rPr>
          <w:rFonts w:hint="eastAsia" w:asciiTheme="minorEastAsia" w:hAnsiTheme="minorEastAsia" w:eastAsiaTheme="minorEastAsia" w:cstheme="minorEastAsia"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第二节：品牌通天塔第二层——价值对立</w:t>
      </w:r>
    </w:p>
    <w:p>
      <w:pPr>
        <w:pStyle w:val="11"/>
        <w:widowControl/>
        <w:numPr>
          <w:ilvl w:val="0"/>
          <w:numId w:val="6"/>
        </w:numPr>
        <w:ind w:firstLineChars="0"/>
        <w:jc w:val="left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什么是价值对立</w:t>
      </w:r>
    </w:p>
    <w:p>
      <w:pPr>
        <w:pStyle w:val="11"/>
        <w:widowControl/>
        <w:numPr>
          <w:ilvl w:val="0"/>
          <w:numId w:val="6"/>
        </w:numPr>
        <w:ind w:firstLineChars="0"/>
        <w:jc w:val="left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价值对立</w:t>
      </w:r>
      <w:r>
        <w:rPr>
          <w:rFonts w:hint="eastAsia" w:asciiTheme="minorEastAsia" w:hAnsiTheme="minorEastAsia" w:eastAsiaTheme="minorEastAsia" w:cstheme="minorEastAsia"/>
          <w:color w:val="3E3E3E"/>
          <w:spacing w:val="8"/>
          <w:kern w:val="0"/>
          <w:sz w:val="22"/>
          <w:szCs w:val="22"/>
        </w:rPr>
        <w:t>打造爆品的工具方法</w:t>
      </w:r>
    </w:p>
    <w:p>
      <w:pPr>
        <w:pStyle w:val="11"/>
        <w:widowControl/>
        <w:ind w:left="425" w:firstLine="0" w:firstLineChars="0"/>
        <w:jc w:val="left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案例：飞鹤奶粉如何通过价值对立绝境重生，爆发式增长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案例：神舟专车如何通过价值对立在专车市场后来居上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案例：比普通植物油贵3倍的鲁花花生油，如何通过品牌对立快速攻占全国市场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第三节：品牌通天塔第三层——价值创新</w:t>
      </w:r>
    </w:p>
    <w:p>
      <w:pPr>
        <w:pStyle w:val="11"/>
        <w:numPr>
          <w:ilvl w:val="0"/>
          <w:numId w:val="7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什么是价值创新</w:t>
      </w:r>
    </w:p>
    <w:p>
      <w:pPr>
        <w:pStyle w:val="11"/>
        <w:numPr>
          <w:ilvl w:val="0"/>
          <w:numId w:val="7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:szCs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价值创新的两大方法：垂直整合进行价值创新+水平整合进行价值创新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案例：碧桂园如何通过价值创新逆势增长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案例：云南白药创可贴如何通过价值创新异军突起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案例：海藻食盐如何通过价值创新塑造极致品牌差异化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第四节：品牌通天塔第三层——市场漂移</w:t>
      </w:r>
    </w:p>
    <w:p>
      <w:pPr>
        <w:pStyle w:val="11"/>
        <w:numPr>
          <w:ilvl w:val="0"/>
          <w:numId w:val="8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什么是市场漂移（品类定义）</w:t>
      </w:r>
    </w:p>
    <w:p>
      <w:pPr>
        <w:pStyle w:val="11"/>
        <w:numPr>
          <w:ilvl w:val="0"/>
          <w:numId w:val="8"/>
        </w:numPr>
        <w:ind w:firstLineChars="0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六大市场漂移方法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 拉杜蓝乔核桃油</w:t>
      </w:r>
    </w:p>
    <w:p>
      <w:pPr>
        <w:autoSpaceDE w:val="0"/>
        <w:autoSpaceDN w:val="0"/>
        <w:adjustRightInd w:val="0"/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全景解读，拉杜蓝乔如何通过重新定义品类三年从500万增长到 4.7 亿 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深度剖析，价格高出普通食用油 80倍的进口核桃油如何创造品牌奇迹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案例：美国西南航空如何通过重新定义品类42年持续盈利</w:t>
      </w:r>
    </w:p>
    <w:p>
      <w:pPr>
        <w:ind w:left="281" w:leftChars="134" w:firstLine="151" w:firstLineChars="69"/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262626" w:themeColor="text1" w:themeTint="D9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案例：Swatch如何通过品类定义获得爆发式增长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179705</wp:posOffset>
            </wp:positionV>
            <wp:extent cx="1438910" cy="2158365"/>
            <wp:effectExtent l="0" t="0" r="8890" b="13335"/>
            <wp:wrapSquare wrapText="bothSides"/>
            <wp:docPr id="2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FF0000"/>
          <w:sz w:val="32"/>
          <w:szCs w:val="32"/>
        </w:rPr>
        <w:t>讲师简介：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刘老师：</w:t>
      </w:r>
    </w:p>
    <w:p>
      <w:pPr>
        <w:pBdr>
          <w:bottom w:val="double" w:color="auto" w:sz="6" w:space="1"/>
        </w:pBdr>
        <w:tabs>
          <w:tab w:val="left" w:pos="8465"/>
          <w:tab w:val="right" w:pos="8730"/>
        </w:tabs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  <w:t>【主要背景】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小米生态链 品牌营销科学家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故宫文创 首席品牌营销专家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盒马鲜生   新零售经营顾问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阿里巴巴商学院  品牌营销导师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欧洲商学院  EMBA品牌营销导师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中韩两国国家级食品产业峰会唯一特邀品牌营销演讲嘉宾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凭借更高层级品牌营销思维，多次击败特劳特定位（《定位》作者中国公司）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洋河蓝色经典、海尔智能、鲁花花生油、公牛插座等数十家企业品牌营销顾问</w:t>
      </w:r>
    </w:p>
    <w:p>
      <w:pPr>
        <w:pBdr>
          <w:bottom w:val="double" w:color="auto" w:sz="6" w:space="1"/>
        </w:pBdr>
        <w:tabs>
          <w:tab w:val="left" w:pos="8465"/>
          <w:tab w:val="right" w:pos="8730"/>
        </w:tabs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8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  <w:t>【专业实践】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刘老师具有17年品牌营销培训与咨询实战工作经验，现为小米生态链企业品牌营销科学家; “故宫文创品牌奉旨造物“首席品牌营销专家。刘老师先后服务300余家国内知名企业与中小企业，屡获创市场奇迹。如通过品牌营销策划，推动拉杜蓝乔核桃油三年成为爆品（由500万/年，增长到4.7亿/年）；通过品牌营销策划，0市场投入（0广告费、0促销费）推动公牛插座一年销售额增长1.6倍</w:t>
      </w:r>
    </w:p>
    <w:p>
      <w:pPr>
        <w:pBdr>
          <w:bottom w:val="double" w:color="auto" w:sz="6" w:space="1"/>
        </w:pBdr>
        <w:tabs>
          <w:tab w:val="left" w:pos="8465"/>
          <w:tab w:val="right" w:pos="8730"/>
        </w:tabs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8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  <w:t>【主讲课程】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《小米爆品方法——小米生态链打造爆品的方法体系》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《爆品战略——互联网时代打造爆品的科学方法》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《爆款文案——如何写出“一句话扎心”的品牌文案》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《爆发增长——如何10倍科学提升推广转化率》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FF0000"/>
          <w:kern w:val="0"/>
          <w:sz w:val="22"/>
          <w:szCs w:val="21"/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《爆红传播——如何以微投入实现品牌爆红》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3"/>
          <w:rFonts w:hint="eastAsia" w:asciiTheme="minorEastAsia" w:hAnsiTheme="minorEastAsia" w:eastAsiaTheme="minorEastAsia" w:cstheme="minorEastAsia"/>
          <w:sz w:val="22"/>
          <w:szCs w:val="22"/>
        </w:rPr>
        <w:t>《裂变式增长——四大方法打造市场超级加速器》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《私域流量——如何为你的品牌打造私域流量池》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《品牌裂变——互联网时代品牌裂变式增长密码》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《品牌战略3.0——互联网时代的降维打击之道》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《定位战略</w:t>
      </w:r>
      <w:r>
        <w:rPr>
          <w:rFonts w:hint="eastAsia" w:asciiTheme="minorEastAsia" w:hAnsiTheme="minorEastAsia" w:eastAsiaTheme="minorEastAsia" w:cstheme="minorEastAsia"/>
          <w:b/>
          <w:bCs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2.0</w:t>
      </w: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——互联网时代企业经营制胜之道》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《品牌建设</w:t>
      </w:r>
      <w:r>
        <w:rPr>
          <w:rFonts w:hint="eastAsia" w:asciiTheme="minorEastAsia" w:hAnsiTheme="minorEastAsia" w:eastAsiaTheme="minorEastAsia" w:cstheme="minorEastAsia"/>
          <w:b/>
          <w:bCs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3.0—</w:t>
      </w: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—互联网时代的品牌建设与管理》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360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0"/>
          <w:szCs w:val="20"/>
          <w:shd w:val="clear" w:color="auto" w:fill="FFFFFF"/>
        </w:rPr>
        <w:t>°</w:t>
      </w: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解密新零售——向小米+盒马鲜生学习新零售》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《90天锻造卓越员工——小米员工指数级成长方法》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2"/>
          <w:szCs w:val="21"/>
        </w:rPr>
        <w:t>（小米内部课）</w:t>
      </w:r>
    </w:p>
    <w:p>
      <w:pPr>
        <w:pBdr>
          <w:bottom w:val="double" w:color="auto" w:sz="6" w:space="1"/>
        </w:pBdr>
        <w:tabs>
          <w:tab w:val="left" w:pos="8465"/>
          <w:tab w:val="right" w:pos="8730"/>
        </w:tabs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  <w:t>【品牌营销实战案例】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小米体重秤：品牌营销策划，推动小米体重秤单年突破100万台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小米空气净化器：品牌营销策划，推动小米空气净化器单年突破200万台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公牛插座：品牌营销策划，推动公牛插座5年由2.6亿飞跃到58亿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拉杜蓝乔核桃油：品牌营销策划，推动拉杜蓝乔由500万到第3年年销售4.7亿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偃月LED照明灯（工业品）: 品牌营销策划21 个月，由亏损 2300 万到实现营收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2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1.38</w:t>
      </w: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亿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金麒麟珠宝:品牌营销全案策划，3年由区域第六跃升区域第一</w:t>
      </w:r>
    </w:p>
    <w:p>
      <w:pPr>
        <w:pBdr>
          <w:bottom w:val="double" w:color="auto" w:sz="6" w:space="1"/>
        </w:pBdr>
        <w:tabs>
          <w:tab w:val="left" w:pos="8465"/>
          <w:tab w:val="right" w:pos="8730"/>
        </w:tabs>
        <w:spacing w:line="360" w:lineRule="auto"/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  <w:t>【授课风格】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醍醐灌顶</w:t>
      </w: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：平均每5分钟让学员感受到一次醍醐灌顶般的学习体验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极致杀伤：只讲亲身实践检验，非常有效的品牌营销方法与落地工具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1"/>
          <w:shd w:val="clear" w:color="auto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同频共振：授课富有激情、形象生动，注重互动，让学员与课程同频共振</w:t>
      </w:r>
    </w:p>
    <w:p>
      <w:pPr>
        <w:pBdr>
          <w:bottom w:val="double" w:color="auto" w:sz="6" w:space="1"/>
        </w:pBdr>
        <w:tabs>
          <w:tab w:val="left" w:pos="8465"/>
          <w:tab w:val="right" w:pos="8730"/>
        </w:tabs>
        <w:spacing w:line="360" w:lineRule="auto"/>
        <w:rPr>
          <w:rFonts w:hint="eastAsia" w:asciiTheme="minorEastAsia" w:hAnsiTheme="minorEastAsia" w:eastAsiaTheme="minorEastAsia" w:cstheme="minorEastAsia"/>
          <w:color w:val="FF0000"/>
          <w:sz w:val="28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8"/>
          <w:szCs w:val="30"/>
        </w:rPr>
        <w:t>【服务客户】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互联网与电商品牌：滴滴、京东、小米、盒马鲜生、故宫文创、懒财网、阿芙精油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电子消费品：海尔智能、公牛插座、偃月电器、雅格电器、德兴节能、联建光电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快速消费品品牌：洋河集团、鲁花集团、三元乳业、美域高果业、食圣酱油、翔宇橄榄油、恒都牛肉、浩海食品、正大食品、山西汾酒、康达尔农业、西王集团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医药品牌：广誉远国药、达仁堂药业、东阿阿胶、祖师麻黑膏药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房地产品牌+供应链企业：万科、怡亚通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政府国企：宁波人社局、上海东方国际进出口公司、河南息县政府、包钢集团、延长石油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化妆品品牌：美肤宝、法兰琳卡</w:t>
      </w:r>
    </w:p>
    <w:p>
      <w:p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262626" w:themeColor="text1" w:themeTint="D9"/>
          <w:kern w:val="0"/>
          <w:sz w:val="22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耐用品品牌：世家家居、邦派五金、登升手套、帕莎太阳镜、伟经智能衣架</w:t>
      </w:r>
    </w:p>
    <w:p>
      <w:pPr>
        <w:spacing w:line="288" w:lineRule="auto"/>
        <w:rPr>
          <w:rFonts w:hint="eastAsia" w:ascii="宋体" w:hAnsi="宋体" w:cs="宋体"/>
          <w:szCs w:val="21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szCs w:val="21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szCs w:val="21"/>
          <w:shd w:val="clear" w:color="auto" w:fill="FFFFFF"/>
        </w:rPr>
      </w:pPr>
    </w:p>
    <w:p>
      <w:pPr>
        <w:spacing w:line="288" w:lineRule="auto"/>
        <w:ind w:firstLine="3602" w:firstLineChars="1000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报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名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表</w:t>
      </w:r>
    </w:p>
    <w:tbl>
      <w:tblPr>
        <w:tblStyle w:val="7"/>
        <w:tblpPr w:leftFromText="180" w:rightFromText="180" w:vertAnchor="text" w:horzAnchor="page" w:tblpX="1041" w:tblpY="108"/>
        <w:tblOverlap w:val="never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87"/>
        <w:gridCol w:w="1044"/>
        <w:gridCol w:w="424"/>
        <w:gridCol w:w="927"/>
        <w:gridCol w:w="255"/>
        <w:gridCol w:w="1141"/>
        <w:gridCol w:w="757"/>
        <w:gridCol w:w="175"/>
        <w:gridCol w:w="796"/>
        <w:gridCol w:w="699"/>
        <w:gridCol w:w="374"/>
        <w:gridCol w:w="242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单位名称</w:t>
            </w:r>
          </w:p>
        </w:tc>
        <w:tc>
          <w:tcPr>
            <w:tcW w:w="901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/>
                <w:sz w:val="21"/>
                <w:szCs w:val="21"/>
              </w:rPr>
              <w:t>发票抬头</w:t>
            </w:r>
          </w:p>
        </w:tc>
        <w:tc>
          <w:tcPr>
            <w:tcW w:w="3791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1"/>
                <w:szCs w:val="21"/>
              </w:rPr>
              <w:t>税务号</w:t>
            </w:r>
          </w:p>
        </w:tc>
        <w:tc>
          <w:tcPr>
            <w:tcW w:w="4293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公司地址</w:t>
            </w:r>
          </w:p>
        </w:tc>
        <w:tc>
          <w:tcPr>
            <w:tcW w:w="9016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联系人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3124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7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257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参会</w:t>
            </w:r>
            <w:r>
              <w:rPr>
                <w:rFonts w:hint="default" w:ascii="宋体" w:hAnsi="宋体" w:eastAsia="宋体"/>
                <w:sz w:val="21"/>
                <w:szCs w:val="21"/>
              </w:rPr>
              <w:t>费用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宋体" w:hAnsi="宋体" w:eastAsia="宋体"/>
                <w:sz w:val="21"/>
                <w:szCs w:val="21"/>
                <w:u w:val="none"/>
              </w:rPr>
              <w:t>元</w:t>
            </w:r>
          </w:p>
        </w:tc>
        <w:tc>
          <w:tcPr>
            <w:tcW w:w="4051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Style w:val="9"/>
                <w:rFonts w:hint="eastAsia"/>
                <w:b w:val="0"/>
                <w:bCs w:val="0"/>
                <w:sz w:val="20"/>
              </w:rPr>
              <w:t>发票内容</w:t>
            </w:r>
            <w:r>
              <w:rPr>
                <w:rStyle w:val="9"/>
                <w:rFonts w:hint="default"/>
                <w:b w:val="0"/>
                <w:bCs w:val="0"/>
                <w:sz w:val="20"/>
              </w:rPr>
              <w:t>：1.</w:t>
            </w:r>
            <w:r>
              <w:rPr>
                <w:rFonts w:hint="eastAsia"/>
                <w:bCs/>
                <w:sz w:val="20"/>
                <w:lang w:eastAsia="zh-CN"/>
              </w:rPr>
              <w:t>培训费</w:t>
            </w:r>
            <w:r>
              <w:rPr>
                <w:rFonts w:hint="default"/>
                <w:bCs/>
                <w:sz w:val="20"/>
                <w:lang w:eastAsia="zh-CN"/>
              </w:rPr>
              <w:t xml:space="preserve"> 2.</w:t>
            </w:r>
            <w:r>
              <w:rPr>
                <w:rFonts w:hint="default"/>
                <w:bCs/>
                <w:sz w:val="20"/>
              </w:rPr>
              <w:t>信息服务费 3.咨询费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both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付款方式：□课前转帐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酒店预订委托</w:t>
            </w:r>
          </w:p>
        </w:tc>
        <w:tc>
          <w:tcPr>
            <w:tcW w:w="7972" w:type="dxa"/>
            <w:gridSpan w:val="10"/>
            <w:noWrap w:val="0"/>
            <w:vAlign w:val="center"/>
          </w:tcPr>
          <w:p>
            <w:pPr>
              <w:spacing w:before="100" w:beforeAutospacing="1" w:after="100" w:afterAutospacing="1"/>
              <w:ind w:firstLine="315" w:firstLineChars="1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□是   标双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间    标单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ind w:firstLine="48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</w:rPr>
              <w:t>汇款账号</w:t>
            </w:r>
          </w:p>
        </w:tc>
        <w:tc>
          <w:tcPr>
            <w:tcW w:w="7972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户    名：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企赢（深圳）企业管理咨询有限责任公司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开 户 行：</w:t>
            </w:r>
            <w:r>
              <w:rPr>
                <w:b w:val="0"/>
                <w:bCs w:val="0"/>
                <w:color w:val="000000"/>
                <w:sz w:val="21"/>
                <w:szCs w:val="21"/>
              </w:rPr>
              <w:t>中国工商银行股份有限公司深圳布吉支行</w:t>
            </w:r>
          </w:p>
          <w:p>
            <w:pPr>
              <w:rPr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公司账号：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color w:val="000000"/>
                <w:sz w:val="21"/>
                <w:szCs w:val="21"/>
                <w:lang w:eastAsia="zh-CN"/>
              </w:rPr>
              <w:t>4000022309202049860</w:t>
            </w:r>
          </w:p>
          <w:p>
            <w:pPr>
              <w:spacing w:after="0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717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学员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名单</w:t>
            </w:r>
          </w:p>
        </w:tc>
        <w:tc>
          <w:tcPr>
            <w:tcW w:w="1431" w:type="dxa"/>
            <w:gridSpan w:val="2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606" w:type="dxa"/>
            <w:gridSpan w:val="3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98" w:type="dxa"/>
            <w:gridSpan w:val="2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044" w:type="dxa"/>
            <w:gridSpan w:val="4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z w:val="21"/>
                <w:szCs w:val="21"/>
              </w:rPr>
              <w:t>课程名称</w:t>
            </w:r>
          </w:p>
        </w:tc>
        <w:tc>
          <w:tcPr>
            <w:tcW w:w="2424" w:type="dxa"/>
            <w:shd w:val="clear" w:color="auto" w:fill="E6E6E6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  <w:r>
              <w:rPr>
                <w:rStyle w:val="9"/>
                <w:rFonts w:ascii="宋体" w:hAnsi="宋体" w:eastAsia="宋体"/>
                <w:sz w:val="21"/>
                <w:szCs w:val="21"/>
              </w:rPr>
              <w:t>培训时间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12"/>
              <w:spacing w:before="100" w:beforeAutospacing="1" w:after="100" w:afterAutospacing="1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pStyle w:val="12"/>
              <w:spacing w:before="100" w:beforeAutospacing="1" w:after="100" w:afterAutospacing="1"/>
              <w:jc w:val="center"/>
              <w:rPr>
                <w:rStyle w:val="9"/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24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Style w:val="9"/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Cs w:val="2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Cs w:val="22"/>
        </w:rPr>
        <w:t>备注：为确保您的名额和及时参加，请提前将《报名表》填好后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回复</w:t>
      </w:r>
      <w:r>
        <w:rPr>
          <w:rFonts w:hint="default" w:ascii="宋体" w:hAnsi="宋体" w:eastAsia="宋体" w:cs="宋体"/>
          <w:b/>
          <w:bCs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Cs w:val="22"/>
        </w:rPr>
        <w:t>我们将有专人与您联系确认，并于开课前发出《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开课邀请函</w:t>
      </w:r>
      <w:r>
        <w:rPr>
          <w:rFonts w:hint="eastAsia" w:ascii="宋体" w:hAnsi="宋体" w:eastAsia="宋体" w:cs="宋体"/>
          <w:b/>
          <w:bCs/>
          <w:szCs w:val="22"/>
        </w:rPr>
        <w:t>》。培训时间、地点、住宿等详细信息请以《</w:t>
      </w:r>
      <w:r>
        <w:rPr>
          <w:rFonts w:hint="eastAsia" w:ascii="宋体" w:hAnsi="宋体" w:eastAsia="宋体" w:cs="宋体"/>
          <w:b/>
          <w:bCs/>
          <w:szCs w:val="22"/>
          <w:lang w:eastAsia="zh-CN"/>
        </w:rPr>
        <w:t>开课邀请函</w:t>
      </w:r>
      <w:r>
        <w:rPr>
          <w:rFonts w:hint="eastAsia" w:ascii="宋体" w:hAnsi="宋体" w:eastAsia="宋体" w:cs="宋体"/>
          <w:b/>
          <w:bCs/>
          <w:szCs w:val="22"/>
        </w:rPr>
        <w:t>》书面通知为准，敬请留意。谢谢！详询热线：</w:t>
      </w:r>
      <w:r>
        <w:rPr>
          <w:rFonts w:hint="default"/>
          <w:b/>
          <w:bCs/>
          <w:color w:val="000000"/>
          <w:sz w:val="21"/>
          <w:szCs w:val="21"/>
        </w:rPr>
        <w:t xml:space="preserve">18820199517 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Cs w:val="22"/>
        </w:rPr>
        <w:t>(</w:t>
      </w:r>
      <w:r>
        <w:rPr>
          <w:rFonts w:hint="eastAsia" w:ascii="宋体" w:hAnsi="宋体" w:eastAsia="宋体" w:cs="宋体"/>
          <w:b/>
          <w:bCs/>
          <w:color w:val="000000"/>
          <w:szCs w:val="22"/>
          <w:lang w:eastAsia="zh-CN"/>
        </w:rPr>
        <w:t>彭</w:t>
      </w:r>
      <w:r>
        <w:rPr>
          <w:rFonts w:hint="eastAsia" w:ascii="宋体" w:hAnsi="宋体" w:eastAsia="宋体" w:cs="宋体"/>
          <w:b/>
          <w:bCs/>
          <w:color w:val="000000"/>
          <w:szCs w:val="22"/>
        </w:rPr>
        <w:t>老师)</w:t>
      </w:r>
    </w:p>
    <w:p>
      <w:pPr>
        <w:rPr>
          <w:rFonts w:ascii="微软雅黑" w:hAnsi="微软雅黑" w:eastAsia="微软雅黑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Microsoft YaHei Light">
    <w:altName w:val="宋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AppleSystemUIFont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.PingFang SC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AppleSystemUIFontBold">
    <w:altName w:val="Calibri"/>
    <w:panose1 w:val="020B0604020202020204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-766"/>
      <w:jc w:val="both"/>
      <w:rPr>
        <w:rFonts w:hint="eastAsia"/>
        <w:color w:val="E36C09"/>
        <w:sz w:val="21"/>
        <w:szCs w:val="21"/>
        <w:lang w:val="en-US"/>
      </w:rPr>
    </w:pPr>
    <w:r>
      <w:rPr>
        <w:rFonts w:hint="eastAsia"/>
        <w:color w:val="E36C09"/>
        <w:sz w:val="21"/>
        <w:szCs w:val="21"/>
      </w:rPr>
      <w:t>地址：</w:t>
    </w:r>
    <w:r>
      <w:rPr>
        <w:rFonts w:hint="default"/>
        <w:color w:val="E36C09"/>
        <w:sz w:val="21"/>
        <w:szCs w:val="21"/>
      </w:rPr>
      <w:t>深圳市龙岗区布吉街道吉信大厦17</w:t>
    </w:r>
    <w:r>
      <w:rPr>
        <w:rFonts w:hint="eastAsia"/>
        <w:color w:val="E36C09"/>
        <w:sz w:val="21"/>
        <w:szCs w:val="21"/>
        <w:lang w:val="en-US" w:eastAsia="zh-CN"/>
      </w:rPr>
      <w:t>K</w:t>
    </w:r>
    <w:r>
      <w:rPr>
        <w:rFonts w:hint="eastAsia"/>
        <w:color w:val="E36C09"/>
        <w:sz w:val="28"/>
        <w:szCs w:val="28"/>
      </w:rPr>
      <w:t xml:space="preserve"> </w:t>
    </w:r>
    <w:r>
      <w:rPr>
        <w:rFonts w:hint="default"/>
        <w:color w:val="E36C09"/>
        <w:szCs w:val="21"/>
      </w:rPr>
      <w:t xml:space="preserve">  </w:t>
    </w:r>
    <w:r>
      <w:rPr>
        <w:rFonts w:hint="eastAsia"/>
        <w:color w:val="E36C09"/>
        <w:sz w:val="21"/>
        <w:szCs w:val="21"/>
      </w:rPr>
      <w:t>电话</w:t>
    </w:r>
    <w:r>
      <w:rPr>
        <w:rFonts w:hint="default"/>
        <w:color w:val="E36C09"/>
        <w:sz w:val="21"/>
        <w:szCs w:val="21"/>
      </w:rPr>
      <w:t xml:space="preserve">：18820199517       </w:t>
    </w:r>
    <w:r>
      <w:rPr>
        <w:rFonts w:hint="eastAsia" w:eastAsia="新宋体"/>
        <w:color w:val="E36C09"/>
        <w:sz w:val="21"/>
        <w:szCs w:val="21"/>
        <w:lang w:val="en-US" w:eastAsia="zh-CN"/>
      </w:rPr>
      <w:t>QQ</w:t>
    </w:r>
    <w:r>
      <w:rPr>
        <w:rFonts w:hint="default" w:eastAsia="新宋体"/>
        <w:color w:val="E36C09"/>
        <w:sz w:val="21"/>
        <w:szCs w:val="21"/>
        <w:lang w:eastAsia="zh-CN"/>
      </w:rPr>
      <w:t>:2857848000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黑体" w:eastAsia="黑体"/>
        <w:b/>
        <w:color w:val="9C2173"/>
        <w:sz w:val="20"/>
        <w:szCs w:val="20"/>
      </w:rPr>
    </w:pPr>
    <w:r>
      <w:rPr>
        <w:rFonts w:hint="eastAsia" w:ascii="黑体" w:eastAsia="黑体"/>
        <w:b/>
        <w:color w:val="9C2173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-32385</wp:posOffset>
          </wp:positionV>
          <wp:extent cx="1892300" cy="421005"/>
          <wp:effectExtent l="0" t="0" r="12700" b="17145"/>
          <wp:wrapNone/>
          <wp:docPr id="53" name="图片 1" descr="横着的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图片 1" descr="横着的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eastAsia="黑体"/>
        <w:b/>
        <w:color w:val="9C2173"/>
        <w:sz w:val="20"/>
        <w:szCs w:val="20"/>
      </w:rPr>
      <w:t xml:space="preserve"> </w:t>
    </w:r>
  </w:p>
  <w:p>
    <w:pPr>
      <w:pStyle w:val="5"/>
      <w:ind w:firstLine="5500" w:firstLineChars="2500"/>
    </w:pPr>
    <w:r>
      <w:rPr>
        <w:rFonts w:hint="default" w:ascii="宋体" w:hAnsi="宋体"/>
        <w:color w:val="auto"/>
        <w:sz w:val="22"/>
        <w:szCs w:val="22"/>
      </w:rPr>
      <w:t>帮助企业成长——助力共赢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BAC"/>
    <w:multiLevelType w:val="multilevel"/>
    <w:tmpl w:val="095F2BAC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2F810DD"/>
    <w:multiLevelType w:val="multilevel"/>
    <w:tmpl w:val="32F810DD"/>
    <w:lvl w:ilvl="0" w:tentative="0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3" w:hanging="420"/>
      </w:pPr>
    </w:lvl>
    <w:lvl w:ilvl="2" w:tentative="0">
      <w:start w:val="1"/>
      <w:numFmt w:val="lowerRoman"/>
      <w:lvlText w:val="%3."/>
      <w:lvlJc w:val="right"/>
      <w:pPr>
        <w:ind w:left="1693" w:hanging="420"/>
      </w:pPr>
    </w:lvl>
    <w:lvl w:ilvl="3" w:tentative="0">
      <w:start w:val="1"/>
      <w:numFmt w:val="decimal"/>
      <w:lvlText w:val="%4."/>
      <w:lvlJc w:val="left"/>
      <w:pPr>
        <w:ind w:left="2113" w:hanging="420"/>
      </w:pPr>
    </w:lvl>
    <w:lvl w:ilvl="4" w:tentative="0">
      <w:start w:val="1"/>
      <w:numFmt w:val="lowerLetter"/>
      <w:lvlText w:val="%5)"/>
      <w:lvlJc w:val="left"/>
      <w:pPr>
        <w:ind w:left="2533" w:hanging="420"/>
      </w:pPr>
    </w:lvl>
    <w:lvl w:ilvl="5" w:tentative="0">
      <w:start w:val="1"/>
      <w:numFmt w:val="lowerRoman"/>
      <w:lvlText w:val="%6."/>
      <w:lvlJc w:val="right"/>
      <w:pPr>
        <w:ind w:left="2953" w:hanging="420"/>
      </w:pPr>
    </w:lvl>
    <w:lvl w:ilvl="6" w:tentative="0">
      <w:start w:val="1"/>
      <w:numFmt w:val="decimal"/>
      <w:lvlText w:val="%7."/>
      <w:lvlJc w:val="left"/>
      <w:pPr>
        <w:ind w:left="3373" w:hanging="420"/>
      </w:pPr>
    </w:lvl>
    <w:lvl w:ilvl="7" w:tentative="0">
      <w:start w:val="1"/>
      <w:numFmt w:val="lowerLetter"/>
      <w:lvlText w:val="%8)"/>
      <w:lvlJc w:val="left"/>
      <w:pPr>
        <w:ind w:left="3793" w:hanging="420"/>
      </w:pPr>
    </w:lvl>
    <w:lvl w:ilvl="8" w:tentative="0">
      <w:start w:val="1"/>
      <w:numFmt w:val="lowerRoman"/>
      <w:lvlText w:val="%9."/>
      <w:lvlJc w:val="right"/>
      <w:pPr>
        <w:ind w:left="4213" w:hanging="420"/>
      </w:pPr>
    </w:lvl>
  </w:abstractNum>
  <w:abstractNum w:abstractNumId="2">
    <w:nsid w:val="4B5C5919"/>
    <w:multiLevelType w:val="multilevel"/>
    <w:tmpl w:val="4B5C5919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57C43FAD"/>
    <w:multiLevelType w:val="multilevel"/>
    <w:tmpl w:val="57C43FA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457E55"/>
    <w:multiLevelType w:val="multilevel"/>
    <w:tmpl w:val="5C457E55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6B5C7A19"/>
    <w:multiLevelType w:val="multilevel"/>
    <w:tmpl w:val="6B5C7A19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70552A0A"/>
    <w:multiLevelType w:val="multilevel"/>
    <w:tmpl w:val="70552A0A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7">
    <w:nsid w:val="7F4430DF"/>
    <w:multiLevelType w:val="multilevel"/>
    <w:tmpl w:val="7F4430D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3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beforeLines="0" w:beforeAutospacing="0" w:after="25" w:afterLines="25" w:afterAutospacing="0" w:line="240" w:lineRule="auto"/>
      <w:jc w:val="center"/>
      <w:outlineLvl w:val="0"/>
    </w:pPr>
    <w:rPr>
      <w:rFonts w:ascii="Times New Roman" w:hAnsi="Times New Roman" w:eastAsia="微软雅黑"/>
      <w:b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rPr>
      <w:sz w:val="24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1">
    <w:name w:val="List Paragraph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kern w:val="2"/>
      <w:szCs w:val="24"/>
    </w:rPr>
  </w:style>
  <w:style w:type="paragraph" w:customStyle="1" w:styleId="12">
    <w:name w:val="默认段落字体 Para Char Char Char Char"/>
    <w:basedOn w:val="1"/>
    <w:qFormat/>
    <w:uiPriority w:val="0"/>
    <w:pPr>
      <w:widowControl w:val="0"/>
      <w:adjustRightInd/>
      <w:snapToGrid/>
      <w:spacing w:after="0" w:afterLines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9p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2020-06-23T09:32:32Z</dcterms:created>
  <dc:creator>Administrator</dc:creator>
  <cp:lastModifiedBy>Administrator</cp:lastModifiedBy>
  <dcterms:modified xsi:type="dcterms:W3CDTF">2020-06-23T09:40:14Z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