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</w:p>
    <w:p>
      <w:pPr>
        <w:jc w:val="center"/>
        <w:rPr>
          <w:rFonts w:eastAsia="微软雅黑" w:cs="宋体"/>
          <w:b/>
          <w:bCs/>
          <w:color w:val="0070C0"/>
          <w:kern w:val="0"/>
          <w:sz w:val="32"/>
          <w:szCs w:val="32"/>
        </w:rPr>
      </w:pPr>
      <w:r>
        <w:rPr>
          <w:rFonts w:hint="eastAsia" w:eastAsia="微软雅黑" w:cs="宋体"/>
          <w:b/>
          <w:bCs/>
          <w:color w:val="0070C0"/>
          <w:kern w:val="0"/>
          <w:sz w:val="32"/>
          <w:szCs w:val="32"/>
        </w:rPr>
        <w:t>【向华为学习】HRBP赋能实践：HR如何支撑业务成功</w:t>
      </w:r>
    </w:p>
    <w:p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  <w:r>
        <w:rPr>
          <w:rFonts w:hint="eastAsia" w:eastAsia="微软雅黑" w:cs="宋体"/>
          <w:b/>
          <w:bCs/>
          <w:color w:val="0070C0"/>
          <w:kern w:val="0"/>
          <w:sz w:val="18"/>
          <w:szCs w:val="18"/>
        </w:rPr>
        <w:t>【Learn From Huawei】HRBP Empowerment Practice: How HR Supports Business Success</w:t>
      </w:r>
    </w:p>
    <w:p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</w:p>
    <w:p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/>
          <w:bCs/>
          <w:kern w:val="0"/>
          <w:sz w:val="18"/>
          <w:szCs w:val="18"/>
        </w:rPr>
        <w:t>类型</w:t>
      </w:r>
      <w:r>
        <w:rPr>
          <w:rFonts w:eastAsia="微软雅黑" w:cs="宋体"/>
          <w:b/>
          <w:bCs/>
          <w:kern w:val="0"/>
          <w:sz w:val="18"/>
          <w:szCs w:val="18"/>
        </w:rPr>
        <w:t>/Type</w:t>
      </w:r>
      <w:r>
        <w:rPr>
          <w:rFonts w:hint="eastAsia" w:eastAsia="微软雅黑" w:cs="宋体"/>
          <w:b/>
          <w:bCs/>
          <w:kern w:val="0"/>
          <w:sz w:val="18"/>
          <w:szCs w:val="18"/>
        </w:rPr>
        <w:t>：</w:t>
      </w:r>
      <w:r>
        <w:rPr>
          <w:rFonts w:hint="eastAsia" w:eastAsia="微软雅黑" w:cs="宋体"/>
          <w:bCs/>
          <w:kern w:val="0"/>
          <w:sz w:val="18"/>
          <w:szCs w:val="18"/>
        </w:rPr>
        <w:t>公开课</w:t>
      </w:r>
      <w:r>
        <w:rPr>
          <w:rFonts w:eastAsia="微软雅黑" w:cs="宋体"/>
          <w:bCs/>
          <w:kern w:val="0"/>
          <w:sz w:val="18"/>
          <w:szCs w:val="18"/>
        </w:rPr>
        <w:t xml:space="preserve"> Public Training</w:t>
      </w:r>
    </w:p>
    <w:p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/>
          <w:bCs/>
          <w:kern w:val="0"/>
          <w:sz w:val="18"/>
          <w:szCs w:val="18"/>
        </w:rPr>
        <w:t>语言</w:t>
      </w:r>
      <w:r>
        <w:rPr>
          <w:rFonts w:eastAsia="微软雅黑" w:cs="宋体"/>
          <w:b/>
          <w:bCs/>
          <w:kern w:val="0"/>
          <w:sz w:val="18"/>
          <w:szCs w:val="18"/>
        </w:rPr>
        <w:t>/Language</w:t>
      </w:r>
      <w:r>
        <w:rPr>
          <w:rFonts w:hint="eastAsia" w:eastAsia="微软雅黑" w:cs="宋体"/>
          <w:b/>
          <w:bCs/>
          <w:kern w:val="0"/>
          <w:sz w:val="18"/>
          <w:szCs w:val="18"/>
        </w:rPr>
        <w:t>：</w:t>
      </w:r>
      <w:r>
        <w:rPr>
          <w:rFonts w:hint="eastAsia" w:eastAsia="微软雅黑" w:cs="宋体"/>
          <w:bCs/>
          <w:kern w:val="0"/>
          <w:sz w:val="18"/>
          <w:szCs w:val="18"/>
        </w:rPr>
        <w:t>中文</w:t>
      </w:r>
      <w:r>
        <w:rPr>
          <w:rFonts w:eastAsia="微软雅黑" w:cs="宋体"/>
          <w:bCs/>
          <w:kern w:val="0"/>
          <w:sz w:val="18"/>
          <w:szCs w:val="18"/>
        </w:rPr>
        <w:t>Chinese</w:t>
      </w:r>
    </w:p>
    <w:p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/>
          <w:bCs/>
          <w:kern w:val="0"/>
          <w:sz w:val="18"/>
          <w:szCs w:val="18"/>
        </w:rPr>
        <w:t>费用</w:t>
      </w:r>
      <w:r>
        <w:rPr>
          <w:rFonts w:eastAsia="微软雅黑" w:cs="宋体"/>
          <w:b/>
          <w:bCs/>
          <w:kern w:val="0"/>
          <w:sz w:val="18"/>
          <w:szCs w:val="18"/>
        </w:rPr>
        <w:t>/Fee</w:t>
      </w:r>
      <w:r>
        <w:rPr>
          <w:rFonts w:hint="eastAsia" w:eastAsia="微软雅黑" w:cs="宋体"/>
          <w:b/>
          <w:bCs/>
          <w:kern w:val="0"/>
          <w:sz w:val="18"/>
          <w:szCs w:val="18"/>
        </w:rPr>
        <w:t>：</w:t>
      </w:r>
      <w:r>
        <w:rPr>
          <w:rFonts w:hint="eastAsia" w:eastAsia="微软雅黑" w:cs="宋体"/>
          <w:b/>
          <w:bCs/>
          <w:color w:val="C00000"/>
          <w:kern w:val="0"/>
          <w:sz w:val="18"/>
          <w:szCs w:val="18"/>
          <w:lang w:val="en-US" w:eastAsia="zh-CN"/>
        </w:rPr>
        <w:t>58</w:t>
      </w:r>
      <w:r>
        <w:rPr>
          <w:rFonts w:hint="eastAsia" w:eastAsia="微软雅黑" w:cs="宋体"/>
          <w:b/>
          <w:bCs/>
          <w:color w:val="C00000"/>
          <w:kern w:val="0"/>
          <w:sz w:val="18"/>
          <w:szCs w:val="18"/>
        </w:rPr>
        <w:t>0</w:t>
      </w:r>
      <w:r>
        <w:rPr>
          <w:rFonts w:eastAsia="微软雅黑" w:cs="宋体"/>
          <w:b/>
          <w:bCs/>
          <w:color w:val="C00000"/>
          <w:kern w:val="0"/>
          <w:sz w:val="18"/>
          <w:szCs w:val="18"/>
        </w:rPr>
        <w:t>0</w:t>
      </w:r>
      <w:r>
        <w:rPr>
          <w:rFonts w:hint="eastAsia" w:eastAsia="微软雅黑" w:cs="宋体"/>
          <w:b/>
          <w:bCs/>
          <w:color w:val="C00000"/>
          <w:kern w:val="0"/>
          <w:sz w:val="18"/>
          <w:szCs w:val="18"/>
        </w:rPr>
        <w:t>元</w:t>
      </w:r>
      <w:r>
        <w:rPr>
          <w:rFonts w:eastAsia="微软雅黑" w:cs="宋体"/>
          <w:b/>
          <w:bCs/>
          <w:color w:val="C00000"/>
          <w:kern w:val="0"/>
          <w:sz w:val="18"/>
          <w:szCs w:val="18"/>
        </w:rPr>
        <w:t>/</w:t>
      </w:r>
      <w:r>
        <w:rPr>
          <w:rFonts w:hint="eastAsia" w:eastAsia="微软雅黑" w:cs="宋体"/>
          <w:b/>
          <w:bCs/>
          <w:color w:val="C00000"/>
          <w:kern w:val="0"/>
          <w:sz w:val="18"/>
          <w:szCs w:val="18"/>
        </w:rPr>
        <w:t>人</w:t>
      </w:r>
      <w:r>
        <w:rPr>
          <w:rFonts w:eastAsia="微软雅黑" w:cs="宋体"/>
          <w:bCs/>
          <w:kern w:val="0"/>
          <w:sz w:val="18"/>
          <w:szCs w:val="18"/>
        </w:rPr>
        <w:t>RMB</w:t>
      </w:r>
    </w:p>
    <w:p>
      <w:pPr>
        <w:rPr>
          <w:rFonts w:eastAsia="微软雅黑" w:cs="宋体"/>
          <w:b/>
          <w:bCs/>
          <w:kern w:val="0"/>
          <w:sz w:val="18"/>
          <w:szCs w:val="18"/>
        </w:rPr>
      </w:pPr>
    </w:p>
    <w:p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hint="eastAsia" w:eastAsia="微软雅黑" w:cs="宋体"/>
          <w:b/>
          <w:bCs/>
          <w:color w:val="0070C0"/>
          <w:kern w:val="0"/>
          <w:sz w:val="24"/>
          <w:szCs w:val="24"/>
        </w:rPr>
        <w:t>排期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/Schedule</w:t>
      </w:r>
    </w:p>
    <w:p>
      <w:pPr>
        <w:spacing w:line="276" w:lineRule="auto"/>
        <w:rPr>
          <w:rFonts w:eastAsia="微软雅黑" w:cs="宋体"/>
          <w:b/>
          <w:bCs/>
          <w:kern w:val="0"/>
          <w:sz w:val="18"/>
          <w:szCs w:val="18"/>
        </w:rPr>
      </w:pPr>
      <w:r>
        <w:rPr>
          <w:rFonts w:hint="eastAsia" w:eastAsia="微软雅黑" w:cs="宋体"/>
          <w:b/>
          <w:bCs/>
          <w:kern w:val="0"/>
          <w:sz w:val="18"/>
          <w:szCs w:val="18"/>
        </w:rPr>
        <w:t>上海：</w:t>
      </w:r>
      <w:r>
        <w:rPr>
          <w:rFonts w:eastAsia="微软雅黑" w:cs="宋体"/>
          <w:kern w:val="0"/>
          <w:sz w:val="18"/>
          <w:szCs w:val="18"/>
        </w:rPr>
        <w:t>2020</w:t>
      </w:r>
      <w:r>
        <w:rPr>
          <w:rFonts w:hint="eastAsia" w:eastAsia="微软雅黑" w:cs="宋体"/>
          <w:kern w:val="0"/>
          <w:sz w:val="18"/>
          <w:szCs w:val="18"/>
        </w:rPr>
        <w:t>年</w:t>
      </w:r>
      <w:r>
        <w:rPr>
          <w:rFonts w:eastAsia="微软雅黑" w:cs="宋体"/>
          <w:kern w:val="0"/>
          <w:sz w:val="18"/>
          <w:szCs w:val="18"/>
        </w:rPr>
        <w:t>1</w:t>
      </w:r>
      <w:r>
        <w:rPr>
          <w:rFonts w:hint="eastAsia" w:eastAsia="微软雅黑" w:cs="宋体"/>
          <w:kern w:val="0"/>
          <w:sz w:val="18"/>
          <w:szCs w:val="18"/>
          <w:lang w:val="en-US" w:eastAsia="zh-CN"/>
        </w:rPr>
        <w:t>0</w:t>
      </w:r>
      <w:r>
        <w:rPr>
          <w:rFonts w:hint="eastAsia" w:eastAsia="微软雅黑" w:cs="宋体"/>
          <w:kern w:val="0"/>
          <w:sz w:val="18"/>
          <w:szCs w:val="18"/>
        </w:rPr>
        <w:t>月</w:t>
      </w:r>
      <w:r>
        <w:rPr>
          <w:rFonts w:hint="eastAsia" w:eastAsia="微软雅黑" w:cs="宋体"/>
          <w:kern w:val="0"/>
          <w:sz w:val="18"/>
          <w:szCs w:val="18"/>
          <w:lang w:val="en-US" w:eastAsia="zh-CN"/>
        </w:rPr>
        <w:t>22-23</w:t>
      </w:r>
      <w:r>
        <w:rPr>
          <w:rFonts w:hint="eastAsia" w:eastAsia="微软雅黑" w:cs="宋体"/>
          <w:kern w:val="0"/>
          <w:sz w:val="18"/>
          <w:szCs w:val="18"/>
        </w:rPr>
        <w:t>日</w:t>
      </w:r>
    </w:p>
    <w:p>
      <w:pPr>
        <w:spacing w:line="276" w:lineRule="auto"/>
        <w:rPr>
          <w:rFonts w:eastAsia="微软雅黑" w:cs="宋体"/>
          <w:kern w:val="0"/>
          <w:sz w:val="18"/>
          <w:szCs w:val="18"/>
        </w:rPr>
      </w:pPr>
      <w:r>
        <w:rPr>
          <w:rFonts w:hint="eastAsia" w:eastAsia="微软雅黑" w:cs="宋体"/>
          <w:b/>
          <w:bCs/>
          <w:kern w:val="0"/>
          <w:sz w:val="18"/>
          <w:szCs w:val="18"/>
        </w:rPr>
        <w:t>北京：</w:t>
      </w:r>
      <w:r>
        <w:rPr>
          <w:rFonts w:eastAsia="微软雅黑" w:cs="宋体"/>
          <w:kern w:val="0"/>
          <w:sz w:val="18"/>
          <w:szCs w:val="18"/>
        </w:rPr>
        <w:t>2020</w:t>
      </w:r>
      <w:r>
        <w:rPr>
          <w:rFonts w:hint="eastAsia" w:eastAsia="微软雅黑" w:cs="宋体"/>
          <w:kern w:val="0"/>
          <w:sz w:val="18"/>
          <w:szCs w:val="18"/>
        </w:rPr>
        <w:t>年</w:t>
      </w:r>
      <w:r>
        <w:rPr>
          <w:rFonts w:hint="eastAsia" w:eastAsia="微软雅黑" w:cs="宋体"/>
          <w:kern w:val="0"/>
          <w:sz w:val="18"/>
          <w:szCs w:val="18"/>
          <w:lang w:val="en-US" w:eastAsia="zh-CN"/>
        </w:rPr>
        <w:t>10</w:t>
      </w:r>
      <w:r>
        <w:rPr>
          <w:rFonts w:hint="eastAsia" w:eastAsia="微软雅黑" w:cs="宋体"/>
          <w:kern w:val="0"/>
          <w:sz w:val="18"/>
          <w:szCs w:val="18"/>
        </w:rPr>
        <w:t>月</w:t>
      </w:r>
      <w:r>
        <w:rPr>
          <w:rFonts w:hint="eastAsia" w:eastAsia="微软雅黑" w:cs="宋体"/>
          <w:kern w:val="0"/>
          <w:sz w:val="18"/>
          <w:szCs w:val="18"/>
          <w:lang w:val="en-US" w:eastAsia="zh-CN"/>
        </w:rPr>
        <w:t>29-30</w:t>
      </w:r>
      <w:r>
        <w:rPr>
          <w:rFonts w:hint="eastAsia" w:eastAsia="微软雅黑" w:cs="宋体"/>
          <w:kern w:val="0"/>
          <w:sz w:val="18"/>
          <w:szCs w:val="18"/>
        </w:rPr>
        <w:t>日</w:t>
      </w:r>
    </w:p>
    <w:p>
      <w:pPr>
        <w:rPr>
          <w:rFonts w:eastAsia="微软雅黑" w:cs="宋体"/>
          <w:b/>
          <w:bCs/>
          <w:kern w:val="0"/>
          <w:sz w:val="18"/>
          <w:szCs w:val="18"/>
        </w:rPr>
      </w:pPr>
    </w:p>
    <w:p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hint="eastAsia" w:eastAsia="微软雅黑" w:cs="宋体"/>
          <w:b/>
          <w:bCs/>
          <w:color w:val="0070C0"/>
          <w:kern w:val="0"/>
          <w:sz w:val="24"/>
          <w:szCs w:val="24"/>
        </w:rPr>
        <w:t>培训议程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/Agenda</w:t>
      </w:r>
    </w:p>
    <w:tbl>
      <w:tblPr>
        <w:tblStyle w:val="8"/>
        <w:tblW w:w="106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1" w:type="dxa"/>
          </w:tcPr>
          <w:p>
            <w:pPr>
              <w:pStyle w:val="2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08:30-08:55 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</w:rPr>
              <w:t>签到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Register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12:00-13:00 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</w:rPr>
              <w:t>午餐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Luncheon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341" w:type="dxa"/>
          </w:tcPr>
          <w:p>
            <w:pPr>
              <w:pStyle w:val="2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09:00-10:30 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13:00-15:30 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341" w:type="dxa"/>
          </w:tcPr>
          <w:p>
            <w:pPr>
              <w:pStyle w:val="2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10:30-10:40 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</w:rPr>
              <w:t>茶歇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15:30-15:45 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</w:rPr>
              <w:t>茶歇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341" w:type="dxa"/>
          </w:tcPr>
          <w:p>
            <w:pPr>
              <w:pStyle w:val="2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10:40-12:00 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15:45-16:30 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</w:rPr>
              <w:t>结束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Training end</w:t>
            </w:r>
          </w:p>
        </w:tc>
      </w:tr>
    </w:tbl>
    <w:p>
      <w:pPr>
        <w:rPr>
          <w:rFonts w:eastAsia="微软雅黑" w:cs="宋体"/>
          <w:bCs/>
          <w:kern w:val="0"/>
          <w:sz w:val="18"/>
          <w:szCs w:val="18"/>
        </w:rPr>
      </w:pPr>
    </w:p>
    <w:p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hint="eastAsia" w:eastAsia="微软雅黑" w:cs="宋体"/>
          <w:b/>
          <w:bCs/>
          <w:color w:val="0070C0"/>
          <w:kern w:val="0"/>
          <w:sz w:val="24"/>
          <w:szCs w:val="24"/>
        </w:rPr>
        <w:t>概述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/Overview</w:t>
      </w:r>
    </w:p>
    <w:p>
      <w:pPr>
        <w:rPr>
          <w:rFonts w:eastAsia="微软雅黑"/>
          <w:b/>
          <w:kern w:val="0"/>
          <w:szCs w:val="20"/>
        </w:rPr>
      </w:pPr>
      <w:r>
        <w:rPr>
          <w:rFonts w:hint="eastAsia" w:eastAsia="微软雅黑"/>
          <w:b/>
          <w:kern w:val="0"/>
          <w:szCs w:val="20"/>
        </w:rPr>
        <w:t>课程背景：</w:t>
      </w:r>
    </w:p>
    <w:p>
      <w:pPr>
        <w:ind w:firstLine="360" w:firstLineChars="200"/>
        <w:rPr>
          <w:rFonts w:hint="eastAsia" w:ascii="微软雅黑" w:hAnsi="微软雅黑" w:eastAsia="微软雅黑" w:cs="宋体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Cs/>
          <w:kern w:val="0"/>
          <w:sz w:val="18"/>
          <w:szCs w:val="18"/>
        </w:rPr>
        <w:t>人是组织中最重要的资源，优秀的HR是通过对组织和人的联结产生业务价值的发动机。但我们更多地看到HR忙于日常事务或专注HR专业能力而对业务价值的创造感到无能为力，不少业务团队也由此认为HR只能处理功能性事务对业务价值的产生隔靴搔痒，所有在业务流程中不增值的事务都会被外包或走向消亡。如何捅破HR业务价值的窗户纸？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微软雅黑" w:hAnsi="微软雅黑" w:eastAsia="微软雅黑" w:cs="宋体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Cs/>
          <w:kern w:val="0"/>
          <w:sz w:val="18"/>
          <w:szCs w:val="18"/>
        </w:rPr>
        <w:t>优秀的公司如何让HR的工作聚焦在业务的价值创造？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微软雅黑" w:hAnsi="微软雅黑" w:eastAsia="微软雅黑" w:cs="宋体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Cs/>
          <w:kern w:val="0"/>
          <w:sz w:val="18"/>
          <w:szCs w:val="18"/>
        </w:rPr>
        <w:t>HRBP该如何定位自己？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微软雅黑" w:hAnsi="微软雅黑" w:eastAsia="微软雅黑" w:cs="宋体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Cs/>
          <w:kern w:val="0"/>
          <w:sz w:val="18"/>
          <w:szCs w:val="18"/>
        </w:rPr>
        <w:t>如何让自己的专业能力围绕业务问题的解决并产生业务价值，如何从业务价值突破到战略价值？这是HRBP能力从优秀到卓越的重要标志。</w:t>
      </w:r>
    </w:p>
    <w:p>
      <w:pPr>
        <w:ind w:firstLine="360" w:firstLineChars="200"/>
        <w:rPr>
          <w:rFonts w:ascii="微软雅黑" w:hAnsi="微软雅黑" w:eastAsia="微软雅黑" w:cs="宋体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Cs/>
          <w:kern w:val="0"/>
          <w:sz w:val="18"/>
          <w:szCs w:val="18"/>
        </w:rPr>
        <w:t>本课程通过讲师讲解、案例解剖、小组讨论等授课方式，给培训对象带来全新的思维视角。教学中不仅有知名企业的实操案例、经典方案，也有导师亲身带领的项目复盘，启发受众的深度思考，并将理念、思维、方法引入HR战略制定及日常解决方案中。</w:t>
      </w:r>
    </w:p>
    <w:p>
      <w:pPr>
        <w:rPr>
          <w:rFonts w:eastAsia="微软雅黑" w:cs="宋体"/>
          <w:bCs/>
          <w:kern w:val="0"/>
          <w:sz w:val="18"/>
          <w:szCs w:val="18"/>
        </w:rPr>
      </w:pPr>
    </w:p>
    <w:p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hint="eastAsia" w:eastAsia="微软雅黑" w:cs="宋体"/>
          <w:b/>
          <w:bCs/>
          <w:color w:val="0070C0"/>
          <w:kern w:val="0"/>
          <w:sz w:val="24"/>
          <w:szCs w:val="24"/>
        </w:rPr>
        <w:t>活动纲要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/Outline</w:t>
      </w:r>
    </w:p>
    <w:tbl>
      <w:tblPr>
        <w:tblStyle w:val="8"/>
        <w:tblW w:w="10682" w:type="dxa"/>
        <w:tblInd w:w="0" w:type="dxa"/>
        <w:tblBorders>
          <w:top w:val="single" w:color="A6A6A6" w:sz="4" w:space="0"/>
          <w:left w:val="none" w:color="auto" w:sz="0" w:space="0"/>
          <w:bottom w:val="single" w:color="A6A6A6" w:sz="4" w:space="0"/>
          <w:right w:val="none" w:color="auto" w:sz="0" w:space="0"/>
          <w:insideH w:val="none" w:color="auto" w:sz="0" w:space="0"/>
          <w:insideV w:val="single" w:color="A6A6A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single" w:color="A6A6A6" w:sz="4" w:space="0"/>
            <w:left w:val="none" w:color="auto" w:sz="0" w:space="0"/>
            <w:bottom w:val="single" w:color="A6A6A6" w:sz="4" w:space="0"/>
            <w:right w:val="none" w:color="auto" w:sz="0" w:space="0"/>
            <w:insideH w:val="none" w:color="auto" w:sz="0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5341" w:type="dxa"/>
            <w:tcBorders>
              <w:top w:val="single" w:color="A6A6A6" w:sz="4" w:space="0"/>
              <w:bottom w:val="single" w:color="A6A6A6" w:sz="4" w:space="0"/>
            </w:tcBorders>
            <w:shd w:val="clear" w:color="auto" w:fill="F2F2F2"/>
          </w:tcPr>
          <w:p>
            <w:pPr>
              <w:pStyle w:val="26"/>
              <w:snapToGrid w:val="0"/>
              <w:rPr>
                <w:rFonts w:eastAsia="微软雅黑"/>
                <w:b/>
                <w:szCs w:val="20"/>
              </w:rPr>
            </w:pPr>
            <w:r>
              <w:rPr>
                <w:rFonts w:hint="eastAsia" w:eastAsia="微软雅黑"/>
                <w:b/>
                <w:szCs w:val="20"/>
              </w:rPr>
              <w:t>第一</w:t>
            </w:r>
            <w:r>
              <w:rPr>
                <w:rFonts w:hint="eastAsia" w:eastAsia="微软雅黑"/>
                <w:b/>
                <w:szCs w:val="20"/>
                <w:lang w:val="en-US" w:eastAsia="zh-CN"/>
              </w:rPr>
              <w:t>讲</w:t>
            </w:r>
            <w:r>
              <w:rPr>
                <w:rFonts w:hint="eastAsia" w:eastAsia="微软雅黑"/>
                <w:b/>
                <w:szCs w:val="20"/>
              </w:rPr>
              <w:t xml:space="preserve"> </w:t>
            </w:r>
            <w:r>
              <w:rPr>
                <w:rFonts w:hint="eastAsia" w:eastAsia="微软雅黑"/>
                <w:b/>
                <w:szCs w:val="20"/>
                <w:lang w:val="en-US" w:eastAsia="zh-CN"/>
              </w:rPr>
              <w:t>华为人力资源的运作及问题发现</w:t>
            </w:r>
            <w:r>
              <w:rPr>
                <w:rFonts w:hint="eastAsia" w:eastAsia="微软雅黑"/>
                <w:b/>
                <w:szCs w:val="20"/>
              </w:rPr>
              <w:t xml:space="preserve"> </w:t>
            </w:r>
          </w:p>
          <w:p>
            <w:pPr>
              <w:pStyle w:val="26"/>
              <w:numPr>
                <w:ilvl w:val="0"/>
                <w:numId w:val="5"/>
              </w:numPr>
              <w:snapToGrid w:val="0"/>
              <w:rPr>
                <w:rFonts w:eastAsia="微软雅黑"/>
                <w:b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  <w:lang w:val="en-US" w:eastAsia="zh-CN"/>
              </w:rPr>
              <w:t>华为人力资源的发展历程与阶段</w:t>
            </w:r>
          </w:p>
          <w:p>
            <w:pPr>
              <w:pStyle w:val="26"/>
              <w:numPr>
                <w:ilvl w:val="0"/>
                <w:numId w:val="5"/>
              </w:numPr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华为业务发展的管理诉求</w:t>
            </w:r>
          </w:p>
          <w:p>
            <w:pPr>
              <w:pStyle w:val="26"/>
              <w:numPr>
                <w:ilvl w:val="0"/>
                <w:numId w:val="5"/>
              </w:numPr>
              <w:snapToGrid w:val="0"/>
              <w:rPr>
                <w:rFonts w:hint="eastAsia"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外部客户洞察</w:t>
            </w:r>
            <w:bookmarkStart w:id="0" w:name="_GoBack"/>
            <w:bookmarkEnd w:id="0"/>
            <w:r>
              <w:rPr>
                <w:rFonts w:hint="eastAsia" w:eastAsia="微软雅黑"/>
                <w:sz w:val="18"/>
                <w:szCs w:val="20"/>
              </w:rPr>
              <w:t>反馈的管理问题</w:t>
            </w:r>
          </w:p>
          <w:p>
            <w:pPr>
              <w:pStyle w:val="26"/>
              <w:numPr>
                <w:ilvl w:val="0"/>
                <w:numId w:val="5"/>
              </w:numPr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顾问访谈利益相关者的关键发现不要</w:t>
            </w:r>
          </w:p>
          <w:p>
            <w:pPr>
              <w:pStyle w:val="26"/>
              <w:snapToGrid w:val="0"/>
              <w:rPr>
                <w:rFonts w:ascii="微软雅黑" w:hAnsi="微软雅黑" w:eastAsia="微软雅黑"/>
                <w:sz w:val="18"/>
                <w:szCs w:val="20"/>
              </w:rPr>
            </w:pPr>
          </w:p>
          <w:p>
            <w:pPr>
              <w:pStyle w:val="26"/>
              <w:snapToGrid w:val="0"/>
              <w:rPr>
                <w:rFonts w:eastAsia="微软雅黑"/>
                <w:b/>
                <w:szCs w:val="20"/>
              </w:rPr>
            </w:pPr>
            <w:r>
              <w:rPr>
                <w:rFonts w:hint="eastAsia" w:eastAsia="微软雅黑"/>
                <w:b/>
                <w:szCs w:val="20"/>
              </w:rPr>
              <w:t>第二讲 华为人力资源三支柱变革</w:t>
            </w:r>
          </w:p>
          <w:p>
            <w:pPr>
              <w:pStyle w:val="26"/>
              <w:numPr>
                <w:ilvl w:val="0"/>
                <w:numId w:val="6"/>
              </w:numPr>
              <w:snapToGrid w:val="0"/>
              <w:rPr>
                <w:rFonts w:hint="eastAsia"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三支柱变革方法论</w:t>
            </w:r>
          </w:p>
          <w:p>
            <w:pPr>
              <w:pStyle w:val="26"/>
              <w:numPr>
                <w:ilvl w:val="0"/>
                <w:numId w:val="6"/>
              </w:numPr>
              <w:snapToGrid w:val="0"/>
              <w:rPr>
                <w:rFonts w:hint="eastAsia"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三支柱运作的价值</w:t>
            </w:r>
          </w:p>
          <w:p>
            <w:pPr>
              <w:pStyle w:val="26"/>
              <w:numPr>
                <w:ilvl w:val="0"/>
                <w:numId w:val="6"/>
              </w:numPr>
              <w:snapToGrid w:val="0"/>
              <w:rPr>
                <w:rFonts w:hint="eastAsia"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集团化企业三支柱协同配合关系</w:t>
            </w:r>
          </w:p>
          <w:p>
            <w:pPr>
              <w:pStyle w:val="26"/>
              <w:numPr>
                <w:ilvl w:val="0"/>
                <w:numId w:val="6"/>
              </w:numPr>
              <w:snapToGrid w:val="0"/>
              <w:rPr>
                <w:rFonts w:hint="eastAsia"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三支柱项目实施的管理要点</w:t>
            </w:r>
          </w:p>
          <w:p>
            <w:pPr>
              <w:pStyle w:val="26"/>
              <w:numPr>
                <w:ilvl w:val="0"/>
                <w:numId w:val="6"/>
              </w:numPr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推行过程中可能的问题和解决方案</w:t>
            </w:r>
          </w:p>
          <w:p>
            <w:pPr>
              <w:pStyle w:val="26"/>
              <w:numPr>
                <w:ilvl w:val="0"/>
                <w:numId w:val="0"/>
              </w:numPr>
              <w:snapToGrid w:val="0"/>
              <w:ind w:leftChars="0"/>
              <w:rPr>
                <w:rFonts w:eastAsia="微软雅黑"/>
                <w:sz w:val="18"/>
                <w:szCs w:val="20"/>
              </w:rPr>
            </w:pPr>
          </w:p>
          <w:p>
            <w:pPr>
              <w:pStyle w:val="26"/>
              <w:snapToGrid w:val="0"/>
              <w:rPr>
                <w:rFonts w:eastAsia="微软雅黑"/>
                <w:b/>
                <w:szCs w:val="20"/>
              </w:rPr>
            </w:pPr>
            <w:r>
              <w:rPr>
                <w:rFonts w:hint="eastAsia" w:eastAsia="微软雅黑"/>
                <w:b/>
                <w:szCs w:val="20"/>
              </w:rPr>
              <w:t>第三讲 华为HRBP体系运作实践</w:t>
            </w:r>
          </w:p>
          <w:p>
            <w:pPr>
              <w:pStyle w:val="26"/>
              <w:numPr>
                <w:ilvl w:val="0"/>
                <w:numId w:val="7"/>
              </w:numPr>
              <w:snapToGrid w:val="0"/>
              <w:rPr>
                <w:rFonts w:hint="eastAsia"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华为HRBP角色模型与角色定位</w:t>
            </w:r>
          </w:p>
          <w:p>
            <w:pPr>
              <w:pStyle w:val="26"/>
              <w:numPr>
                <w:ilvl w:val="0"/>
                <w:numId w:val="7"/>
              </w:numPr>
              <w:snapToGrid w:val="0"/>
              <w:rPr>
                <w:rFonts w:hint="eastAsia"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华为HRBP关键业务活动</w:t>
            </w:r>
          </w:p>
          <w:p>
            <w:pPr>
              <w:pStyle w:val="26"/>
              <w:numPr>
                <w:ilvl w:val="0"/>
                <w:numId w:val="7"/>
              </w:numPr>
              <w:snapToGrid w:val="0"/>
              <w:rPr>
                <w:rFonts w:hint="eastAsia"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华为HRBP与Function HR的区别</w:t>
            </w:r>
          </w:p>
          <w:p>
            <w:pPr>
              <w:pStyle w:val="26"/>
              <w:numPr>
                <w:ilvl w:val="0"/>
                <w:numId w:val="7"/>
              </w:numPr>
              <w:snapToGrid w:val="0"/>
              <w:rPr>
                <w:rFonts w:hint="eastAsia"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华为HRBP与业务部门主管的关系</w:t>
            </w:r>
          </w:p>
          <w:p>
            <w:pPr>
              <w:pStyle w:val="26"/>
              <w:numPr>
                <w:ilvl w:val="0"/>
                <w:numId w:val="6"/>
              </w:numPr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华为设置HRBP对业务部门的影响</w:t>
            </w:r>
          </w:p>
          <w:p>
            <w:pPr>
              <w:pStyle w:val="26"/>
              <w:numPr>
                <w:ilvl w:val="0"/>
                <w:numId w:val="0"/>
              </w:numPr>
              <w:snapToGrid w:val="0"/>
              <w:ind w:leftChars="0"/>
              <w:rPr>
                <w:rFonts w:eastAsia="微软雅黑"/>
                <w:sz w:val="18"/>
                <w:szCs w:val="20"/>
              </w:rPr>
            </w:pPr>
          </w:p>
          <w:p>
            <w:pPr>
              <w:pStyle w:val="26"/>
              <w:snapToGrid w:val="0"/>
              <w:rPr>
                <w:rFonts w:eastAsia="微软雅黑"/>
                <w:b/>
                <w:szCs w:val="20"/>
              </w:rPr>
            </w:pPr>
            <w:r>
              <w:rPr>
                <w:rFonts w:hint="eastAsia" w:eastAsia="微软雅黑"/>
                <w:b/>
                <w:szCs w:val="20"/>
              </w:rPr>
              <w:t>第四讲 华为HRBP的选拔</w:t>
            </w:r>
          </w:p>
          <w:p>
            <w:pPr>
              <w:pStyle w:val="26"/>
              <w:numPr>
                <w:ilvl w:val="0"/>
                <w:numId w:val="8"/>
              </w:numPr>
              <w:snapToGrid w:val="0"/>
              <w:jc w:val="left"/>
              <w:rPr>
                <w:rFonts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w w:val="95"/>
                <w:sz w:val="24"/>
              </w:rPr>
              <w:t></w:t>
            </w:r>
            <w:r>
              <w:rPr>
                <w:rFonts w:hint="eastAsia" w:eastAsia="微软雅黑"/>
                <w:sz w:val="18"/>
                <w:szCs w:val="20"/>
              </w:rPr>
              <w:t>合适HRBP的来源</w:t>
            </w:r>
          </w:p>
          <w:p>
            <w:pPr>
              <w:pStyle w:val="26"/>
              <w:numPr>
                <w:ilvl w:val="0"/>
                <w:numId w:val="9"/>
              </w:numPr>
              <w:snapToGrid w:val="0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HRBP管理者的选拔标准</w:t>
            </w:r>
          </w:p>
          <w:p>
            <w:pPr>
              <w:pStyle w:val="26"/>
              <w:numPr>
                <w:ilvl w:val="0"/>
                <w:numId w:val="9"/>
              </w:numPr>
              <w:snapToGrid w:val="0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HRBP专业人员的选拔标准</w:t>
            </w:r>
          </w:p>
          <w:p>
            <w:pPr>
              <w:pStyle w:val="26"/>
              <w:numPr>
                <w:ilvl w:val="0"/>
                <w:numId w:val="8"/>
              </w:numPr>
              <w:snapToGrid w:val="0"/>
              <w:jc w:val="left"/>
              <w:rPr>
                <w:rFonts w:hint="eastAsia"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HRBP的成功转身</w:t>
            </w:r>
          </w:p>
          <w:p>
            <w:pPr>
              <w:pStyle w:val="26"/>
              <w:numPr>
                <w:ilvl w:val="0"/>
                <w:numId w:val="8"/>
              </w:numPr>
              <w:snapToGrid w:val="0"/>
              <w:jc w:val="left"/>
              <w:rPr>
                <w:rFonts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18"/>
              </w:rPr>
              <w:t>如何解决业务骨干转岗HRBP的成功率问题</w:t>
            </w:r>
          </w:p>
        </w:tc>
        <w:tc>
          <w:tcPr>
            <w:tcW w:w="5341" w:type="dxa"/>
            <w:tcBorders>
              <w:top w:val="single" w:color="A6A6A6" w:sz="4" w:space="0"/>
              <w:bottom w:val="single" w:color="A6A6A6" w:sz="4" w:space="0"/>
            </w:tcBorders>
            <w:shd w:val="clear" w:color="auto" w:fill="F2F2F2"/>
          </w:tcPr>
          <w:p>
            <w:pPr>
              <w:pStyle w:val="26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</w:rPr>
              <w:t>第五</w:t>
            </w: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  <w:lang w:val="en-US" w:eastAsia="zh-CN"/>
              </w:rPr>
              <w:t>讲</w:t>
            </w: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</w:rPr>
              <w:t xml:space="preserve"> HRBP的赋能</w:t>
            </w:r>
          </w:p>
          <w:p>
            <w:pPr>
              <w:pStyle w:val="26"/>
              <w:numPr>
                <w:ilvl w:val="0"/>
                <w:numId w:val="8"/>
              </w:numPr>
              <w:snapToGrid w:val="0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HRBP赋能总体框架</w:t>
            </w:r>
          </w:p>
          <w:p>
            <w:pPr>
              <w:pStyle w:val="26"/>
              <w:numPr>
                <w:ilvl w:val="0"/>
                <w:numId w:val="8"/>
              </w:numPr>
              <w:snapToGrid w:val="0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HRBP赋能实施方案</w:t>
            </w:r>
          </w:p>
          <w:p>
            <w:pPr>
              <w:pStyle w:val="26"/>
              <w:numPr>
                <w:ilvl w:val="0"/>
                <w:numId w:val="10"/>
              </w:numPr>
              <w:snapToGrid w:val="0"/>
              <w:ind w:left="420" w:leftChars="0" w:hanging="420" w:firstLineChars="0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应知应会</w:t>
            </w:r>
          </w:p>
          <w:p>
            <w:pPr>
              <w:pStyle w:val="26"/>
              <w:numPr>
                <w:ilvl w:val="0"/>
                <w:numId w:val="10"/>
              </w:numPr>
              <w:snapToGrid w:val="0"/>
              <w:ind w:left="420" w:leftChars="0" w:hanging="420" w:firstLineChars="0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集中研讨</w:t>
            </w:r>
          </w:p>
          <w:p>
            <w:pPr>
              <w:pStyle w:val="26"/>
              <w:numPr>
                <w:ilvl w:val="0"/>
                <w:numId w:val="10"/>
              </w:numPr>
              <w:snapToGrid w:val="0"/>
              <w:ind w:left="420" w:leftChars="0" w:hanging="420" w:firstLineChars="0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实战提升</w:t>
            </w:r>
          </w:p>
          <w:p>
            <w:pPr>
              <w:pStyle w:val="26"/>
              <w:numPr>
                <w:ilvl w:val="0"/>
                <w:numId w:val="8"/>
              </w:numPr>
              <w:snapToGrid w:val="0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HRBP常用工具</w:t>
            </w:r>
          </w:p>
          <w:p>
            <w:pPr>
              <w:pStyle w:val="26"/>
              <w:numPr>
                <w:ilvl w:val="0"/>
                <w:numId w:val="11"/>
              </w:numPr>
              <w:snapToGrid w:val="0"/>
              <w:ind w:left="420" w:leftChars="0" w:hanging="420" w:firstLineChars="0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IBM-BLM模型</w:t>
            </w:r>
          </w:p>
          <w:p>
            <w:pPr>
              <w:pStyle w:val="26"/>
              <w:numPr>
                <w:ilvl w:val="0"/>
                <w:numId w:val="11"/>
              </w:numPr>
              <w:snapToGrid w:val="0"/>
              <w:ind w:left="420" w:leftChars="0" w:hanging="420" w:firstLineChars="0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教练式辅导</w:t>
            </w:r>
          </w:p>
          <w:p>
            <w:pPr>
              <w:pStyle w:val="26"/>
              <w:numPr>
                <w:ilvl w:val="0"/>
                <w:numId w:val="11"/>
              </w:numPr>
              <w:snapToGrid w:val="0"/>
              <w:ind w:left="420" w:leftChars="0" w:hanging="420" w:firstLineChars="0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新上岗干部90天转身</w:t>
            </w:r>
          </w:p>
          <w:p>
            <w:pPr>
              <w:pStyle w:val="26"/>
              <w:numPr>
                <w:ilvl w:val="0"/>
                <w:numId w:val="11"/>
              </w:numPr>
              <w:snapToGrid w:val="0"/>
              <w:ind w:left="420" w:leftChars="0" w:hanging="420" w:firstLineChars="0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主管MFP</w:t>
            </w:r>
          </w:p>
          <w:p>
            <w:pPr>
              <w:pStyle w:val="26"/>
              <w:numPr>
                <w:ilvl w:val="0"/>
                <w:numId w:val="11"/>
              </w:numPr>
              <w:snapToGrid w:val="0"/>
              <w:ind w:left="420" w:leftChars="0" w:hanging="420" w:firstLineChars="0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绩效管理</w:t>
            </w:r>
          </w:p>
          <w:p>
            <w:pPr>
              <w:pStyle w:val="26"/>
              <w:numPr>
                <w:ilvl w:val="0"/>
                <w:numId w:val="11"/>
              </w:numPr>
              <w:snapToGrid w:val="0"/>
              <w:ind w:left="420" w:leftChars="0" w:hanging="420" w:firstLineChars="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组织氛围建设</w:t>
            </w:r>
          </w:p>
          <w:p>
            <w:pPr>
              <w:pStyle w:val="26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  <w:p>
            <w:pPr>
              <w:pStyle w:val="26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</w:rPr>
              <w:t>第六</w:t>
            </w: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  <w:lang w:val="en-US" w:eastAsia="zh-CN"/>
              </w:rPr>
              <w:t>讲</w:t>
            </w: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</w:rPr>
              <w:t xml:space="preserve"> HRBP如何切入业务（案例）</w:t>
            </w:r>
          </w:p>
          <w:p>
            <w:pPr>
              <w:pStyle w:val="26"/>
              <w:numPr>
                <w:ilvl w:val="0"/>
                <w:numId w:val="8"/>
              </w:numPr>
              <w:snapToGrid w:val="0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如何牵引绩效改进</w:t>
            </w:r>
          </w:p>
          <w:p>
            <w:pPr>
              <w:pStyle w:val="26"/>
              <w:numPr>
                <w:ilvl w:val="0"/>
                <w:numId w:val="8"/>
              </w:numPr>
              <w:snapToGrid w:val="0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如何设计解决方案</w:t>
            </w:r>
          </w:p>
          <w:p>
            <w:pPr>
              <w:pStyle w:val="26"/>
              <w:numPr>
                <w:ilvl w:val="0"/>
                <w:numId w:val="8"/>
              </w:numPr>
              <w:snapToGrid w:val="0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如何诊断组织问题</w:t>
            </w:r>
          </w:p>
          <w:p>
            <w:pPr>
              <w:pStyle w:val="26"/>
              <w:numPr>
                <w:ilvl w:val="0"/>
                <w:numId w:val="8"/>
              </w:numPr>
              <w:snapToGrid w:val="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如何洞察理解业务</w:t>
            </w:r>
          </w:p>
        </w:tc>
      </w:tr>
    </w:tbl>
    <w:p>
      <w:pPr>
        <w:rPr>
          <w:rFonts w:eastAsia="微软雅黑" w:cs="宋体"/>
          <w:bCs/>
          <w:kern w:val="0"/>
          <w:sz w:val="18"/>
          <w:szCs w:val="18"/>
        </w:rPr>
      </w:pPr>
    </w:p>
    <w:p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hint="eastAsia" w:eastAsia="微软雅黑" w:cs="宋体"/>
          <w:b/>
          <w:bCs/>
          <w:color w:val="0070C0"/>
          <w:kern w:val="0"/>
          <w:sz w:val="24"/>
          <w:szCs w:val="24"/>
        </w:rPr>
        <w:t>讲师介绍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/Lecture</w:t>
      </w:r>
      <w:r>
        <w:rPr>
          <w:rFonts w:hint="eastAsia" w:eastAsia="微软雅黑" w:cs="宋体"/>
          <w:b/>
          <w:bCs/>
          <w:color w:val="0070C0"/>
          <w:kern w:val="0"/>
          <w:sz w:val="24"/>
          <w:szCs w:val="24"/>
        </w:rPr>
        <w:t>r</w:t>
      </w:r>
    </w:p>
    <w:p>
      <w:pPr>
        <w:rPr>
          <w:rFonts w:eastAsia="微软雅黑" w:cs="微软雅黑"/>
          <w:b/>
          <w:bCs/>
          <w:szCs w:val="32"/>
          <w:shd w:val="clear" w:color="auto" w:fill="FFFFFF"/>
        </w:rPr>
      </w:pPr>
      <w:r>
        <w:rPr>
          <w:rFonts w:hint="eastAsia" w:eastAsia="微软雅黑" w:cs="微软雅黑"/>
          <w:b/>
          <w:bCs/>
          <w:szCs w:val="32"/>
          <w:shd w:val="clear" w:color="auto" w:fill="FFFFFF"/>
          <w:lang w:val="en-US" w:eastAsia="zh-CN"/>
        </w:rPr>
        <w:t>陈</w:t>
      </w:r>
      <w:r>
        <w:rPr>
          <w:rFonts w:hint="eastAsia" w:eastAsia="微软雅黑" w:cs="微软雅黑"/>
          <w:b/>
          <w:bCs/>
          <w:szCs w:val="32"/>
          <w:shd w:val="clear" w:color="auto" w:fill="FFFFFF"/>
        </w:rPr>
        <w:t>老师</w:t>
      </w:r>
    </w:p>
    <w:p>
      <w:pPr>
        <w:numPr>
          <w:ilvl w:val="0"/>
          <w:numId w:val="12"/>
        </w:numPr>
        <w:ind w:left="420" w:leftChars="0" w:hanging="420" w:firstLineChars="0"/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  <w:t>管理咨询专家、企业高管顾问、浙江大学客座讲师、香港城市大学客座讲师。</w:t>
      </w:r>
    </w:p>
    <w:p>
      <w:pPr>
        <w:numPr>
          <w:ilvl w:val="0"/>
          <w:numId w:val="12"/>
        </w:numPr>
        <w:ind w:left="420" w:leftChars="0" w:hanging="420" w:firstLineChars="0"/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  <w:t>华为工作经历：14年华为工作经历，华为人力资源总裁助理、华为人力资源变革项目总监、华为资深人力资源专家。</w:t>
      </w:r>
    </w:p>
    <w:p>
      <w:pPr>
        <w:numPr>
          <w:ilvl w:val="0"/>
          <w:numId w:val="12"/>
        </w:numPr>
        <w:ind w:left="420" w:leftChars="0" w:hanging="420" w:firstLineChars="0"/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  <w:t>2001-2014年在华为任职</w:t>
      </w:r>
    </w:p>
    <w:p>
      <w:pPr>
        <w:numPr>
          <w:ilvl w:val="0"/>
          <w:numId w:val="13"/>
        </w:numPr>
        <w:ind w:left="420" w:leftChars="0" w:hanging="420" w:firstLineChars="0"/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  <w:t>7年+ 管理咨询业务经验；</w:t>
      </w:r>
    </w:p>
    <w:p>
      <w:pPr>
        <w:numPr>
          <w:ilvl w:val="0"/>
          <w:numId w:val="13"/>
        </w:numPr>
        <w:ind w:left="420" w:leftChars="0" w:hanging="420" w:firstLineChars="0"/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  <w:t>6年+ 海外市场客户拓展经验。</w:t>
      </w:r>
    </w:p>
    <w:p>
      <w:pPr>
        <w:numPr>
          <w:ilvl w:val="0"/>
          <w:numId w:val="12"/>
        </w:numPr>
        <w:ind w:left="420" w:leftChars="0" w:hanging="420" w:firstLineChars="0"/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  <w:t>全职参与华为公司战略级变革项目包括：</w:t>
      </w:r>
    </w:p>
    <w:p>
      <w:pP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  <w:t></w:t>
      </w:r>
      <w: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  <w:t>华为-IBM集成供应链项目（2001-2004）；</w:t>
      </w:r>
    </w:p>
    <w:p>
      <w:pP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  <w:t></w:t>
      </w:r>
      <w: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  <w:t>华为-Mercer公司高层治理项目（2004）；</w:t>
      </w:r>
    </w:p>
    <w:p>
      <w:pP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  <w:t></w:t>
      </w:r>
      <w: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  <w:t>华为-翰威特人力资源三支柱变革项目（2011-2013）；</w:t>
      </w:r>
    </w:p>
    <w:p>
      <w:pPr>
        <w:rPr>
          <w:rFonts w:ascii="微软雅黑" w:hAnsi="微软雅黑" w:eastAsia="微软雅黑" w:cs="微软雅黑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  <w:t></w:t>
      </w:r>
      <w: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  <w:t>华为“打赢班长的战争”向一线授权项目（2013-2014）。</w:t>
      </w:r>
    </w:p>
    <w:p>
      <w:pPr>
        <w:pStyle w:val="28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  <w:t>2014年8月开始-现在，作为专业咨询顾问，专注为企业提供管理咨询和培训服务。</w:t>
      </w:r>
    </w:p>
    <w:p>
      <w:pPr>
        <w:pStyle w:val="28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</w:pPr>
    </w:p>
    <w:p>
      <w:pPr>
        <w:pStyle w:val="28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  <w:t>服务过的客户(部分）：北京中税税务师事务所、北京电子控股集团、中兴通讯、浙江金融资产交易中心、宁波金田铜业集团、中国智能交通集团、北京纳通医疗集团、深圳银雁金融集团、爱拼(iPIN)信息技术有限公司、广东戴思乐集团</w:t>
      </w:r>
      <w: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  <w:lang w:val="en-US" w:eastAsia="zh-CN"/>
        </w:rPr>
        <w:t>等</w:t>
      </w:r>
      <w: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  <w:t>。</w:t>
      </w:r>
    </w:p>
    <w:p>
      <w:pPr>
        <w:pStyle w:val="28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</w:pPr>
    </w:p>
    <w:p>
      <w:pPr>
        <w:pStyle w:val="28"/>
        <w:numPr>
          <w:ilvl w:val="0"/>
          <w:numId w:val="0"/>
        </w:numPr>
        <w:ind w:leftChars="0"/>
        <w:rPr>
          <w:rFonts w:eastAsia="微软雅黑" w:cs="宋体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  <w:t>咨询服务解决方案：从战略到执行、组织变革管理、人力资源管理与转型、集团治理管控、海外市场拓展、品牌及政府关系建设等；</w:t>
      </w:r>
    </w:p>
    <w:p>
      <w:pPr>
        <w:rPr>
          <w:rFonts w:ascii="微软雅黑" w:hAnsi="微软雅黑" w:eastAsia="微软雅黑" w:cs="微软雅黑"/>
          <w:sz w:val="18"/>
          <w:szCs w:val="18"/>
          <w:shd w:val="clear" w:color="auto" w:fill="FFFFFF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8477250</wp:posOffset>
          </wp:positionH>
          <wp:positionV relativeFrom="paragraph">
            <wp:posOffset>353060</wp:posOffset>
          </wp:positionV>
          <wp:extent cx="981075" cy="381000"/>
          <wp:effectExtent l="0" t="0" r="0" b="0"/>
          <wp:wrapNone/>
          <wp:docPr id="4" name="图片 2" descr="dn_013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dn_013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381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566112"/>
    <w:multiLevelType w:val="singleLevel"/>
    <w:tmpl w:val="94566112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9DDBD88D"/>
    <w:multiLevelType w:val="singleLevel"/>
    <w:tmpl w:val="9DDBD88D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EAB3B05B"/>
    <w:multiLevelType w:val="singleLevel"/>
    <w:tmpl w:val="EAB3B05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07556D38"/>
    <w:multiLevelType w:val="multilevel"/>
    <w:tmpl w:val="07556D38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>
    <w:nsid w:val="3DDC681A"/>
    <w:multiLevelType w:val="multilevel"/>
    <w:tmpl w:val="3DDC681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42E33CA9"/>
    <w:multiLevelType w:val="singleLevel"/>
    <w:tmpl w:val="42E33CA9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45985389"/>
    <w:multiLevelType w:val="singleLevel"/>
    <w:tmpl w:val="4598538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46FD1B51"/>
    <w:multiLevelType w:val="multilevel"/>
    <w:tmpl w:val="46FD1B5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524A926F"/>
    <w:multiLevelType w:val="singleLevel"/>
    <w:tmpl w:val="524A926F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9">
    <w:nsid w:val="543C3BD9"/>
    <w:multiLevelType w:val="multilevel"/>
    <w:tmpl w:val="543C3BD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5D8B57F3"/>
    <w:multiLevelType w:val="multilevel"/>
    <w:tmpl w:val="5D8B57F3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>
    <w:nsid w:val="60D76591"/>
    <w:multiLevelType w:val="multilevel"/>
    <w:tmpl w:val="60D7659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2">
    <w:nsid w:val="6A627C10"/>
    <w:multiLevelType w:val="multilevel"/>
    <w:tmpl w:val="6A627C1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61"/>
    <w:rsid w:val="0000111F"/>
    <w:rsid w:val="00005996"/>
    <w:rsid w:val="000204E0"/>
    <w:rsid w:val="00021AB7"/>
    <w:rsid w:val="00026B8B"/>
    <w:rsid w:val="00031958"/>
    <w:rsid w:val="00034273"/>
    <w:rsid w:val="00037246"/>
    <w:rsid w:val="0004232B"/>
    <w:rsid w:val="000452EC"/>
    <w:rsid w:val="0005445C"/>
    <w:rsid w:val="000609D6"/>
    <w:rsid w:val="00063DA2"/>
    <w:rsid w:val="000652E1"/>
    <w:rsid w:val="00066983"/>
    <w:rsid w:val="00066DB0"/>
    <w:rsid w:val="00071AB3"/>
    <w:rsid w:val="000741AD"/>
    <w:rsid w:val="00080280"/>
    <w:rsid w:val="0008184D"/>
    <w:rsid w:val="000820FB"/>
    <w:rsid w:val="000830B1"/>
    <w:rsid w:val="00087B30"/>
    <w:rsid w:val="000974EE"/>
    <w:rsid w:val="000A3851"/>
    <w:rsid w:val="000B1A57"/>
    <w:rsid w:val="000C7CE4"/>
    <w:rsid w:val="000D3E5D"/>
    <w:rsid w:val="000D536F"/>
    <w:rsid w:val="000E657A"/>
    <w:rsid w:val="000F3CE5"/>
    <w:rsid w:val="000F48EC"/>
    <w:rsid w:val="000F5DE7"/>
    <w:rsid w:val="00111126"/>
    <w:rsid w:val="001209D6"/>
    <w:rsid w:val="00122302"/>
    <w:rsid w:val="00133AC6"/>
    <w:rsid w:val="00175E07"/>
    <w:rsid w:val="00182D0D"/>
    <w:rsid w:val="00183856"/>
    <w:rsid w:val="00187A0D"/>
    <w:rsid w:val="00191D09"/>
    <w:rsid w:val="00191FC3"/>
    <w:rsid w:val="00193A64"/>
    <w:rsid w:val="001A5E0D"/>
    <w:rsid w:val="001B4CF3"/>
    <w:rsid w:val="001C35AB"/>
    <w:rsid w:val="001C7201"/>
    <w:rsid w:val="001C7C94"/>
    <w:rsid w:val="001D1614"/>
    <w:rsid w:val="001D73B9"/>
    <w:rsid w:val="001E0140"/>
    <w:rsid w:val="001E3F4C"/>
    <w:rsid w:val="001E492A"/>
    <w:rsid w:val="001E534B"/>
    <w:rsid w:val="001F5411"/>
    <w:rsid w:val="00203283"/>
    <w:rsid w:val="00203DB3"/>
    <w:rsid w:val="00204E22"/>
    <w:rsid w:val="0020511E"/>
    <w:rsid w:val="002108BB"/>
    <w:rsid w:val="00214833"/>
    <w:rsid w:val="002158C2"/>
    <w:rsid w:val="00217D6B"/>
    <w:rsid w:val="002219A6"/>
    <w:rsid w:val="002271D1"/>
    <w:rsid w:val="002418EC"/>
    <w:rsid w:val="0027320E"/>
    <w:rsid w:val="00275A73"/>
    <w:rsid w:val="002802BE"/>
    <w:rsid w:val="00282E47"/>
    <w:rsid w:val="0028431E"/>
    <w:rsid w:val="002868D8"/>
    <w:rsid w:val="00293780"/>
    <w:rsid w:val="002B0B3A"/>
    <w:rsid w:val="002B0B5B"/>
    <w:rsid w:val="002C7622"/>
    <w:rsid w:val="002C7B4B"/>
    <w:rsid w:val="002D0891"/>
    <w:rsid w:val="002D7DC2"/>
    <w:rsid w:val="002E2A69"/>
    <w:rsid w:val="002E5F74"/>
    <w:rsid w:val="002F7325"/>
    <w:rsid w:val="00311240"/>
    <w:rsid w:val="00316104"/>
    <w:rsid w:val="00316644"/>
    <w:rsid w:val="0032463D"/>
    <w:rsid w:val="00327362"/>
    <w:rsid w:val="00327F0A"/>
    <w:rsid w:val="003328A5"/>
    <w:rsid w:val="00335810"/>
    <w:rsid w:val="0033606C"/>
    <w:rsid w:val="00337259"/>
    <w:rsid w:val="00341C11"/>
    <w:rsid w:val="0034227A"/>
    <w:rsid w:val="003425AB"/>
    <w:rsid w:val="003439BD"/>
    <w:rsid w:val="0034531B"/>
    <w:rsid w:val="0034577B"/>
    <w:rsid w:val="00345F51"/>
    <w:rsid w:val="003522FC"/>
    <w:rsid w:val="00360FC4"/>
    <w:rsid w:val="00375D87"/>
    <w:rsid w:val="003769DC"/>
    <w:rsid w:val="003773D7"/>
    <w:rsid w:val="00385BE9"/>
    <w:rsid w:val="003974EA"/>
    <w:rsid w:val="003A055B"/>
    <w:rsid w:val="003A3DAC"/>
    <w:rsid w:val="003B224E"/>
    <w:rsid w:val="003B6D66"/>
    <w:rsid w:val="003C272F"/>
    <w:rsid w:val="003D1CE6"/>
    <w:rsid w:val="003D52B7"/>
    <w:rsid w:val="003F4F0B"/>
    <w:rsid w:val="00404B57"/>
    <w:rsid w:val="00410FDA"/>
    <w:rsid w:val="004252D3"/>
    <w:rsid w:val="00425A4A"/>
    <w:rsid w:val="004310DA"/>
    <w:rsid w:val="004411E7"/>
    <w:rsid w:val="00451BD2"/>
    <w:rsid w:val="00453BC5"/>
    <w:rsid w:val="00455623"/>
    <w:rsid w:val="004606EA"/>
    <w:rsid w:val="004706A4"/>
    <w:rsid w:val="00483359"/>
    <w:rsid w:val="004A71F7"/>
    <w:rsid w:val="004A7D28"/>
    <w:rsid w:val="004B7399"/>
    <w:rsid w:val="004C4489"/>
    <w:rsid w:val="004C4C30"/>
    <w:rsid w:val="004C7CDA"/>
    <w:rsid w:val="004D2D28"/>
    <w:rsid w:val="004D6D00"/>
    <w:rsid w:val="004E1669"/>
    <w:rsid w:val="004E1EE4"/>
    <w:rsid w:val="004E449C"/>
    <w:rsid w:val="004E55DE"/>
    <w:rsid w:val="004F1D98"/>
    <w:rsid w:val="004F7076"/>
    <w:rsid w:val="005079E2"/>
    <w:rsid w:val="0051116B"/>
    <w:rsid w:val="005117AC"/>
    <w:rsid w:val="00512587"/>
    <w:rsid w:val="00517D1E"/>
    <w:rsid w:val="00520EFF"/>
    <w:rsid w:val="00523838"/>
    <w:rsid w:val="00524AF2"/>
    <w:rsid w:val="0052749B"/>
    <w:rsid w:val="00534563"/>
    <w:rsid w:val="005539C5"/>
    <w:rsid w:val="00560909"/>
    <w:rsid w:val="00570890"/>
    <w:rsid w:val="00572CB0"/>
    <w:rsid w:val="00583D6A"/>
    <w:rsid w:val="005A1B16"/>
    <w:rsid w:val="005A2019"/>
    <w:rsid w:val="005A3889"/>
    <w:rsid w:val="005A7C13"/>
    <w:rsid w:val="005A7CA4"/>
    <w:rsid w:val="005B5456"/>
    <w:rsid w:val="005C3719"/>
    <w:rsid w:val="005C70E4"/>
    <w:rsid w:val="005E6A66"/>
    <w:rsid w:val="005F5310"/>
    <w:rsid w:val="005F6783"/>
    <w:rsid w:val="00600DF5"/>
    <w:rsid w:val="006040BE"/>
    <w:rsid w:val="006043B5"/>
    <w:rsid w:val="00605BC3"/>
    <w:rsid w:val="00614378"/>
    <w:rsid w:val="00616DF2"/>
    <w:rsid w:val="00616E7C"/>
    <w:rsid w:val="006261CD"/>
    <w:rsid w:val="006264D5"/>
    <w:rsid w:val="00634D0F"/>
    <w:rsid w:val="0064668C"/>
    <w:rsid w:val="006723BD"/>
    <w:rsid w:val="00672D9D"/>
    <w:rsid w:val="006752FE"/>
    <w:rsid w:val="006778B2"/>
    <w:rsid w:val="00681A37"/>
    <w:rsid w:val="006831ED"/>
    <w:rsid w:val="00685285"/>
    <w:rsid w:val="00691AF4"/>
    <w:rsid w:val="006A3D8B"/>
    <w:rsid w:val="006A3F9C"/>
    <w:rsid w:val="006B5B26"/>
    <w:rsid w:val="006C397E"/>
    <w:rsid w:val="006E6297"/>
    <w:rsid w:val="00700177"/>
    <w:rsid w:val="00701AA1"/>
    <w:rsid w:val="00704C55"/>
    <w:rsid w:val="0071662B"/>
    <w:rsid w:val="0074102E"/>
    <w:rsid w:val="007431CD"/>
    <w:rsid w:val="0075244C"/>
    <w:rsid w:val="007538A8"/>
    <w:rsid w:val="00753BA1"/>
    <w:rsid w:val="00756669"/>
    <w:rsid w:val="00764111"/>
    <w:rsid w:val="00772B69"/>
    <w:rsid w:val="0078066C"/>
    <w:rsid w:val="00795086"/>
    <w:rsid w:val="007A41AF"/>
    <w:rsid w:val="007B0F87"/>
    <w:rsid w:val="007B23EE"/>
    <w:rsid w:val="007B4644"/>
    <w:rsid w:val="007B472F"/>
    <w:rsid w:val="007C625B"/>
    <w:rsid w:val="007D6580"/>
    <w:rsid w:val="007F31D0"/>
    <w:rsid w:val="007F68AF"/>
    <w:rsid w:val="00801785"/>
    <w:rsid w:val="00802D61"/>
    <w:rsid w:val="0081132D"/>
    <w:rsid w:val="00817A70"/>
    <w:rsid w:val="008257B2"/>
    <w:rsid w:val="00842AE1"/>
    <w:rsid w:val="008530C4"/>
    <w:rsid w:val="00854083"/>
    <w:rsid w:val="00857A16"/>
    <w:rsid w:val="0086139E"/>
    <w:rsid w:val="00861743"/>
    <w:rsid w:val="00873763"/>
    <w:rsid w:val="00873F59"/>
    <w:rsid w:val="00876486"/>
    <w:rsid w:val="00877BFE"/>
    <w:rsid w:val="00882E23"/>
    <w:rsid w:val="008853B5"/>
    <w:rsid w:val="00886110"/>
    <w:rsid w:val="008865F3"/>
    <w:rsid w:val="00887A73"/>
    <w:rsid w:val="008A174A"/>
    <w:rsid w:val="008A5780"/>
    <w:rsid w:val="008C12A4"/>
    <w:rsid w:val="008C1C4F"/>
    <w:rsid w:val="008C52D8"/>
    <w:rsid w:val="008C56D8"/>
    <w:rsid w:val="008D45A4"/>
    <w:rsid w:val="008D6EE9"/>
    <w:rsid w:val="008E04B5"/>
    <w:rsid w:val="008E0BD9"/>
    <w:rsid w:val="008E41EE"/>
    <w:rsid w:val="008E5B5B"/>
    <w:rsid w:val="008E5DCF"/>
    <w:rsid w:val="008E6833"/>
    <w:rsid w:val="008E6FE7"/>
    <w:rsid w:val="008F23C9"/>
    <w:rsid w:val="008F55A4"/>
    <w:rsid w:val="008F76BA"/>
    <w:rsid w:val="00902598"/>
    <w:rsid w:val="00903600"/>
    <w:rsid w:val="00906E1F"/>
    <w:rsid w:val="00916408"/>
    <w:rsid w:val="00925951"/>
    <w:rsid w:val="009325E9"/>
    <w:rsid w:val="009422E6"/>
    <w:rsid w:val="00951C3E"/>
    <w:rsid w:val="00953666"/>
    <w:rsid w:val="0098499F"/>
    <w:rsid w:val="0098569A"/>
    <w:rsid w:val="00996E09"/>
    <w:rsid w:val="009B0514"/>
    <w:rsid w:val="009B1B56"/>
    <w:rsid w:val="009B6001"/>
    <w:rsid w:val="009B620F"/>
    <w:rsid w:val="009C24C4"/>
    <w:rsid w:val="009C407D"/>
    <w:rsid w:val="009C436A"/>
    <w:rsid w:val="009E28ED"/>
    <w:rsid w:val="009F2E38"/>
    <w:rsid w:val="009F4C1D"/>
    <w:rsid w:val="009F605A"/>
    <w:rsid w:val="00A06778"/>
    <w:rsid w:val="00A13833"/>
    <w:rsid w:val="00A24E89"/>
    <w:rsid w:val="00A27268"/>
    <w:rsid w:val="00A3467C"/>
    <w:rsid w:val="00A37267"/>
    <w:rsid w:val="00A40D8C"/>
    <w:rsid w:val="00A43B7A"/>
    <w:rsid w:val="00A50C7C"/>
    <w:rsid w:val="00A50ED1"/>
    <w:rsid w:val="00A62E6C"/>
    <w:rsid w:val="00A70781"/>
    <w:rsid w:val="00A80B52"/>
    <w:rsid w:val="00A810B5"/>
    <w:rsid w:val="00A85269"/>
    <w:rsid w:val="00A936BA"/>
    <w:rsid w:val="00AA04E5"/>
    <w:rsid w:val="00AA3E9D"/>
    <w:rsid w:val="00AB01F1"/>
    <w:rsid w:val="00AB6410"/>
    <w:rsid w:val="00AC5FA9"/>
    <w:rsid w:val="00AD0FE0"/>
    <w:rsid w:val="00AD7D21"/>
    <w:rsid w:val="00AE000D"/>
    <w:rsid w:val="00B035B0"/>
    <w:rsid w:val="00B15326"/>
    <w:rsid w:val="00B31066"/>
    <w:rsid w:val="00B36B4E"/>
    <w:rsid w:val="00B37064"/>
    <w:rsid w:val="00B37CB2"/>
    <w:rsid w:val="00B43566"/>
    <w:rsid w:val="00B44A18"/>
    <w:rsid w:val="00B54AD5"/>
    <w:rsid w:val="00B60A7A"/>
    <w:rsid w:val="00B666F3"/>
    <w:rsid w:val="00B730B1"/>
    <w:rsid w:val="00B73391"/>
    <w:rsid w:val="00B762BD"/>
    <w:rsid w:val="00B77FEE"/>
    <w:rsid w:val="00B83B9B"/>
    <w:rsid w:val="00BB25E4"/>
    <w:rsid w:val="00BD07A0"/>
    <w:rsid w:val="00BD10B5"/>
    <w:rsid w:val="00BD1B31"/>
    <w:rsid w:val="00BD1D12"/>
    <w:rsid w:val="00BE06F7"/>
    <w:rsid w:val="00BE4AB5"/>
    <w:rsid w:val="00C05D55"/>
    <w:rsid w:val="00C07C74"/>
    <w:rsid w:val="00C107FB"/>
    <w:rsid w:val="00C10A94"/>
    <w:rsid w:val="00C11C14"/>
    <w:rsid w:val="00C16C3B"/>
    <w:rsid w:val="00C24AEB"/>
    <w:rsid w:val="00C26D73"/>
    <w:rsid w:val="00C472F9"/>
    <w:rsid w:val="00C5178B"/>
    <w:rsid w:val="00C544C9"/>
    <w:rsid w:val="00C63054"/>
    <w:rsid w:val="00C644F4"/>
    <w:rsid w:val="00C73D8A"/>
    <w:rsid w:val="00C80963"/>
    <w:rsid w:val="00C81C23"/>
    <w:rsid w:val="00C83232"/>
    <w:rsid w:val="00C92854"/>
    <w:rsid w:val="00C943A3"/>
    <w:rsid w:val="00C967C0"/>
    <w:rsid w:val="00C96801"/>
    <w:rsid w:val="00CA03BE"/>
    <w:rsid w:val="00CA0AA8"/>
    <w:rsid w:val="00CA0F26"/>
    <w:rsid w:val="00CA3C6F"/>
    <w:rsid w:val="00CB686E"/>
    <w:rsid w:val="00CD64BF"/>
    <w:rsid w:val="00CD7A73"/>
    <w:rsid w:val="00CF2A1F"/>
    <w:rsid w:val="00D04A8D"/>
    <w:rsid w:val="00D06018"/>
    <w:rsid w:val="00D16D62"/>
    <w:rsid w:val="00D27506"/>
    <w:rsid w:val="00D27D36"/>
    <w:rsid w:val="00D532D2"/>
    <w:rsid w:val="00D623E7"/>
    <w:rsid w:val="00D6629B"/>
    <w:rsid w:val="00D75728"/>
    <w:rsid w:val="00D834D4"/>
    <w:rsid w:val="00D84981"/>
    <w:rsid w:val="00D84E53"/>
    <w:rsid w:val="00DA171A"/>
    <w:rsid w:val="00DA39A2"/>
    <w:rsid w:val="00DA5405"/>
    <w:rsid w:val="00DA74B5"/>
    <w:rsid w:val="00DA7C84"/>
    <w:rsid w:val="00DB70CC"/>
    <w:rsid w:val="00DC02E0"/>
    <w:rsid w:val="00DC2456"/>
    <w:rsid w:val="00DC2F82"/>
    <w:rsid w:val="00DC6511"/>
    <w:rsid w:val="00DE2CC0"/>
    <w:rsid w:val="00DE588C"/>
    <w:rsid w:val="00DE717E"/>
    <w:rsid w:val="00DE7AEA"/>
    <w:rsid w:val="00DF0BCF"/>
    <w:rsid w:val="00DF2209"/>
    <w:rsid w:val="00DF57B1"/>
    <w:rsid w:val="00E020C6"/>
    <w:rsid w:val="00E02842"/>
    <w:rsid w:val="00E11155"/>
    <w:rsid w:val="00E12E96"/>
    <w:rsid w:val="00E24CCC"/>
    <w:rsid w:val="00E33185"/>
    <w:rsid w:val="00E34BF2"/>
    <w:rsid w:val="00E41F23"/>
    <w:rsid w:val="00E54196"/>
    <w:rsid w:val="00E90485"/>
    <w:rsid w:val="00E97605"/>
    <w:rsid w:val="00EA18AE"/>
    <w:rsid w:val="00EA4556"/>
    <w:rsid w:val="00EB096D"/>
    <w:rsid w:val="00EC5BA1"/>
    <w:rsid w:val="00ED78B1"/>
    <w:rsid w:val="00EE58CA"/>
    <w:rsid w:val="00EF0789"/>
    <w:rsid w:val="00EF3E55"/>
    <w:rsid w:val="00F21B3C"/>
    <w:rsid w:val="00F252FA"/>
    <w:rsid w:val="00F3273D"/>
    <w:rsid w:val="00F4096B"/>
    <w:rsid w:val="00F427FB"/>
    <w:rsid w:val="00F47D5F"/>
    <w:rsid w:val="00F65790"/>
    <w:rsid w:val="00F65F11"/>
    <w:rsid w:val="00F67B66"/>
    <w:rsid w:val="00F74183"/>
    <w:rsid w:val="00F872AF"/>
    <w:rsid w:val="00F903E6"/>
    <w:rsid w:val="00F9161D"/>
    <w:rsid w:val="00F953DC"/>
    <w:rsid w:val="00F95D8D"/>
    <w:rsid w:val="00F961AC"/>
    <w:rsid w:val="00FA50EC"/>
    <w:rsid w:val="00FC6011"/>
    <w:rsid w:val="00FC6D55"/>
    <w:rsid w:val="00FC6F94"/>
    <w:rsid w:val="00FD16FF"/>
    <w:rsid w:val="00FD4527"/>
    <w:rsid w:val="00FD5B95"/>
    <w:rsid w:val="00FE0E21"/>
    <w:rsid w:val="00FE5111"/>
    <w:rsid w:val="00FF62D6"/>
    <w:rsid w:val="0ED835E4"/>
    <w:rsid w:val="1F666957"/>
    <w:rsid w:val="2D3F0ECE"/>
    <w:rsid w:val="34C734AB"/>
    <w:rsid w:val="39670D0D"/>
    <w:rsid w:val="4C7E282B"/>
    <w:rsid w:val="53233374"/>
    <w:rsid w:val="5B926A19"/>
    <w:rsid w:val="6833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1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99" w:semiHidden="0" w:name="Light Shading Accent 5"/>
    <w:lsdException w:unhideWhenUsed="0" w:uiPriority="61" w:semiHidden="0" w:name="Light List Accent 5"/>
    <w:lsdException w:qFormat="1" w:unhideWhenUsed="0" w:uiPriority="99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9"/>
    <w:pPr>
      <w:keepNext/>
      <w:keepLines/>
      <w:spacing w:line="415" w:lineRule="auto"/>
      <w:jc w:val="center"/>
      <w:outlineLvl w:val="1"/>
    </w:pPr>
    <w:rPr>
      <w:rFonts w:ascii="微软雅黑" w:hAnsi="微软雅黑" w:eastAsia="微软雅黑"/>
      <w:b/>
      <w:bCs/>
      <w:color w:val="0070C0"/>
      <w:sz w:val="28"/>
      <w:szCs w:val="32"/>
    </w:rPr>
  </w:style>
  <w:style w:type="paragraph" w:styleId="3">
    <w:name w:val="heading 3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rPr>
      <w:rFonts w:ascii="Times New Roman" w:hAnsi="Times New Roman"/>
      <w:sz w:val="24"/>
      <w:szCs w:val="24"/>
    </w:rPr>
  </w:style>
  <w:style w:type="table" w:styleId="9">
    <w:name w:val="Table Grid"/>
    <w:basedOn w:val="8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">
    <w:name w:val="Light Shading Accent 5"/>
    <w:basedOn w:val="8"/>
    <w:qFormat/>
    <w:uiPriority w:val="99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1">
    <w:name w:val="Light Grid Accent 5"/>
    <w:basedOn w:val="8"/>
    <w:qFormat/>
    <w:uiPriority w:val="99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/>
      </w:pPr>
      <w:rPr>
        <w:rFonts w:ascii="Times New Roman" w:hAnsi="Times New Roman" w:eastAsia="宋体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/>
      </w:pPr>
      <w:rPr>
        <w:rFonts w:ascii="Times New Roman" w:hAnsi="Times New Roman" w:eastAsia="宋体"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ascii="Times New Roman" w:hAnsi="Times New Roman" w:eastAsia="宋体" w:cs="Times New Roman"/>
        <w:b/>
        <w:bCs/>
      </w:rPr>
    </w:tblStylePr>
    <w:tblStylePr w:type="lastCol">
      <w:rPr>
        <w:rFonts w:ascii="Times New Roman" w:hAnsi="Times New Roman" w:eastAsia="宋体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rPr>
        <w:rFonts w:cs="Times New Roman"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character" w:styleId="13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4">
    <w:name w:val="标题 2 字符"/>
    <w:link w:val="2"/>
    <w:qFormat/>
    <w:locked/>
    <w:uiPriority w:val="99"/>
    <w:rPr>
      <w:rFonts w:ascii="微软雅黑" w:hAnsi="微软雅黑" w:eastAsia="微软雅黑" w:cs="Times New Roman"/>
      <w:b/>
      <w:bCs/>
      <w:color w:val="0070C0"/>
      <w:sz w:val="32"/>
      <w:szCs w:val="32"/>
    </w:rPr>
  </w:style>
  <w:style w:type="character" w:customStyle="1" w:styleId="15">
    <w:name w:val="标题 3 字符"/>
    <w:link w:val="3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6">
    <w:name w:val="批注框文本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字符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字符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en_title"/>
    <w:qFormat/>
    <w:uiPriority w:val="99"/>
    <w:rPr>
      <w:rFonts w:cs="Times New Roman"/>
    </w:rPr>
  </w:style>
  <w:style w:type="character" w:customStyle="1" w:styleId="20">
    <w:name w:val="apple-converted-space"/>
    <w:qFormat/>
    <w:uiPriority w:val="99"/>
    <w:rPr>
      <w:rFonts w:cs="Times New Roman"/>
    </w:rPr>
  </w:style>
  <w:style w:type="paragraph" w:customStyle="1" w:styleId="21">
    <w:name w:val="List Paragraph1"/>
    <w:basedOn w:val="1"/>
    <w:qFormat/>
    <w:uiPriority w:val="99"/>
    <w:pPr>
      <w:ind w:firstLine="420" w:firstLineChars="200"/>
    </w:pPr>
  </w:style>
  <w:style w:type="table" w:customStyle="1" w:styleId="22">
    <w:name w:val="中等深浅列表 11"/>
    <w:qFormat/>
    <w:uiPriority w:val="99"/>
    <w:rPr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浅色底纹1"/>
    <w:qFormat/>
    <w:uiPriority w:val="99"/>
    <w:rPr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样式1"/>
    <w:basedOn w:val="6"/>
    <w:qFormat/>
    <w:uiPriority w:val="99"/>
    <w:pPr>
      <w:pBdr>
        <w:bottom w:val="none" w:color="auto" w:sz="0" w:space="0"/>
      </w:pBdr>
      <w:jc w:val="both"/>
    </w:pPr>
  </w:style>
  <w:style w:type="paragraph" w:customStyle="1" w:styleId="25">
    <w:name w:val="first_tit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27">
    <w:name w:val="cn_title"/>
    <w:qFormat/>
    <w:uiPriority w:val="99"/>
    <w:rPr>
      <w:rFonts w:cs="Times New Roman"/>
    </w:rPr>
  </w:style>
  <w:style w:type="paragraph" w:styleId="2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1829</Words>
  <Characters>473</Characters>
  <Lines>3</Lines>
  <Paragraphs>4</Paragraphs>
  <TotalTime>45</TotalTime>
  <ScaleCrop>false</ScaleCrop>
  <LinksUpToDate>false</LinksUpToDate>
  <CharactersWithSpaces>2298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2018-12-10T00:59:00Z</dcterms:created>
  <dc:creator>Jack</dc:creator>
  <cp:lastModifiedBy>格桑。</cp:lastModifiedBy>
  <cp:lastPrinted>2019-06-18T06:13:00Z</cp:lastPrinted>
  <dcterms:modified xsi:type="dcterms:W3CDTF">2020-08-12T03:26:04Z</dcterms:modified>
  <dc:title>企业十类高发劳动争议预防及解决策略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