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宋体" w:hAnsi="宋体" w:cs="宋体"/>
          <w:b/>
          <w:bCs/>
          <w:color w:val="FF0000"/>
          <w:sz w:val="32"/>
          <w:szCs w:val="32"/>
          <w:lang w:val="en-US" w:eastAsia="zh-CN"/>
        </w:rPr>
      </w:pPr>
      <w:r>
        <w:rPr>
          <w:rStyle w:val="13"/>
          <w:rFonts w:hint="eastAsia"/>
          <w:b/>
          <w:sz w:val="44"/>
          <w:szCs w:val="44"/>
          <w:lang w:val="en-US" w:eastAsia="zh-CN"/>
        </w:rPr>
        <w:t>OD组织发展与解决方案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val="en-US" w:eastAsia="zh-CN"/>
        </w:rPr>
        <w:t xml:space="preserve"> </w:t>
      </w:r>
    </w:p>
    <w:p>
      <w:pPr>
        <w:pStyle w:val="3"/>
        <w:bidi w:val="0"/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——解析IBM、微软、亚马逊、GE等世界著名企业案例</w:t>
      </w:r>
    </w:p>
    <w:tbl>
      <w:tblPr>
        <w:tblStyle w:val="7"/>
        <w:tblpPr w:leftFromText="180" w:rightFromText="180" w:vertAnchor="text" w:horzAnchor="page" w:tblpX="1916" w:tblpY="499"/>
        <w:tblOverlap w:val="never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997"/>
        <w:gridCol w:w="1799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01" w:type="dxa"/>
            <w:noWrap w:val="0"/>
            <w:vAlign w:val="top"/>
          </w:tcPr>
          <w:p>
            <w:pPr>
              <w:pStyle w:val="2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 xml:space="preserve">  3月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pStyle w:val="2"/>
              <w:ind w:firstLine="696" w:firstLineChars="30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2"/>
              <w:ind w:left="0" w:leftChars="0" w:firstLine="464" w:firstLineChars="20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7月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ind w:firstLine="464" w:firstLineChars="20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9月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ind w:firstLine="232" w:firstLineChars="10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0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18-19日上海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pStyle w:val="2"/>
              <w:ind w:left="0" w:leftChars="0" w:firstLine="232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  <w:t>29-30日深圳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  <w:t>15-16日北京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  <w:t>9-10日上海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  <w:t>23-24日深圳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997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pacing w:val="-4"/>
                <w:sz w:val="24"/>
                <w:szCs w:val="24"/>
                <w:vertAlign w:val="baseline"/>
                <w:lang w:eastAsia="zh-CN"/>
              </w:rPr>
              <w:t>培训对象：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中高管、HR及HRBP、HRCOE、HRSSC。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FF0000"/>
                <w:spacing w:val="-4"/>
                <w:sz w:val="24"/>
                <w:szCs w:val="24"/>
                <w:vertAlign w:val="baseline"/>
                <w:lang w:val="en-US" w:eastAsia="zh-CN"/>
              </w:rPr>
              <w:t>线下面授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eastAsia="zh-CN"/>
              </w:rPr>
              <w:t>培训费用：</w:t>
            </w:r>
            <w:r>
              <w:rPr>
                <w:rFonts w:hint="eastAsia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4980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元/人（包含培训费，税费，茶歇，证书）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997" w:type="dxa"/>
            <w:gridSpan w:val="5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备注： 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此课程可报名线上录播课程：499元/人（学习期限1年，支持PC/移动端学习）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left"/>
              <w:rPr>
                <w:rFonts w:hint="default" w:cs="微软雅黑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cs="微软雅黑"/>
                <w:b/>
                <w:bCs/>
                <w:color w:val="000000"/>
                <w:sz w:val="24"/>
                <w:szCs w:val="24"/>
                <w:lang w:val="en-US" w:eastAsia="zh-CN"/>
              </w:rPr>
              <w:t>《OD组织发展与创新技能》《创新——六步搞定平衡计分卡》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left"/>
              <w:rPr>
                <w:rFonts w:hint="default" w:cs="微软雅黑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cs="微软雅黑"/>
                <w:b/>
                <w:bCs/>
                <w:color w:val="000000"/>
                <w:sz w:val="24"/>
                <w:szCs w:val="24"/>
                <w:lang w:val="en-US" w:eastAsia="zh-CN"/>
              </w:rPr>
              <w:t>《向世界500强学HR三支柱》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本课程可提供定制内训上门培训服务，价格另议。</w:t>
            </w:r>
          </w:p>
        </w:tc>
      </w:tr>
    </w:tbl>
    <w:p>
      <w:pPr>
        <w:spacing w:line="500" w:lineRule="exact"/>
        <w:rPr>
          <w:rFonts w:ascii="微软雅黑" w:hAnsi="微软雅黑" w:eastAsia="微软雅黑"/>
          <w:b/>
          <w:color w:val="353535"/>
          <w:sz w:val="48"/>
          <w:szCs w:val="48"/>
        </w:rPr>
      </w:pPr>
      <w:bookmarkStart w:id="4" w:name="_GoBack"/>
      <w:bookmarkEnd w:id="4"/>
    </w:p>
    <w:p>
      <w:pPr>
        <w:pStyle w:val="10"/>
        <w:numPr>
          <w:ilvl w:val="0"/>
          <w:numId w:val="2"/>
        </w:numPr>
        <w:spacing w:line="500" w:lineRule="exact"/>
        <w:ind w:firstLineChars="0"/>
        <w:rPr>
          <w:rFonts w:ascii="微软雅黑" w:hAnsi="微软雅黑" w:eastAsia="微软雅黑"/>
          <w:b/>
          <w:color w:val="0070C0"/>
          <w:sz w:val="24"/>
        </w:rPr>
      </w:pPr>
      <w:r>
        <w:rPr>
          <w:rFonts w:hint="eastAsia" w:ascii="微软雅黑" w:hAnsi="微软雅黑" w:eastAsia="微软雅黑"/>
          <w:b/>
          <w:color w:val="0070C0"/>
          <w:sz w:val="24"/>
        </w:rPr>
        <w:t>课程背景</w:t>
      </w:r>
    </w:p>
    <w:p>
      <w:pPr>
        <w:spacing w:line="500" w:lineRule="exact"/>
        <w:ind w:left="420" w:hanging="420" w:hangingChars="20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</w:t>
      </w:r>
      <w:r>
        <w:rPr>
          <w:rFonts w:ascii="微软雅黑" w:hAnsi="微软雅黑" w:eastAsia="微软雅黑"/>
          <w:bCs/>
          <w:szCs w:val="21"/>
        </w:rPr>
        <w:t>.</w:t>
      </w:r>
      <w:r>
        <w:rPr>
          <w:rFonts w:hint="eastAsia" w:ascii="微软雅黑" w:hAnsi="微软雅黑" w:eastAsia="微软雅黑"/>
          <w:bCs/>
          <w:szCs w:val="21"/>
        </w:rPr>
        <w:t>“O</w:t>
      </w:r>
      <w:r>
        <w:rPr>
          <w:rFonts w:ascii="微软雅黑" w:hAnsi="微软雅黑" w:eastAsia="微软雅黑"/>
          <w:bCs/>
          <w:szCs w:val="21"/>
        </w:rPr>
        <w:t>D</w:t>
      </w:r>
      <w:r>
        <w:rPr>
          <w:rFonts w:hint="eastAsia" w:ascii="微软雅黑" w:hAnsi="微软雅黑" w:eastAsia="微软雅黑"/>
          <w:bCs/>
          <w:szCs w:val="21"/>
        </w:rPr>
        <w:t>桥”——当企业的使命、愿景、战略确定后，需要搭建桥（组织发展）让人才与企业战略目标对接，通过人才去实现企业使命和目标，O</w:t>
      </w:r>
      <w:r>
        <w:rPr>
          <w:rFonts w:ascii="微软雅黑" w:hAnsi="微软雅黑" w:eastAsia="微软雅黑"/>
          <w:bCs/>
          <w:szCs w:val="21"/>
        </w:rPr>
        <w:t>D</w:t>
      </w:r>
      <w:r>
        <w:rPr>
          <w:rFonts w:hint="eastAsia" w:ascii="微软雅黑" w:hAnsi="微软雅黑" w:eastAsia="微软雅黑"/>
          <w:bCs/>
          <w:szCs w:val="21"/>
        </w:rPr>
        <w:t>的建设为实施T</w:t>
      </w:r>
      <w:r>
        <w:rPr>
          <w:rFonts w:ascii="微软雅黑" w:hAnsi="微软雅黑" w:eastAsia="微软雅黑"/>
          <w:bCs/>
          <w:szCs w:val="21"/>
        </w:rPr>
        <w:t>D</w:t>
      </w:r>
      <w:r>
        <w:rPr>
          <w:rFonts w:hint="eastAsia" w:ascii="微软雅黑" w:hAnsi="微软雅黑" w:eastAsia="微软雅黑"/>
          <w:bCs/>
          <w:szCs w:val="21"/>
        </w:rPr>
        <w:t>、</w:t>
      </w:r>
      <w:r>
        <w:rPr>
          <w:rFonts w:ascii="微软雅黑" w:hAnsi="微软雅黑" w:eastAsia="微软雅黑"/>
          <w:bCs/>
          <w:szCs w:val="21"/>
        </w:rPr>
        <w:t>LD</w:t>
      </w:r>
      <w:r>
        <w:rPr>
          <w:rFonts w:hint="eastAsia" w:ascii="微软雅黑" w:hAnsi="微软雅黑" w:eastAsia="微软雅黑"/>
          <w:bCs/>
          <w:szCs w:val="21"/>
        </w:rPr>
        <w:t>提供基础保障。</w:t>
      </w:r>
    </w:p>
    <w:p>
      <w:pPr>
        <w:spacing w:line="500" w:lineRule="exact"/>
        <w:ind w:left="420" w:hanging="420" w:hangingChars="20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2</w:t>
      </w:r>
      <w:r>
        <w:rPr>
          <w:rFonts w:ascii="微软雅黑" w:hAnsi="微软雅黑" w:eastAsia="微软雅黑"/>
          <w:bCs/>
          <w:szCs w:val="21"/>
        </w:rPr>
        <w:t>.</w:t>
      </w:r>
      <w:r>
        <w:rPr>
          <w:rFonts w:hint="eastAsia" w:ascii="微软雅黑" w:hAnsi="微软雅黑" w:eastAsia="微软雅黑"/>
          <w:bCs/>
          <w:szCs w:val="21"/>
        </w:rPr>
        <w:t>组织发展没有做好，即使企业有正确的战略，有最优秀的人才，也很难实现战略目标。</w:t>
      </w:r>
    </w:p>
    <w:p>
      <w:pPr>
        <w:spacing w:line="500" w:lineRule="exact"/>
        <w:rPr>
          <w:rFonts w:ascii="微软雅黑" w:hAnsi="微软雅黑" w:eastAsia="微软雅黑"/>
          <w:b/>
          <w:color w:val="0070C0"/>
          <w:sz w:val="24"/>
        </w:rPr>
      </w:pPr>
      <w:bookmarkStart w:id="0" w:name="_Hlk56868158"/>
      <w:r>
        <w:rPr>
          <w:rFonts w:hint="eastAsia" w:ascii="微软雅黑" w:hAnsi="微软雅黑" w:eastAsia="微软雅黑"/>
          <w:b/>
          <w:color w:val="0070C0"/>
          <w:sz w:val="24"/>
        </w:rPr>
        <w:t>二、学习收获</w:t>
      </w:r>
    </w:p>
    <w:bookmarkEnd w:id="0"/>
    <w:p>
      <w:pPr>
        <w:pStyle w:val="10"/>
        <w:numPr>
          <w:ilvl w:val="0"/>
          <w:numId w:val="3"/>
        </w:numPr>
        <w:spacing w:line="500" w:lineRule="exact"/>
        <w:ind w:firstLineChars="0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拨开迷雾——正确了解OD的使命与职责；</w:t>
      </w:r>
    </w:p>
    <w:p>
      <w:pPr>
        <w:pStyle w:val="10"/>
        <w:numPr>
          <w:ilvl w:val="0"/>
          <w:numId w:val="3"/>
        </w:numPr>
        <w:spacing w:line="500" w:lineRule="exact"/>
        <w:ind w:firstLineChars="0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/>
          <w:szCs w:val="21"/>
        </w:rPr>
        <w:t>组织有方——了解亚马逊的组织诊断的流程和形式；</w:t>
      </w:r>
    </w:p>
    <w:p>
      <w:pPr>
        <w:pStyle w:val="10"/>
        <w:numPr>
          <w:ilvl w:val="0"/>
          <w:numId w:val="3"/>
        </w:numPr>
        <w:spacing w:line="500" w:lineRule="exact"/>
        <w:ind w:firstLineChars="0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望闻问切——掌握OD的组织诊断技术，基于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韦斯伯德的六盒模型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对组织进行全方位诊断；</w:t>
      </w:r>
    </w:p>
    <w:p>
      <w:pPr>
        <w:pStyle w:val="10"/>
        <w:numPr>
          <w:ilvl w:val="0"/>
          <w:numId w:val="3"/>
        </w:numPr>
        <w:spacing w:line="500" w:lineRule="exact"/>
        <w:ind w:firstLineChars="0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良药妙方——组织诊断后，著名企业的组织发展案例；基于诊断结果的问题解决方案；</w:t>
      </w:r>
    </w:p>
    <w:p>
      <w:pPr>
        <w:spacing w:line="500" w:lineRule="exact"/>
        <w:rPr>
          <w:rFonts w:ascii="微软雅黑" w:hAnsi="微软雅黑" w:eastAsia="微软雅黑"/>
          <w:b/>
          <w:color w:val="0070C0"/>
          <w:sz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lang w:eastAsia="zh-CN"/>
        </w:rPr>
        <w:t>三</w:t>
      </w:r>
      <w:r>
        <w:rPr>
          <w:rFonts w:hint="eastAsia" w:ascii="微软雅黑" w:hAnsi="微软雅黑" w:eastAsia="微软雅黑"/>
          <w:b/>
          <w:color w:val="0070C0"/>
          <w:sz w:val="24"/>
        </w:rPr>
        <w:t>、培训课时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二天。</w:t>
      </w:r>
    </w:p>
    <w:p>
      <w:pPr>
        <w:spacing w:line="500" w:lineRule="exact"/>
        <w:rPr>
          <w:rFonts w:ascii="微软雅黑" w:hAnsi="微软雅黑" w:eastAsia="微软雅黑"/>
          <w:b/>
          <w:color w:val="0070C0"/>
          <w:sz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lang w:eastAsia="zh-CN"/>
        </w:rPr>
        <w:t>四</w:t>
      </w:r>
      <w:r>
        <w:rPr>
          <w:rFonts w:hint="eastAsia" w:ascii="微软雅黑" w:hAnsi="微软雅黑" w:eastAsia="微软雅黑"/>
          <w:b/>
          <w:color w:val="0070C0"/>
          <w:sz w:val="24"/>
        </w:rPr>
        <w:t>、</w:t>
      </w:r>
      <w:r>
        <w:rPr>
          <w:rFonts w:hint="eastAsia" w:ascii="微软雅黑" w:hAnsi="微软雅黑" w:eastAsia="微软雅黑" w:cs="Arial"/>
          <w:b/>
          <w:color w:val="0070C0"/>
          <w:sz w:val="24"/>
        </w:rPr>
        <w:t>授课特色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授课方式——内容讲授、案例分享、分组讨论、独立思考、角色扮演、情景模拟、游戏、故事启发、主要技能练习等。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时间结构——内容讲授4</w:t>
      </w:r>
      <w:r>
        <w:rPr>
          <w:rFonts w:ascii="微软雅黑" w:hAnsi="微软雅黑" w:eastAsia="微软雅黑"/>
          <w:szCs w:val="21"/>
        </w:rPr>
        <w:t>0</w:t>
      </w:r>
      <w:r>
        <w:rPr>
          <w:rFonts w:hint="eastAsia" w:ascii="微软雅黑" w:hAnsi="微软雅黑" w:eastAsia="微软雅黑"/>
          <w:szCs w:val="21"/>
        </w:rPr>
        <w:t>%，案例讲解3</w:t>
      </w:r>
      <w:r>
        <w:rPr>
          <w:rFonts w:ascii="微软雅黑" w:hAnsi="微软雅黑" w:eastAsia="微软雅黑"/>
          <w:szCs w:val="21"/>
        </w:rPr>
        <w:t>0</w:t>
      </w:r>
      <w:r>
        <w:rPr>
          <w:rFonts w:hint="eastAsia" w:ascii="微软雅黑" w:hAnsi="微软雅黑" w:eastAsia="微软雅黑"/>
          <w:szCs w:val="21"/>
        </w:rPr>
        <w:t>%，研讨与演练3</w:t>
      </w:r>
      <w:r>
        <w:rPr>
          <w:rFonts w:ascii="微软雅黑" w:hAnsi="微软雅黑" w:eastAsia="微软雅黑"/>
          <w:szCs w:val="21"/>
        </w:rPr>
        <w:t>0</w:t>
      </w:r>
      <w:r>
        <w:rPr>
          <w:rFonts w:hint="eastAsia" w:ascii="微软雅黑" w:hAnsi="微软雅黑" w:eastAsia="微软雅黑"/>
          <w:szCs w:val="21"/>
        </w:rPr>
        <w:t>%。</w:t>
      </w:r>
    </w:p>
    <w:p>
      <w:pPr>
        <w:spacing w:line="500" w:lineRule="exact"/>
        <w:rPr>
          <w:rFonts w:ascii="微软雅黑" w:hAnsi="微软雅黑" w:eastAsia="微软雅黑"/>
          <w:b/>
          <w:color w:val="0070C0"/>
          <w:sz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lang w:eastAsia="zh-CN"/>
        </w:rPr>
        <w:t>五</w:t>
      </w:r>
      <w:r>
        <w:rPr>
          <w:rFonts w:hint="eastAsia" w:ascii="微软雅黑" w:hAnsi="微软雅黑" w:eastAsia="微软雅黑"/>
          <w:b/>
          <w:color w:val="0070C0"/>
          <w:sz w:val="24"/>
        </w:rPr>
        <w:t>、课程大纲</w:t>
      </w:r>
    </w:p>
    <w:p>
      <w:pPr>
        <w:spacing w:line="500" w:lineRule="exact"/>
        <w:ind w:left="72"/>
        <w:rPr>
          <w:rFonts w:ascii="微软雅黑" w:hAnsi="微软雅黑" w:eastAsia="微软雅黑" w:cs="Arial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</w:rPr>
        <w:t>第一讲、拨开迷雾——还OD本来面目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企业使命/发展战略与OD的功能、目的与作用。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OD岗位的七大职责。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OD与HRCOE、HRBP、HRSSC的关系。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OD对人力资源管理各模块的影响。</w:t>
      </w:r>
    </w:p>
    <w:p>
      <w:pPr>
        <w:pStyle w:val="10"/>
        <w:spacing w:line="500" w:lineRule="exact"/>
        <w:ind w:left="72" w:firstLine="0" w:firstLineChars="0"/>
        <w:rPr>
          <w:rFonts w:ascii="微软雅黑" w:hAnsi="微软雅黑" w:eastAsia="微软雅黑" w:cs="Arial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Cs w:val="21"/>
        </w:rPr>
        <w:t>案例：IBM的组织管理变革</w:t>
      </w:r>
    </w:p>
    <w:p>
      <w:pPr>
        <w:spacing w:line="500" w:lineRule="exac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第二讲、望闻问切——亚马逊组织诊断案例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1.诊断人员选择。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2.角色设置与每个角色的责任——主持人、观察员、专家团、组织者。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3.PPT式的诊断范围展示。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4.组织形式：成员分组、轮流发言、结果反馈、小组评比、学员DIY、奖励机制、学员虚拟币。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5.复盘：重要问题回顾，总结关键结果。</w:t>
      </w:r>
    </w:p>
    <w:p>
      <w:pPr>
        <w:spacing w:line="500" w:lineRule="exact"/>
        <w:ind w:left="72"/>
        <w:rPr>
          <w:rFonts w:ascii="微软雅黑" w:hAnsi="微软雅黑" w:eastAsia="微软雅黑" w:cs="Arial"/>
          <w:b/>
          <w:kern w:val="0"/>
          <w:sz w:val="24"/>
        </w:rPr>
      </w:pPr>
      <w:r>
        <w:rPr>
          <w:rFonts w:hint="eastAsia" w:ascii="微软雅黑" w:hAnsi="微软雅黑" w:eastAsia="微软雅黑" w:cs="Arial"/>
          <w:b/>
          <w:kern w:val="0"/>
          <w:sz w:val="24"/>
        </w:rPr>
        <w:t>第三讲、六个盒子——组织诊断技术与解决方案</w:t>
      </w:r>
    </w:p>
    <w:p>
      <w:pPr>
        <w:spacing w:line="500" w:lineRule="exact"/>
        <w:rPr>
          <w:rFonts w:ascii="微软雅黑" w:hAnsi="微软雅黑" w:eastAsia="微软雅黑"/>
          <w:b/>
          <w:color w:val="0066FF"/>
          <w:sz w:val="24"/>
        </w:rPr>
      </w:pPr>
      <w:r>
        <w:rPr>
          <w:rFonts w:hint="eastAsia" w:ascii="微软雅黑" w:hAnsi="微软雅黑" w:eastAsia="微软雅黑"/>
          <w:b/>
          <w:color w:val="0066FF"/>
          <w:sz w:val="24"/>
        </w:rPr>
        <w:t>诊断三部曲：先告诉你正确的做法，然后教你怎么诊断，最后指导你设计正确的解决方案</w:t>
      </w:r>
    </w:p>
    <w:p>
      <w:pPr>
        <w:spacing w:line="500" w:lineRule="exac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第一个盒子：企业使命/战略目标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bookmarkStart w:id="1" w:name="_Hlk29291069"/>
      <w:r>
        <w:rPr>
          <w:rFonts w:hint="eastAsia" w:ascii="微软雅黑" w:hAnsi="微软雅黑" w:eastAsia="微软雅黑"/>
          <w:szCs w:val="21"/>
        </w:rPr>
        <w:t>一、企业使命/愿景诊断与纠偏</w:t>
      </w:r>
    </w:p>
    <w:p>
      <w:pPr>
        <w:numPr>
          <w:ilvl w:val="0"/>
          <w:numId w:val="5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企业的使命诊断——为客户生存还是为</w:t>
      </w:r>
      <w:r>
        <w:rPr>
          <w:rFonts w:hint="eastAsia" w:ascii="微软雅黑" w:hAnsi="微软雅黑" w:eastAsia="微软雅黑"/>
          <w:szCs w:val="21"/>
        </w:rPr>
        <w:t>了自己而存在？</w:t>
      </w:r>
    </w:p>
    <w:p>
      <w:pPr>
        <w:numPr>
          <w:ilvl w:val="0"/>
          <w:numId w:val="5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企业愿景诊断——愿景与使命、环境的匹配；</w:t>
      </w:r>
    </w:p>
    <w:p>
      <w:pPr>
        <w:numPr>
          <w:ilvl w:val="0"/>
          <w:numId w:val="5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实现使命与愿景的驱动因素诊断</w:t>
      </w:r>
      <w:r>
        <w:rPr>
          <w:rFonts w:hint="eastAsia" w:ascii="微软雅黑" w:hAnsi="微软雅黑" w:eastAsia="微软雅黑"/>
          <w:szCs w:val="21"/>
        </w:rPr>
        <w:t>——区别终极核心竞争力与阶段核心竞争力</w:t>
      </w:r>
      <w:r>
        <w:rPr>
          <w:rFonts w:ascii="微软雅黑" w:hAnsi="微软雅黑" w:eastAsia="微软雅黑"/>
          <w:szCs w:val="21"/>
        </w:rPr>
        <w:t>；</w:t>
      </w:r>
    </w:p>
    <w:p>
      <w:pPr>
        <w:spacing w:line="5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演练：对照与分析本企业的使命与愿景是否正确，如何调整？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二、战略目标与分解诊断与完善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.结合经验与现状，找出实现使命</w:t>
      </w:r>
      <w:r>
        <w:rPr>
          <w:rFonts w:hint="eastAsia" w:ascii="微软雅黑" w:hAnsi="微软雅黑" w:eastAsia="微软雅黑"/>
          <w:szCs w:val="21"/>
        </w:rPr>
        <w:t>/</w:t>
      </w:r>
      <w:r>
        <w:rPr>
          <w:rFonts w:ascii="微软雅黑" w:hAnsi="微软雅黑" w:eastAsia="微软雅黑"/>
          <w:szCs w:val="21"/>
        </w:rPr>
        <w:t>愿景的成功关键因素；</w:t>
      </w: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bCs/>
          <w:szCs w:val="21"/>
        </w:rPr>
        <w:t xml:space="preserve"> 成功关键因素分解至四个维度（财务、客户、内部流程、学习与成长），形成公司战略地图；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ascii="微软雅黑" w:hAnsi="微软雅黑" w:eastAsia="微软雅黑"/>
          <w:szCs w:val="21"/>
        </w:rPr>
        <w:t>.战略地图的</w:t>
      </w:r>
      <w:r>
        <w:rPr>
          <w:rFonts w:hint="eastAsia" w:ascii="微软雅黑" w:hAnsi="微软雅黑" w:eastAsia="微软雅黑"/>
          <w:szCs w:val="21"/>
        </w:rPr>
        <w:t>因果关系</w:t>
      </w:r>
      <w:r>
        <w:rPr>
          <w:rFonts w:ascii="微软雅黑" w:hAnsi="微软雅黑" w:eastAsia="微软雅黑"/>
          <w:szCs w:val="21"/>
        </w:rPr>
        <w:t>分析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按B</w:t>
      </w:r>
      <w:r>
        <w:rPr>
          <w:rFonts w:ascii="微软雅黑" w:hAnsi="微软雅黑" w:eastAsia="微软雅黑"/>
          <w:szCs w:val="21"/>
        </w:rPr>
        <w:t>SC</w:t>
      </w:r>
      <w:r>
        <w:rPr>
          <w:rFonts w:hint="eastAsia" w:ascii="微软雅黑" w:hAnsi="微软雅黑" w:eastAsia="微软雅黑"/>
          <w:szCs w:val="21"/>
        </w:rPr>
        <w:t>形成公司及绩效目标/指标；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一级部门、二级部门、岗位绩效目标/指标；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衡量标准与KPI。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案例：G</w:t>
      </w:r>
      <w:r>
        <w:rPr>
          <w:rFonts w:ascii="微软雅黑" w:hAnsi="微软雅黑" w:eastAsia="微软雅黑"/>
          <w:b/>
          <w:szCs w:val="21"/>
        </w:rPr>
        <w:t>E</w:t>
      </w:r>
      <w:r>
        <w:rPr>
          <w:rFonts w:hint="eastAsia" w:ascii="微软雅黑" w:hAnsi="微软雅黑" w:eastAsia="微软雅黑"/>
          <w:b/>
          <w:szCs w:val="21"/>
        </w:rPr>
        <w:t>、小米的使命与战略目标诊断</w:t>
      </w:r>
    </w:p>
    <w:p>
      <w:pPr>
        <w:spacing w:line="5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演练：本企业战略目标分解诊断与纠偏。</w:t>
      </w:r>
    </w:p>
    <w:bookmarkEnd w:id="1"/>
    <w:p>
      <w:pPr>
        <w:spacing w:line="500" w:lineRule="exact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第二个盒子：组织能力/组织设计</w:t>
      </w:r>
    </w:p>
    <w:p>
      <w:p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bookmarkStart w:id="2" w:name="_Hlk29291133"/>
      <w:r>
        <w:rPr>
          <w:rFonts w:hint="eastAsia" w:ascii="微软雅黑" w:hAnsi="微软雅黑" w:eastAsia="微软雅黑" w:cs="Arial"/>
          <w:kern w:val="0"/>
          <w:szCs w:val="21"/>
        </w:rPr>
        <w:t>一、组织架构诊断与设计</w:t>
      </w:r>
    </w:p>
    <w:p>
      <w:p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（一）组织特征和组织设计类型</w:t>
      </w:r>
    </w:p>
    <w:p>
      <w:pPr>
        <w:pStyle w:val="10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战略转型对组织变革的影响</w:t>
      </w:r>
    </w:p>
    <w:p>
      <w:pPr>
        <w:pStyle w:val="10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组织的四大特征</w:t>
      </w:r>
    </w:p>
    <w:p>
      <w:pPr>
        <w:pStyle w:val="10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企业组织设计三种类型的主要内容：组织结构优化和设计、法人治理结构设计、集团管控模式设计</w:t>
      </w:r>
    </w:p>
    <w:p>
      <w:pPr>
        <w:pStyle w:val="10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集团管控模式的组成与选择策略，混合型管控模式的现在设计方法。</w:t>
      </w:r>
    </w:p>
    <w:p>
      <w:pPr>
        <w:spacing w:line="500" w:lineRule="exact"/>
        <w:rPr>
          <w:rFonts w:ascii="微软雅黑" w:hAnsi="微软雅黑" w:eastAsia="微软雅黑" w:cs="Arial"/>
          <w:b/>
          <w:szCs w:val="21"/>
        </w:rPr>
      </w:pPr>
      <w:r>
        <w:rPr>
          <w:rFonts w:hint="eastAsia" w:ascii="微软雅黑" w:hAnsi="微软雅黑" w:eastAsia="微软雅黑" w:cs="Arial"/>
          <w:b/>
          <w:szCs w:val="21"/>
        </w:rPr>
        <w:t>钟教授的咨询案例——某集团管控模式设计案例分析</w:t>
      </w:r>
    </w:p>
    <w:p>
      <w:pPr>
        <w:spacing w:line="500" w:lineRule="exact"/>
        <w:ind w:left="72"/>
        <w:rPr>
          <w:rFonts w:hint="eastAsia"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（二）组织结构设计</w:t>
      </w:r>
    </w:p>
    <w:p>
      <w:pPr>
        <w:numPr>
          <w:ilvl w:val="0"/>
          <w:numId w:val="7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组织设计调研诊断的四个方法：资料分析、内部访谈、员工座谈、中高层研讨</w:t>
      </w:r>
    </w:p>
    <w:p>
      <w:pPr>
        <w:numPr>
          <w:ilvl w:val="0"/>
          <w:numId w:val="7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组织效能：心态、工具、角色、流程诊断方法和诊断内容</w:t>
      </w:r>
    </w:p>
    <w:p>
      <w:pPr>
        <w:numPr>
          <w:ilvl w:val="0"/>
          <w:numId w:val="7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bookmarkStart w:id="3" w:name="_Hlk56849059"/>
      <w:r>
        <w:rPr>
          <w:rFonts w:hint="eastAsia" w:ascii="微软雅黑" w:hAnsi="微软雅黑" w:eastAsia="微软雅黑" w:cs="Arial"/>
          <w:kern w:val="0"/>
          <w:szCs w:val="21"/>
        </w:rPr>
        <w:t>集团管控模式的组成与选择策略</w:t>
      </w:r>
    </w:p>
    <w:bookmarkEnd w:id="3"/>
    <w:p>
      <w:pPr>
        <w:numPr>
          <w:ilvl w:val="0"/>
          <w:numId w:val="7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组织结构的六种形式介绍：职能型结构、事业部结构、区域型结构、横向型结构、矩阵型结构、混合型结构</w:t>
      </w:r>
    </w:p>
    <w:p>
      <w:pPr>
        <w:numPr>
          <w:ilvl w:val="0"/>
          <w:numId w:val="7"/>
        </w:numPr>
        <w:spacing w:line="500" w:lineRule="exact"/>
        <w:rPr>
          <w:rFonts w:hint="eastAsia"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影响组织结构设计的四大因素：战略、环境、企业生命周期、工作流的技术特征</w:t>
      </w:r>
    </w:p>
    <w:p>
      <w:pPr>
        <w:numPr>
          <w:ilvl w:val="0"/>
          <w:numId w:val="7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部门职能设置分析方法和工具：行业分析、技术分析、环境分析</w:t>
      </w:r>
    </w:p>
    <w:p>
      <w:pPr>
        <w:numPr>
          <w:ilvl w:val="0"/>
          <w:numId w:val="7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部门职能分解方法和工具</w:t>
      </w:r>
    </w:p>
    <w:p>
      <w:pPr>
        <w:spacing w:line="500" w:lineRule="exact"/>
        <w:rPr>
          <w:rFonts w:ascii="微软雅黑" w:hAnsi="微软雅黑" w:eastAsia="微软雅黑" w:cs="Arial"/>
          <w:b/>
          <w:szCs w:val="21"/>
        </w:rPr>
      </w:pPr>
      <w:r>
        <w:rPr>
          <w:rFonts w:hint="eastAsia" w:ascii="微软雅黑" w:hAnsi="微软雅黑" w:eastAsia="微软雅黑" w:cs="Arial"/>
          <w:b/>
          <w:szCs w:val="21"/>
        </w:rPr>
        <w:t>案例：I</w:t>
      </w:r>
      <w:r>
        <w:rPr>
          <w:rFonts w:ascii="微软雅黑" w:hAnsi="微软雅黑" w:eastAsia="微软雅黑" w:cs="Arial"/>
          <w:b/>
          <w:szCs w:val="21"/>
        </w:rPr>
        <w:t>BM</w:t>
      </w:r>
      <w:r>
        <w:rPr>
          <w:rFonts w:hint="eastAsia" w:ascii="微软雅黑" w:hAnsi="微软雅黑" w:eastAsia="微软雅黑" w:cs="Arial"/>
          <w:b/>
          <w:szCs w:val="21"/>
        </w:rPr>
        <w:t>、G</w:t>
      </w:r>
      <w:r>
        <w:rPr>
          <w:rFonts w:ascii="微软雅黑" w:hAnsi="微软雅黑" w:eastAsia="微软雅黑" w:cs="Arial"/>
          <w:b/>
          <w:szCs w:val="21"/>
        </w:rPr>
        <w:t>E</w:t>
      </w:r>
      <w:r>
        <w:rPr>
          <w:rFonts w:hint="eastAsia" w:ascii="微软雅黑" w:hAnsi="微软雅黑" w:eastAsia="微软雅黑" w:cs="Arial"/>
          <w:b/>
          <w:szCs w:val="21"/>
        </w:rPr>
        <w:t>、华为等组织模式设计案例</w:t>
      </w:r>
    </w:p>
    <w:p>
      <w:pPr>
        <w:spacing w:line="500" w:lineRule="exact"/>
        <w:rPr>
          <w:rFonts w:hint="eastAsia" w:ascii="微软雅黑" w:hAnsi="微软雅黑" w:eastAsia="微软雅黑" w:cs="Arial"/>
          <w:b/>
          <w:szCs w:val="21"/>
        </w:rPr>
      </w:pPr>
      <w:r>
        <w:rPr>
          <w:rFonts w:hint="eastAsia" w:ascii="微软雅黑" w:hAnsi="微软雅黑" w:eastAsia="微软雅黑" w:cs="Arial"/>
          <w:b/>
          <w:szCs w:val="21"/>
        </w:rPr>
        <w:t>研讨：本企业的组织模式设计思路与方法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三、战略核心能力评估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（一）企业使命与愿景、目标确定；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（二）企业目标实现的三维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财务追求——高利润、合理利润、低利润；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实现模式——政策驱动、技术创新、管理创新、资源驱动、资本驱动；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管理定位——国际领先、国内领先、行业领先、跟随型。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（三）诊断与调整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1.</w:t>
      </w:r>
      <w:r>
        <w:rPr>
          <w:rFonts w:hint="eastAsia" w:ascii="微软雅黑" w:hAnsi="微软雅黑" w:eastAsia="微软雅黑"/>
          <w:szCs w:val="21"/>
        </w:rPr>
        <w:t>企业行业特征与实现模式的选择；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管理定位的调整，及调整后需要具体的设计的管理体系。</w:t>
      </w:r>
    </w:p>
    <w:p>
      <w:pPr>
        <w:spacing w:line="500" w:lineRule="exac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案例：中国某央企、某民营高新企业案例。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四、人才诊断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1.人才战略与人才定位诊断；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2.人才的满意度诊断；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3.人才留住率诊断；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4.人才培养成功率诊断；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5.人才的匹配度诊断。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6.人才诊断工具应用。</w:t>
      </w:r>
    </w:p>
    <w:p>
      <w:pPr>
        <w:spacing w:line="50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员工敬业状况分析与诊断。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案例：西门子的人才诊断与结果应用。</w:t>
      </w:r>
    </w:p>
    <w:bookmarkEnd w:id="2"/>
    <w:p>
      <w:pPr>
        <w:spacing w:line="500" w:lineRule="exac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第三个盒子：企业文化/组织运作</w:t>
      </w:r>
    </w:p>
    <w:p>
      <w:pPr>
        <w:pStyle w:val="10"/>
        <w:numPr>
          <w:ilvl w:val="1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文化诊断</w:t>
      </w:r>
    </w:p>
    <w:p>
      <w:pPr>
        <w:pStyle w:val="10"/>
        <w:numPr>
          <w:ilvl w:val="2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外部环境对文化建设影响；</w:t>
      </w:r>
    </w:p>
    <w:p>
      <w:pPr>
        <w:pStyle w:val="10"/>
        <w:numPr>
          <w:ilvl w:val="2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企业愿景与战略目标对文化建设的影响；</w:t>
      </w:r>
    </w:p>
    <w:p>
      <w:pPr>
        <w:pStyle w:val="10"/>
        <w:numPr>
          <w:ilvl w:val="2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四种组织</w:t>
      </w:r>
      <w:r>
        <w:rPr>
          <w:rFonts w:hint="eastAsia" w:ascii="微软雅黑" w:hAnsi="微软雅黑" w:eastAsia="微软雅黑"/>
          <w:szCs w:val="21"/>
        </w:rPr>
        <w:t>模式</w:t>
      </w:r>
      <w:r>
        <w:rPr>
          <w:rFonts w:ascii="微软雅黑" w:hAnsi="微软雅黑" w:eastAsia="微软雅黑"/>
          <w:szCs w:val="21"/>
        </w:rPr>
        <w:t>诊断；</w:t>
      </w:r>
    </w:p>
    <w:p>
      <w:pPr>
        <w:pStyle w:val="10"/>
        <w:numPr>
          <w:ilvl w:val="2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企业七种氛围诊断；</w:t>
      </w:r>
    </w:p>
    <w:p>
      <w:pPr>
        <w:pStyle w:val="10"/>
        <w:numPr>
          <w:ilvl w:val="2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企业八种文化模式选择诊断；</w:t>
      </w:r>
    </w:p>
    <w:p>
      <w:pPr>
        <w:pStyle w:val="10"/>
        <w:numPr>
          <w:ilvl w:val="2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管理风格与企业文化；</w:t>
      </w:r>
    </w:p>
    <w:p>
      <w:pPr>
        <w:pStyle w:val="10"/>
        <w:numPr>
          <w:ilvl w:val="2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薪酬水平与企业文化建设；</w:t>
      </w:r>
    </w:p>
    <w:p>
      <w:pPr>
        <w:pStyle w:val="10"/>
        <w:numPr>
          <w:ilvl w:val="2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企业文化诊断的工具应用。</w:t>
      </w:r>
    </w:p>
    <w:p>
      <w:pPr>
        <w:spacing w:line="500" w:lineRule="exac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案例：西门子、富士康、海尔、联想、华为等企业文化设计案例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二、组织运作诊断</w:t>
      </w:r>
    </w:p>
    <w:p>
      <w:pPr>
        <w:numPr>
          <w:ilvl w:val="0"/>
          <w:numId w:val="8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项目交付型</w:t>
      </w:r>
      <w:r>
        <w:rPr>
          <w:rFonts w:hint="eastAsia" w:ascii="微软雅黑" w:hAnsi="微软雅黑" w:eastAsia="微软雅黑"/>
          <w:szCs w:val="21"/>
        </w:rPr>
        <w:t>/</w:t>
      </w:r>
      <w:r>
        <w:rPr>
          <w:rFonts w:ascii="微软雅黑" w:hAnsi="微软雅黑" w:eastAsia="微软雅黑"/>
          <w:szCs w:val="21"/>
        </w:rPr>
        <w:t>渠道代理型</w:t>
      </w:r>
      <w:r>
        <w:rPr>
          <w:rFonts w:hint="eastAsia" w:ascii="微软雅黑" w:hAnsi="微软雅黑" w:eastAsia="微软雅黑"/>
          <w:szCs w:val="21"/>
        </w:rPr>
        <w:t>/</w:t>
      </w:r>
      <w:r>
        <w:rPr>
          <w:rFonts w:ascii="微软雅黑" w:hAnsi="微软雅黑" w:eastAsia="微软雅黑"/>
          <w:szCs w:val="21"/>
        </w:rPr>
        <w:t>直销型</w:t>
      </w:r>
      <w:r>
        <w:rPr>
          <w:rFonts w:hint="eastAsia" w:ascii="微软雅黑" w:hAnsi="微软雅黑" w:eastAsia="微软雅黑"/>
          <w:szCs w:val="21"/>
        </w:rPr>
        <w:t>的组织运营模式诊断；</w:t>
      </w:r>
    </w:p>
    <w:p>
      <w:pPr>
        <w:numPr>
          <w:ilvl w:val="0"/>
          <w:numId w:val="8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基于</w:t>
      </w:r>
      <w:r>
        <w:rPr>
          <w:rFonts w:ascii="微软雅黑" w:hAnsi="微软雅黑" w:eastAsia="微软雅黑"/>
          <w:szCs w:val="21"/>
        </w:rPr>
        <w:t>企业</w:t>
      </w:r>
      <w:r>
        <w:rPr>
          <w:rFonts w:hint="eastAsia" w:ascii="微软雅黑" w:hAnsi="微软雅黑" w:eastAsia="微软雅黑"/>
          <w:szCs w:val="21"/>
        </w:rPr>
        <w:t>组织架构运营效率</w:t>
      </w:r>
      <w:r>
        <w:rPr>
          <w:rFonts w:ascii="微软雅黑" w:hAnsi="微软雅黑" w:eastAsia="微软雅黑"/>
          <w:szCs w:val="21"/>
        </w:rPr>
        <w:t>诊断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numPr>
          <w:ilvl w:val="0"/>
          <w:numId w:val="8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项目型业务的铁三角模块组织设计方法</w:t>
      </w:r>
    </w:p>
    <w:p>
      <w:pPr>
        <w:numPr>
          <w:ilvl w:val="0"/>
          <w:numId w:val="8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市场竞争型三台组织模式设计方法</w:t>
      </w:r>
    </w:p>
    <w:p>
      <w:pPr>
        <w:numPr>
          <w:ilvl w:val="0"/>
          <w:numId w:val="8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生产竞争型企业战斗模式组织设计方法</w:t>
      </w:r>
    </w:p>
    <w:p>
      <w:pPr>
        <w:numPr>
          <w:ilvl w:val="0"/>
          <w:numId w:val="8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H</w:t>
      </w:r>
      <w:r>
        <w:rPr>
          <w:rFonts w:ascii="微软雅黑" w:hAnsi="微软雅黑" w:eastAsia="微软雅黑" w:cs="Arial"/>
          <w:kern w:val="0"/>
          <w:szCs w:val="21"/>
        </w:rPr>
        <w:t>R</w:t>
      </w:r>
      <w:r>
        <w:rPr>
          <w:rFonts w:hint="eastAsia" w:ascii="微软雅黑" w:hAnsi="微软雅黑" w:eastAsia="微软雅黑" w:cs="Arial"/>
          <w:kern w:val="0"/>
          <w:szCs w:val="21"/>
        </w:rPr>
        <w:t>三支柱模式设计方法</w:t>
      </w:r>
    </w:p>
    <w:p>
      <w:pPr>
        <w:numPr>
          <w:ilvl w:val="0"/>
          <w:numId w:val="8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技术研发部门高效组织模式设计方法</w:t>
      </w:r>
    </w:p>
    <w:p>
      <w:pPr>
        <w:numPr>
          <w:ilvl w:val="0"/>
          <w:numId w:val="8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生产制造部门高效组织模式设计方法</w:t>
      </w:r>
    </w:p>
    <w:p>
      <w:pPr>
        <w:numPr>
          <w:ilvl w:val="0"/>
          <w:numId w:val="8"/>
        </w:numPr>
        <w:spacing w:line="500" w:lineRule="exact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市场营销内部运营高效率组织模式设计方法</w:t>
      </w:r>
    </w:p>
    <w:p>
      <w:pPr>
        <w:spacing w:line="500" w:lineRule="exact"/>
        <w:rPr>
          <w:rFonts w:ascii="微软雅黑" w:hAnsi="微软雅黑" w:eastAsia="微软雅黑" w:cs="Arial"/>
          <w:b/>
          <w:kern w:val="0"/>
          <w:szCs w:val="21"/>
        </w:rPr>
      </w:pPr>
      <w:r>
        <w:rPr>
          <w:rFonts w:hint="eastAsia" w:ascii="微软雅黑" w:hAnsi="微软雅黑" w:eastAsia="微软雅黑" w:cs="Arial"/>
          <w:b/>
          <w:kern w:val="0"/>
          <w:szCs w:val="21"/>
        </w:rPr>
        <w:t>案例：I</w:t>
      </w:r>
      <w:r>
        <w:rPr>
          <w:rFonts w:ascii="微软雅黑" w:hAnsi="微软雅黑" w:eastAsia="微软雅黑" w:cs="Arial"/>
          <w:b/>
          <w:kern w:val="0"/>
          <w:szCs w:val="21"/>
        </w:rPr>
        <w:t>BM</w:t>
      </w:r>
      <w:r>
        <w:rPr>
          <w:rFonts w:hint="eastAsia" w:ascii="微软雅黑" w:hAnsi="微软雅黑" w:eastAsia="微软雅黑" w:cs="Arial"/>
          <w:b/>
          <w:kern w:val="0"/>
          <w:szCs w:val="21"/>
        </w:rPr>
        <w:t>、G</w:t>
      </w:r>
      <w:r>
        <w:rPr>
          <w:rFonts w:ascii="微软雅黑" w:hAnsi="微软雅黑" w:eastAsia="微软雅黑" w:cs="Arial"/>
          <w:b/>
          <w:kern w:val="0"/>
          <w:szCs w:val="21"/>
        </w:rPr>
        <w:t>E</w:t>
      </w:r>
      <w:r>
        <w:rPr>
          <w:rFonts w:hint="eastAsia" w:ascii="微软雅黑" w:hAnsi="微软雅黑" w:eastAsia="微软雅黑" w:cs="Arial"/>
          <w:b/>
          <w:kern w:val="0"/>
          <w:szCs w:val="21"/>
        </w:rPr>
        <w:t>、亚马逊、华为、京东等高效组织运作设计案例</w:t>
      </w:r>
    </w:p>
    <w:p>
      <w:pPr>
        <w:spacing w:line="50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 w:cs="Arial"/>
          <w:b/>
          <w:kern w:val="0"/>
          <w:szCs w:val="21"/>
        </w:rPr>
        <w:t>研讨：本企业的文化与组织运作模式设计</w:t>
      </w:r>
    </w:p>
    <w:p>
      <w:pPr>
        <w:spacing w:line="500" w:lineRule="exac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第四个盒子：激励机制/奖励措施</w:t>
      </w:r>
    </w:p>
    <w:p>
      <w:pPr>
        <w:numPr>
          <w:ilvl w:val="0"/>
          <w:numId w:val="9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企业发展阶段与规模与激励方法选择；</w:t>
      </w:r>
    </w:p>
    <w:p>
      <w:pPr>
        <w:numPr>
          <w:ilvl w:val="0"/>
          <w:numId w:val="9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精神激励与物质激励的选择；</w:t>
      </w:r>
    </w:p>
    <w:p>
      <w:pPr>
        <w:numPr>
          <w:ilvl w:val="0"/>
          <w:numId w:val="9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企业与</w:t>
      </w:r>
      <w:r>
        <w:rPr>
          <w:rFonts w:hint="eastAsia" w:ascii="微软雅黑" w:hAnsi="微软雅黑" w:eastAsia="微软雅黑"/>
          <w:szCs w:val="21"/>
        </w:rPr>
        <w:t>精神激励方法选择；</w:t>
      </w:r>
    </w:p>
    <w:p>
      <w:pPr>
        <w:numPr>
          <w:ilvl w:val="0"/>
          <w:numId w:val="9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企业</w:t>
      </w:r>
      <w:r>
        <w:rPr>
          <w:rFonts w:hint="eastAsia" w:ascii="微软雅黑" w:hAnsi="微软雅黑" w:eastAsia="微软雅黑"/>
          <w:szCs w:val="21"/>
        </w:rPr>
        <w:t>与物质奖励的方法选择；</w:t>
      </w:r>
    </w:p>
    <w:p>
      <w:pPr>
        <w:numPr>
          <w:ilvl w:val="0"/>
          <w:numId w:val="9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关键人才/</w:t>
      </w:r>
      <w:r>
        <w:rPr>
          <w:rFonts w:ascii="微软雅黑" w:hAnsi="微软雅黑" w:eastAsia="微软雅黑"/>
          <w:szCs w:val="21"/>
        </w:rPr>
        <w:t>骨干人才</w:t>
      </w:r>
      <w:r>
        <w:rPr>
          <w:rFonts w:hint="eastAsia" w:ascii="微软雅黑" w:hAnsi="微软雅黑" w:eastAsia="微软雅黑"/>
          <w:szCs w:val="21"/>
        </w:rPr>
        <w:t>/</w:t>
      </w:r>
      <w:r>
        <w:rPr>
          <w:rFonts w:ascii="微软雅黑" w:hAnsi="微软雅黑" w:eastAsia="微软雅黑"/>
          <w:szCs w:val="21"/>
        </w:rPr>
        <w:t>主要人才的</w:t>
      </w:r>
      <w:r>
        <w:rPr>
          <w:rFonts w:hint="eastAsia" w:ascii="微软雅黑" w:hAnsi="微软雅黑" w:eastAsia="微软雅黑"/>
          <w:szCs w:val="21"/>
        </w:rPr>
        <w:t>奖励机制/激励机制方向与思路。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案例：华为、小米、海尔不同合伙人模式解析</w:t>
      </w:r>
    </w:p>
    <w:p>
      <w:pPr>
        <w:spacing w:line="50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案例研讨与分析</w:t>
      </w:r>
    </w:p>
    <w:p>
      <w:pPr>
        <w:spacing w:line="500" w:lineRule="exac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第五个盒子：组织帮助/资源支持</w:t>
      </w:r>
    </w:p>
    <w:p>
      <w:pPr>
        <w:numPr>
          <w:ilvl w:val="0"/>
          <w:numId w:val="10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各单元的沟通机制诊断；</w:t>
      </w:r>
    </w:p>
    <w:p>
      <w:pPr>
        <w:numPr>
          <w:ilvl w:val="0"/>
          <w:numId w:val="10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各单元高效运转</w:t>
      </w:r>
      <w:r>
        <w:rPr>
          <w:rFonts w:hint="eastAsia" w:ascii="微软雅黑" w:hAnsi="微软雅黑" w:eastAsia="微软雅黑"/>
          <w:szCs w:val="21"/>
        </w:rPr>
        <w:t>需要的资源分析；</w:t>
      </w:r>
    </w:p>
    <w:p>
      <w:pPr>
        <w:numPr>
          <w:ilvl w:val="0"/>
          <w:numId w:val="10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支持的工具分析、帮助与支持的内容和方法。</w:t>
      </w:r>
    </w:p>
    <w:p>
      <w:pPr>
        <w:numPr>
          <w:ilvl w:val="0"/>
          <w:numId w:val="10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以客户为导向的组织运作支持模式</w:t>
      </w:r>
    </w:p>
    <w:p>
      <w:pPr>
        <w:numPr>
          <w:ilvl w:val="0"/>
          <w:numId w:val="10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企业文化支持模式</w:t>
      </w:r>
    </w:p>
    <w:p>
      <w:pPr>
        <w:numPr>
          <w:ilvl w:val="0"/>
          <w:numId w:val="10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人才培养支持</w:t>
      </w:r>
    </w:p>
    <w:p>
      <w:pPr>
        <w:numPr>
          <w:ilvl w:val="0"/>
          <w:numId w:val="10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领导支持模式</w:t>
      </w:r>
    </w:p>
    <w:p>
      <w:pPr>
        <w:numPr>
          <w:ilvl w:val="0"/>
          <w:numId w:val="10"/>
        </w:numPr>
        <w:spacing w:line="50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沟通机制支持模式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案例：西门子的前线与后台支持体系</w:t>
      </w:r>
    </w:p>
    <w:p>
      <w:pPr>
        <w:spacing w:line="50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研讨：本企业的帮助与支持体系分析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第六个盒子：领导能力/管理建设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一、管理层四大任务六大职责分析；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二、管理层领导力分析；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三、领导风格诊断、分析</w:t>
      </w:r>
    </w:p>
    <w:p>
      <w:pPr>
        <w:numPr>
          <w:ilvl w:val="0"/>
          <w:numId w:val="11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基于打造核心竞争力的需要，领导能力与风格诊断；</w:t>
      </w:r>
    </w:p>
    <w:p>
      <w:pPr>
        <w:numPr>
          <w:ilvl w:val="0"/>
          <w:numId w:val="11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基于企业</w:t>
      </w:r>
      <w:r>
        <w:rPr>
          <w:rFonts w:hint="eastAsia" w:ascii="微软雅黑" w:hAnsi="微软雅黑" w:eastAsia="微软雅黑"/>
          <w:szCs w:val="21"/>
        </w:rPr>
        <w:t>运作</w:t>
      </w:r>
      <w:r>
        <w:rPr>
          <w:rFonts w:ascii="微软雅黑" w:hAnsi="微软雅黑" w:eastAsia="微软雅黑"/>
          <w:szCs w:val="21"/>
        </w:rPr>
        <w:t>的模式，领导能力与风格诊断；</w:t>
      </w:r>
    </w:p>
    <w:p>
      <w:pPr>
        <w:numPr>
          <w:ilvl w:val="0"/>
          <w:numId w:val="11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基于下属能力/价值观类别的领导方式选择；</w:t>
      </w:r>
    </w:p>
    <w:p>
      <w:pPr>
        <w:numPr>
          <w:ilvl w:val="0"/>
          <w:numId w:val="11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管理层知人善任能力分析与诊断；</w:t>
      </w:r>
    </w:p>
    <w:p>
      <w:pPr>
        <w:numPr>
          <w:ilvl w:val="0"/>
          <w:numId w:val="11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管理层团队建设能力分析与诊断；</w:t>
      </w:r>
    </w:p>
    <w:p>
      <w:pPr>
        <w:numPr>
          <w:ilvl w:val="0"/>
          <w:numId w:val="11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管理层影响力分析与诊断。</w:t>
      </w:r>
    </w:p>
    <w:p>
      <w:pPr>
        <w:numPr>
          <w:ilvl w:val="0"/>
          <w:numId w:val="11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企业创新变革能力分析与诊断；</w:t>
      </w:r>
    </w:p>
    <w:p>
      <w:pPr>
        <w:numPr>
          <w:ilvl w:val="0"/>
          <w:numId w:val="11"/>
        </w:num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从第一到第五个盒子需要管理层的领导能力诊断。</w:t>
      </w:r>
    </w:p>
    <w:p>
      <w:pPr>
        <w:spacing w:line="5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案例：微软、西门子、阿里巴巴对1-5个盒子复盘操作方法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研讨：本企业管理者领导力诊断</w:t>
      </w:r>
    </w:p>
    <w:p>
      <w:pPr>
        <w:spacing w:line="500" w:lineRule="exact"/>
        <w:rPr>
          <w:rFonts w:ascii="微软雅黑" w:hAnsi="微软雅黑" w:eastAsia="微软雅黑"/>
          <w:color w:val="FF0000"/>
          <w:szCs w:val="21"/>
        </w:rPr>
      </w:pPr>
    </w:p>
    <w:p>
      <w:pPr>
        <w:spacing w:line="288" w:lineRule="auto"/>
        <w:rPr>
          <w:rFonts w:hint="eastAsia" w:ascii="宋体" w:hAnsi="宋体" w:cs="宋体"/>
          <w:b/>
          <w:bCs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  <w:lang w:eastAsia="zh-CN"/>
        </w:rPr>
        <w:t>讲师介绍：</w:t>
      </w:r>
    </w:p>
    <w:p>
      <w:pPr>
        <w:pStyle w:val="2"/>
        <w:ind w:firstLine="361" w:firstLineChars="100"/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钟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老师：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125730</wp:posOffset>
                </wp:positionV>
                <wp:extent cx="2952750" cy="3219450"/>
                <wp:effectExtent l="0" t="0" r="0" b="0"/>
                <wp:wrapNone/>
                <wp:docPr id="18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o:spt="1" style="position:absolute;left:0pt;margin-left:305.55pt;margin-top:9.9pt;height:253.5pt;width:232.5pt;z-index:251668480;mso-width-relative:page;mso-height-relative:page;" fillcolor="#FFFFFF" filled="t" stroked="f" coordsize="21600,21600" o:gfxdata="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QqzQ+1wAAAAsBAAAPAAAA&#10;AAAAAAEAIAAAACIAAABkcnMvZG93bnJldi54bWxQSwECFAAUAAAACACHTuJAciAqSBYCAAA3BAAA&#10;DgAAAAAAAAABACAAAAAm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  <w:t xml:space="preserve">【专业资历】 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香港科技大学特聘教授，清华大学特聘教授，2018-2019</w:t>
      </w:r>
    </w:p>
    <w:p>
      <w:pPr>
        <w:pStyle w:val="12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68580</wp:posOffset>
            </wp:positionV>
            <wp:extent cx="1767205" cy="2309495"/>
            <wp:effectExtent l="0" t="0" r="4445" b="14605"/>
            <wp:wrapNone/>
            <wp:docPr id="3" name="图片 3" descr="C:\Users\ADMINI~1\AppData\Local\Temp\15162917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1516291799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年度“中国首席培训师”。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工商管理博士DBA、中国HR三支柱首席培训师，中国人才</w:t>
      </w:r>
    </w:p>
    <w:p>
      <w:pPr>
        <w:pStyle w:val="12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梯队建设第一人、世界级领导力培养专家。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建设银行总行前行长张建国、中国移动集团前董事长奚国华</w:t>
      </w:r>
    </w:p>
    <w:p>
      <w:pPr>
        <w:pStyle w:val="12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最推崇的著名企业管理导师。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核心专长： HR三支柱运营模式、人才梯队建设、人力资源</w:t>
      </w:r>
    </w:p>
    <w:p>
      <w:pPr>
        <w:pStyle w:val="12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管理体系建设、关键人才培养、领导力培养、企业战略管理。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二十八年工作经验，世界500强工作经历。曾任西门子、</w:t>
      </w:r>
    </w:p>
    <w:p>
      <w:pPr>
        <w:pStyle w:val="12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亚马逊、恒信集团等著名企业的高级管理者；培训足迹遍布台湾、香港、新加坡、马来西亚、德国、澳大利亚、韩国、日本、美国等地。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GE、IBM、中国移动集团、中国建设银行总行、中国工商银行总行、汇丰银行、国家烟草专卖局、国家电网、三星集团、宝龙集团等著名企业指定培训师/顾问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；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著名企业管理咨询师，为众多企业提供了战略规划、企业文化建设、人力资源管理、三支柱运营模式、人才梯队建设、领导力培养等咨询项目服务；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  <w:t xml:space="preserve">【研究成果】 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著作：《人才梯队建设和思八步法》厦门大学出版社，2011年；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著作：《对话世界500强CHO》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中国铁道出版社，2015年；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著作：《战略突破——打造终极核心竞争力》2020年；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课题：《厦门市民营经济发展战略》厦门市政府课题，2007年；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课题：《云南省烟草专卖局/公司发展战略规划》，云南省烟草专卖局课题，2009年；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课题：《云南省烟叶复烤集团发展战略规划》云南省烟叶复烤公司课题，2010年；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作序：为华为畅销书亲自作序《华为你学不会》、《华为人力资源管理方法论》、《华为组织运营方法论》。</w:t>
      </w:r>
    </w:p>
    <w:p>
      <w:pPr>
        <w:spacing w:line="500" w:lineRule="exact"/>
        <w:ind w:firstLine="315" w:firstLineChars="15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中国第一部帮助人才战略落地的著作《人才梯队建设和思八步法》2011年12月由厦门大学出版社出版！全书共58万字，由钟虹添博士与中国移动前董事长奚国华、中国建设银行前行长张建国合著，本书以严谨、系统的专业理论为基础，以企业人才梯队建设实际案例为主要内容，书中有大量的流程、工具和图表，具有很强的专业性、系统性、操作性，可以直接引用或模仿，是企业实现智力需求和人力需求的最佳解决方案。</w:t>
      </w:r>
    </w:p>
    <w:p>
      <w:pPr>
        <w:spacing w:line="500" w:lineRule="exact"/>
        <w:ind w:firstLine="315" w:firstLineChars="15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本书得到了中央大型企业相关领导的好评，如：工商银行董事长姜建清、中国石化集团董事长傅成玉、中国电信董事长王晓初、国家电网公司总经理刘振亚、国家烟草专卖局前局长姜成康等。（见下图）</w:t>
      </w:r>
    </w:p>
    <w:p>
      <w:pPr>
        <w:pStyle w:val="2"/>
        <w:jc w:val="both"/>
        <w:rPr>
          <w:rFonts w:hint="eastAsia" w:ascii="微软雅黑" w:hAnsi="微软雅黑" w:eastAsia="微软雅黑" w:cs="Arial"/>
          <w:color w:val="000000"/>
          <w:kern w:val="0"/>
          <w:szCs w:val="21"/>
          <w:lang w:eastAsia="zh-CN"/>
        </w:rPr>
      </w:pPr>
    </w:p>
    <w:p>
      <w:pPr>
        <w:spacing w:line="288" w:lineRule="auto"/>
        <w:ind w:firstLine="3602" w:firstLineChars="1000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</w:p>
    <w:p>
      <w:pPr>
        <w:spacing w:line="288" w:lineRule="auto"/>
        <w:ind w:firstLine="3602" w:firstLineChars="1000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报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名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表</w:t>
      </w:r>
    </w:p>
    <w:tbl>
      <w:tblPr>
        <w:tblStyle w:val="6"/>
        <w:tblpPr w:leftFromText="180" w:rightFromText="180" w:vertAnchor="text" w:horzAnchor="page" w:tblpX="1041" w:tblpY="108"/>
        <w:tblOverlap w:val="never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87"/>
        <w:gridCol w:w="1044"/>
        <w:gridCol w:w="424"/>
        <w:gridCol w:w="927"/>
        <w:gridCol w:w="255"/>
        <w:gridCol w:w="1141"/>
        <w:gridCol w:w="757"/>
        <w:gridCol w:w="175"/>
        <w:gridCol w:w="796"/>
        <w:gridCol w:w="699"/>
        <w:gridCol w:w="374"/>
        <w:gridCol w:w="242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9016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/>
                <w:sz w:val="21"/>
                <w:szCs w:val="21"/>
              </w:rPr>
              <w:t>发票抬头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税务号</w:t>
            </w:r>
          </w:p>
        </w:tc>
        <w:tc>
          <w:tcPr>
            <w:tcW w:w="429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公司地址</w:t>
            </w:r>
          </w:p>
        </w:tc>
        <w:tc>
          <w:tcPr>
            <w:tcW w:w="9016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3124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257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参会</w:t>
            </w:r>
            <w:r>
              <w:rPr>
                <w:rFonts w:hint="default" w:ascii="宋体" w:hAnsi="宋体" w:eastAsia="宋体"/>
                <w:sz w:val="21"/>
                <w:szCs w:val="21"/>
              </w:rPr>
              <w:t>费用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宋体" w:hAnsi="宋体" w:eastAsia="宋体"/>
                <w:sz w:val="21"/>
                <w:szCs w:val="21"/>
                <w:u w:val="none"/>
              </w:rPr>
              <w:t>元</w:t>
            </w: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hint="eastAsia"/>
                <w:b w:val="0"/>
                <w:bCs w:val="0"/>
                <w:sz w:val="20"/>
              </w:rPr>
              <w:t>发票内容</w:t>
            </w:r>
            <w:r>
              <w:rPr>
                <w:rStyle w:val="9"/>
                <w:rFonts w:hint="default"/>
                <w:b w:val="0"/>
                <w:bCs w:val="0"/>
                <w:sz w:val="20"/>
              </w:rPr>
              <w:t>：1.</w:t>
            </w:r>
            <w:r>
              <w:rPr>
                <w:rFonts w:hint="eastAsia"/>
                <w:bCs/>
                <w:sz w:val="20"/>
                <w:lang w:eastAsia="zh-CN"/>
              </w:rPr>
              <w:t>培训费</w:t>
            </w:r>
            <w:r>
              <w:rPr>
                <w:rFonts w:hint="default"/>
                <w:bCs/>
                <w:sz w:val="20"/>
                <w:lang w:eastAsia="zh-CN"/>
              </w:rPr>
              <w:t xml:space="preserve"> 2.</w:t>
            </w:r>
            <w:r>
              <w:rPr>
                <w:rFonts w:hint="default"/>
                <w:bCs/>
                <w:sz w:val="20"/>
              </w:rPr>
              <w:t>信息服务费 3.咨询费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付款方式：□课前转帐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酒店预订委托</w:t>
            </w:r>
          </w:p>
        </w:tc>
        <w:tc>
          <w:tcPr>
            <w:tcW w:w="7972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/>
              <w:ind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  标双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    标单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ind w:firstLine="48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汇款账号</w:t>
            </w:r>
          </w:p>
        </w:tc>
        <w:tc>
          <w:tcPr>
            <w:tcW w:w="7972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户    名：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企赢（深圳）企业管理咨询有限责任公司</w:t>
            </w:r>
          </w:p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开 户 行：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中国工商银行股份有限公司深圳布吉支行</w:t>
            </w:r>
          </w:p>
          <w:p>
            <w:pPr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公司账号：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b w:val="0"/>
                <w:bCs w:val="0"/>
                <w:color w:val="000000"/>
                <w:sz w:val="21"/>
                <w:szCs w:val="21"/>
                <w:lang w:eastAsia="zh-CN"/>
              </w:rPr>
              <w:t>4000022309202049860</w:t>
            </w:r>
          </w:p>
          <w:p>
            <w:pPr>
              <w:spacing w:after="0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71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学员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名单</w:t>
            </w:r>
          </w:p>
        </w:tc>
        <w:tc>
          <w:tcPr>
            <w:tcW w:w="1431" w:type="dxa"/>
            <w:gridSpan w:val="2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606" w:type="dxa"/>
            <w:gridSpan w:val="3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98" w:type="dxa"/>
            <w:gridSpan w:val="2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044" w:type="dxa"/>
            <w:gridSpan w:val="4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2424" w:type="dxa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/>
                <w:sz w:val="21"/>
                <w:szCs w:val="21"/>
              </w:rPr>
              <w:t>培训时间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11"/>
              <w:spacing w:before="100" w:beforeAutospacing="1" w:after="100" w:afterAutospacing="1"/>
              <w:jc w:val="center"/>
              <w:rPr>
                <w:rStyle w:val="9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11"/>
              <w:spacing w:before="100" w:beforeAutospacing="1" w:after="100" w:afterAutospacing="1"/>
              <w:jc w:val="center"/>
              <w:rPr>
                <w:rStyle w:val="9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Cs w:val="22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Cs w:val="22"/>
        </w:rPr>
        <w:t>备注：为确保您的名额和及时参加，请提前将《报名表》填好后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回复</w:t>
      </w:r>
      <w:r>
        <w:rPr>
          <w:rFonts w:hint="default" w:ascii="宋体" w:hAnsi="宋体" w:eastAsia="宋体" w:cs="宋体"/>
          <w:b/>
          <w:bCs/>
          <w:szCs w:val="2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Cs w:val="22"/>
        </w:rPr>
        <w:t>我们将有专人与您联系确认，并于开课前发出《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开课邀请函</w:t>
      </w:r>
      <w:r>
        <w:rPr>
          <w:rFonts w:hint="eastAsia" w:ascii="宋体" w:hAnsi="宋体" w:eastAsia="宋体" w:cs="宋体"/>
          <w:b/>
          <w:bCs/>
          <w:szCs w:val="22"/>
        </w:rPr>
        <w:t>》。培训时间、地点、住宿等详细信息请以《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开课邀请函</w:t>
      </w:r>
      <w:r>
        <w:rPr>
          <w:rFonts w:hint="eastAsia" w:ascii="宋体" w:hAnsi="宋体" w:eastAsia="宋体" w:cs="宋体"/>
          <w:b/>
          <w:bCs/>
          <w:szCs w:val="22"/>
        </w:rPr>
        <w:t>》书面通知为准，敬请留意。谢谢！详询热线：</w:t>
      </w:r>
      <w:r>
        <w:rPr>
          <w:rFonts w:hint="default"/>
          <w:b/>
          <w:bCs/>
          <w:color w:val="000000"/>
          <w:sz w:val="21"/>
          <w:szCs w:val="21"/>
        </w:rPr>
        <w:t xml:space="preserve">18820199517 </w:t>
      </w:r>
      <w:r>
        <w:rPr>
          <w:rFonts w:hint="eastAsia" w:ascii="宋体" w:hAnsi="宋体" w:eastAsia="宋体" w:cs="宋体"/>
          <w:b/>
          <w:bCs/>
          <w:color w:val="000000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Cs w:val="22"/>
        </w:rPr>
        <w:t>(</w:t>
      </w:r>
      <w:r>
        <w:rPr>
          <w:rFonts w:hint="eastAsia" w:ascii="宋体" w:hAnsi="宋体" w:eastAsia="宋体" w:cs="宋体"/>
          <w:b/>
          <w:bCs/>
          <w:color w:val="000000"/>
          <w:szCs w:val="22"/>
          <w:lang w:eastAsia="zh-CN"/>
        </w:rPr>
        <w:t>彭</w:t>
      </w:r>
      <w:r>
        <w:rPr>
          <w:rFonts w:hint="eastAsia" w:ascii="宋体" w:hAnsi="宋体" w:eastAsia="宋体" w:cs="宋体"/>
          <w:b/>
          <w:bCs/>
          <w:color w:val="000000"/>
          <w:szCs w:val="22"/>
        </w:rPr>
        <w:t>老师)</w:t>
      </w:r>
    </w:p>
    <w:p>
      <w:pPr>
        <w:rPr>
          <w:rFonts w:ascii="微软雅黑" w:hAnsi="微软雅黑" w:eastAsia="微软雅黑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-766" w:firstLine="840" w:firstLineChars="400"/>
      <w:jc w:val="both"/>
      <w:rPr>
        <w:rFonts w:hint="default" w:eastAsia="宋体"/>
        <w:color w:val="E36C09"/>
        <w:sz w:val="21"/>
        <w:szCs w:val="21"/>
        <w:lang w:val="en-US" w:eastAsia="zh-CN"/>
      </w:rPr>
    </w:pPr>
    <w:r>
      <w:rPr>
        <w:rFonts w:hint="eastAsia"/>
        <w:color w:val="E36C09"/>
        <w:sz w:val="21"/>
        <w:szCs w:val="21"/>
      </w:rPr>
      <w:t>地址：</w:t>
    </w:r>
    <w:r>
      <w:rPr>
        <w:rFonts w:hint="default"/>
        <w:color w:val="E36C09"/>
        <w:sz w:val="21"/>
        <w:szCs w:val="21"/>
      </w:rPr>
      <w:t>深圳市龙岗区布吉街道吉信大厦17</w:t>
    </w:r>
    <w:r>
      <w:rPr>
        <w:rFonts w:hint="eastAsia"/>
        <w:color w:val="E36C09"/>
        <w:sz w:val="21"/>
        <w:szCs w:val="21"/>
        <w:lang w:val="en-US" w:eastAsia="zh-CN"/>
      </w:rPr>
      <w:t>K</w:t>
    </w:r>
    <w:r>
      <w:rPr>
        <w:rFonts w:hint="eastAsia"/>
        <w:color w:val="E36C09"/>
        <w:sz w:val="28"/>
        <w:szCs w:val="28"/>
      </w:rPr>
      <w:t xml:space="preserve"> </w:t>
    </w:r>
    <w:r>
      <w:rPr>
        <w:rFonts w:hint="default"/>
        <w:color w:val="E36C09"/>
        <w:szCs w:val="21"/>
      </w:rPr>
      <w:t xml:space="preserve">  </w:t>
    </w:r>
    <w:r>
      <w:rPr>
        <w:rFonts w:hint="eastAsia"/>
        <w:color w:val="E36C09"/>
        <w:sz w:val="21"/>
        <w:szCs w:val="21"/>
      </w:rPr>
      <w:t>电话</w:t>
    </w:r>
    <w:r>
      <w:rPr>
        <w:rFonts w:hint="default"/>
        <w:color w:val="E36C09"/>
        <w:sz w:val="21"/>
        <w:szCs w:val="21"/>
      </w:rPr>
      <w:t>：</w:t>
    </w:r>
    <w:r>
      <w:rPr>
        <w:rFonts w:hint="eastAsia"/>
        <w:color w:val="E36C09"/>
        <w:sz w:val="21"/>
        <w:szCs w:val="21"/>
        <w:lang w:val="en-US" w:eastAsia="zh-CN"/>
      </w:rPr>
      <w:t>18820196871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黑体" w:eastAsia="黑体"/>
        <w:b/>
        <w:color w:val="9C2173"/>
        <w:sz w:val="20"/>
        <w:szCs w:val="20"/>
      </w:rPr>
    </w:pPr>
    <w:r>
      <w:rPr>
        <w:rFonts w:hint="eastAsia" w:ascii="黑体" w:eastAsia="黑体"/>
        <w:b/>
        <w:color w:val="9C2173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-32385</wp:posOffset>
          </wp:positionV>
          <wp:extent cx="1892300" cy="421005"/>
          <wp:effectExtent l="0" t="0" r="12700" b="17145"/>
          <wp:wrapNone/>
          <wp:docPr id="1" name="图片 1" descr="横着的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着的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color w:val="9C2173"/>
        <w:sz w:val="20"/>
        <w:szCs w:val="20"/>
      </w:rPr>
      <w:t xml:space="preserve"> </w:t>
    </w:r>
  </w:p>
  <w:p>
    <w:pPr>
      <w:pStyle w:val="5"/>
      <w:ind w:firstLine="5500" w:firstLineChars="2500"/>
    </w:pPr>
    <w:r>
      <w:rPr>
        <w:rFonts w:hint="default" w:ascii="宋体" w:hAnsi="宋体"/>
        <w:color w:val="auto"/>
        <w:sz w:val="22"/>
        <w:szCs w:val="22"/>
      </w:rPr>
      <w:t>帮助企业成长——助力共赢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FFA"/>
    <w:multiLevelType w:val="multilevel"/>
    <w:tmpl w:val="03602FF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60F144C"/>
    <w:multiLevelType w:val="multilevel"/>
    <w:tmpl w:val="060F144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4729E2"/>
    <w:multiLevelType w:val="multilevel"/>
    <w:tmpl w:val="0C4729E2"/>
    <w:lvl w:ilvl="0" w:tentative="0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entative="0">
      <w:start w:val="2"/>
      <w:numFmt w:val="japaneseCounting"/>
      <w:lvlText w:val="%2、"/>
      <w:lvlJc w:val="left"/>
      <w:pPr>
        <w:ind w:left="420" w:hanging="420"/>
      </w:pPr>
      <w:rPr>
        <w:rFonts w:hint="default" w:cs="Arial"/>
        <w:color w:val="000000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E751DF"/>
    <w:multiLevelType w:val="multilevel"/>
    <w:tmpl w:val="1DE751D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E07DA4"/>
    <w:multiLevelType w:val="multilevel"/>
    <w:tmpl w:val="27E07DA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A545CA"/>
    <w:multiLevelType w:val="multilevel"/>
    <w:tmpl w:val="2DA545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5C6126"/>
    <w:multiLevelType w:val="multilevel"/>
    <w:tmpl w:val="385C61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215183"/>
    <w:multiLevelType w:val="multilevel"/>
    <w:tmpl w:val="4121518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87B75BD"/>
    <w:multiLevelType w:val="singleLevel"/>
    <w:tmpl w:val="587B75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63378FB"/>
    <w:multiLevelType w:val="multilevel"/>
    <w:tmpl w:val="663378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BC431C"/>
    <w:multiLevelType w:val="multilevel"/>
    <w:tmpl w:val="68BC431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-60"/>
        </w:tabs>
        <w:ind w:left="-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360"/>
        </w:tabs>
        <w:ind w:left="360" w:hanging="420"/>
      </w:pPr>
    </w:lvl>
    <w:lvl w:ilvl="3" w:tentative="0">
      <w:start w:val="1"/>
      <w:numFmt w:val="decimal"/>
      <w:lvlText w:val="%4."/>
      <w:lvlJc w:val="left"/>
      <w:pPr>
        <w:tabs>
          <w:tab w:val="left" w:pos="780"/>
        </w:tabs>
        <w:ind w:left="7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200"/>
        </w:tabs>
        <w:ind w:left="12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620"/>
        </w:tabs>
        <w:ind w:left="16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040"/>
        </w:tabs>
        <w:ind w:left="20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460"/>
        </w:tabs>
        <w:ind w:left="24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80"/>
        </w:tabs>
        <w:ind w:left="2880" w:hanging="420"/>
      </w:pPr>
    </w:lvl>
  </w:abstractNum>
  <w:abstractNum w:abstractNumId="11">
    <w:nsid w:val="710F2332"/>
    <w:multiLevelType w:val="multilevel"/>
    <w:tmpl w:val="710F233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D0453FF"/>
    <w:multiLevelType w:val="multilevel"/>
    <w:tmpl w:val="7D0453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A56E8"/>
    <w:rsid w:val="1E3007E7"/>
    <w:rsid w:val="1F5370A2"/>
    <w:rsid w:val="550C61A9"/>
    <w:rsid w:val="62485927"/>
    <w:rsid w:val="76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0" w:beforeLines="0" w:beforeAutospacing="0" w:after="25" w:afterLines="25" w:afterAutospacing="0" w:line="240" w:lineRule="auto"/>
      <w:jc w:val="center"/>
      <w:outlineLvl w:val="0"/>
    </w:pPr>
    <w:rPr>
      <w:rFonts w:ascii="Times New Roman" w:hAnsi="Times New Roman" w:eastAsia="微软雅黑"/>
      <w:b/>
      <w:kern w:val="44"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paragraph" w:customStyle="1" w:styleId="10">
    <w:name w:val="List Paragraph"/>
    <w:basedOn w:val="1"/>
    <w:qFormat/>
    <w:uiPriority w:val="0"/>
    <w:pPr>
      <w:adjustRightInd/>
      <w:spacing w:line="240" w:lineRule="auto"/>
      <w:ind w:firstLine="420" w:firstLineChars="200"/>
      <w:textAlignment w:val="auto"/>
    </w:pPr>
    <w:rPr>
      <w:kern w:val="2"/>
      <w:szCs w:val="24"/>
    </w:rPr>
  </w:style>
  <w:style w:type="paragraph" w:customStyle="1" w:styleId="11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2">
    <w:name w:val="11p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Cs w:val="21"/>
    </w:rPr>
  </w:style>
  <w:style w:type="character" w:customStyle="1" w:styleId="13">
    <w:name w:val="标题 1 Char"/>
    <w:link w:val="3"/>
    <w:uiPriority w:val="0"/>
    <w:rPr>
      <w:rFonts w:ascii="Times New Roman" w:hAnsi="Times New Roman" w:eastAsia="微软雅黑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2020-06-11T11:38:00Z</dcterms:created>
  <dc:creator>Administrator</dc:creator>
  <cp:lastModifiedBy>企赢培训-张老师18820196871</cp:lastModifiedBy>
  <dcterms:modified xsi:type="dcterms:W3CDTF">2020-11-23T11:02:49Z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