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810B8"/>
          <w:sz w:val="44"/>
          <w:szCs w:val="44"/>
        </w:rPr>
      </w:pPr>
    </w:p>
    <w:p>
      <w:pPr>
        <w:pStyle w:val="2"/>
        <w:rPr>
          <w:rFonts w:hint="eastAsia" w:ascii="微软雅黑" w:hAnsi="微软雅黑" w:eastAsia="微软雅黑"/>
          <w:b/>
          <w:bCs/>
          <w:color w:val="3366FF"/>
          <w:sz w:val="52"/>
          <w:szCs w:val="52"/>
        </w:rPr>
      </w:pPr>
      <w:r>
        <w:rPr>
          <w:rFonts w:hint="eastAsia" w:ascii="微软雅黑" w:hAnsi="微软雅黑" w:eastAsia="微软雅黑"/>
          <w:b/>
          <w:bCs/>
          <w:color w:val="3366FF"/>
          <w:sz w:val="52"/>
          <w:szCs w:val="52"/>
        </w:rPr>
        <w:t>《向世界500强学HR三支柱》</w:t>
      </w:r>
    </w:p>
    <w:p>
      <w:pPr>
        <w:pStyle w:val="2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3366FF"/>
          <w:sz w:val="52"/>
          <w:szCs w:val="52"/>
        </w:rPr>
        <w:t xml:space="preserve">    </w:t>
      </w:r>
      <w:r>
        <w:rPr>
          <w:rFonts w:hint="eastAsia" w:ascii="微软雅黑" w:hAnsi="微软雅黑" w:eastAsia="微软雅黑"/>
          <w:b/>
          <w:bCs/>
          <w:color w:val="3366FF"/>
          <w:sz w:val="30"/>
          <w:szCs w:val="30"/>
        </w:rPr>
        <w:t xml:space="preserve"> ——（HRCOE、HRBP、HRSSC）高级版</w:t>
      </w:r>
    </w:p>
    <w:p>
      <w:pPr>
        <w:jc w:val="center"/>
        <w:rPr>
          <w:rFonts w:hint="default" w:ascii="微软雅黑" w:hAnsi="微软雅黑" w:eastAsia="微软雅黑"/>
          <w:b/>
          <w:bCs/>
          <w:color w:val="F79646"/>
          <w:sz w:val="32"/>
          <w:szCs w:val="32"/>
        </w:rPr>
      </w:pPr>
      <w:r>
        <w:rPr>
          <w:rFonts w:hint="default" w:ascii="微软雅黑" w:hAnsi="微软雅黑" w:eastAsia="微软雅黑"/>
          <w:b/>
          <w:bCs/>
          <w:color w:val="F79646"/>
          <w:sz w:val="32"/>
          <w:szCs w:val="32"/>
        </w:rPr>
        <w:t>————————————————————————</w:t>
      </w:r>
    </w:p>
    <w:tbl>
      <w:tblPr>
        <w:tblStyle w:val="8"/>
        <w:tblpPr w:leftFromText="180" w:rightFromText="180" w:vertAnchor="text" w:horzAnchor="page" w:tblpX="1916" w:tblpY="499"/>
        <w:tblOverlap w:val="never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997"/>
        <w:gridCol w:w="1799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01" w:type="dxa"/>
            <w:noWrap w:val="0"/>
            <w:vAlign w:val="top"/>
          </w:tcPr>
          <w:p>
            <w:pPr>
              <w:pStyle w:val="2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  <w:t>4月</w:t>
            </w:r>
          </w:p>
        </w:tc>
        <w:tc>
          <w:tcPr>
            <w:tcW w:w="1997" w:type="dxa"/>
            <w:noWrap w:val="0"/>
            <w:vAlign w:val="top"/>
          </w:tcPr>
          <w:p>
            <w:pPr>
              <w:pStyle w:val="2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  <w:t>6月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2"/>
              <w:ind w:left="0" w:leftChars="0" w:firstLine="464" w:firstLineChars="20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  <w:t>8月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2"/>
              <w:ind w:firstLine="232" w:firstLineChars="100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  <w:t>10月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2"/>
              <w:jc w:val="both"/>
              <w:rPr>
                <w:rFonts w:hint="default" w:ascii="微软雅黑" w:hAnsi="微软雅黑" w:eastAsia="微软雅黑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01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  <w:t xml:space="preserve"> 8-9日北京</w:t>
            </w:r>
          </w:p>
        </w:tc>
        <w:tc>
          <w:tcPr>
            <w:tcW w:w="1997" w:type="dxa"/>
            <w:noWrap w:val="0"/>
            <w:vAlign w:val="top"/>
          </w:tcPr>
          <w:p>
            <w:pPr>
              <w:pStyle w:val="2"/>
              <w:ind w:left="0" w:leftChars="0" w:firstLine="232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</w:rPr>
              <w:t>24-25日上海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</w:rPr>
              <w:t>5-6日成都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</w:rPr>
              <w:t>28-29日深圳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</w:rPr>
              <w:t>2-3日成都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997" w:type="dxa"/>
            <w:gridSpan w:val="5"/>
            <w:noWrap w:val="0"/>
            <w:vAlign w:val="top"/>
          </w:tcPr>
          <w:p>
            <w:pPr>
              <w:pStyle w:val="11"/>
              <w:spacing w:line="500" w:lineRule="exact"/>
              <w:ind w:left="0" w:leftChars="0" w:firstLine="0" w:firstLineChars="0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pacing w:val="-4"/>
                <w:sz w:val="24"/>
                <w:szCs w:val="24"/>
                <w:vertAlign w:val="baseline"/>
                <w:lang w:eastAsia="zh-CN"/>
              </w:rPr>
              <w:t>培训对象：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CEO、HRVP、CHO、HRD、HRM、HRCOE、HRBP、HRSSC、各级直线经理。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FF0000"/>
                <w:spacing w:val="-4"/>
                <w:sz w:val="24"/>
                <w:szCs w:val="24"/>
                <w:vertAlign w:val="baseline"/>
                <w:lang w:val="en-US" w:eastAsia="zh-CN"/>
              </w:rPr>
              <w:t>线下面授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eastAsia="zh-CN"/>
              </w:rPr>
              <w:t>培训费用：</w:t>
            </w:r>
            <w:r>
              <w:rPr>
                <w:rFonts w:hint="eastAsia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4980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-4"/>
                <w:sz w:val="24"/>
                <w:szCs w:val="24"/>
                <w:vertAlign w:val="baseline"/>
                <w:lang w:val="en-US" w:eastAsia="zh-CN"/>
              </w:rPr>
              <w:t>元/人（包含培训费，税费，茶歇，证书）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997" w:type="dxa"/>
            <w:gridSpan w:val="5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备注： 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此课程可报名线上录播课程：499元/人（学习期限1年，支持PC/移动端学习）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left"/>
              <w:rPr>
                <w:rFonts w:hint="default" w:cs="微软雅黑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cs="微软雅黑"/>
                <w:b/>
                <w:bCs/>
                <w:color w:val="000000"/>
                <w:sz w:val="24"/>
                <w:szCs w:val="24"/>
                <w:lang w:val="en-US" w:eastAsia="zh-CN"/>
              </w:rPr>
              <w:t>《OD组织发展与创新技能》《创新——六步搞定平衡计分卡》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left"/>
              <w:rPr>
                <w:rFonts w:hint="default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cs="微软雅黑"/>
                <w:b/>
                <w:bCs/>
                <w:color w:val="000000"/>
                <w:sz w:val="24"/>
                <w:szCs w:val="24"/>
                <w:lang w:val="en-US" w:eastAsia="zh-CN"/>
              </w:rPr>
              <w:t>《向世界500强学HR三支柱》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本课程可提供定制内训上门培训服务，价格另议。</w:t>
            </w:r>
          </w:p>
        </w:tc>
      </w:tr>
    </w:tbl>
    <w:p>
      <w:pPr>
        <w:pStyle w:val="11"/>
        <w:numPr>
          <w:ilvl w:val="0"/>
          <w:numId w:val="2"/>
        </w:numPr>
        <w:spacing w:line="500" w:lineRule="exact"/>
        <w:ind w:firstLineChars="0"/>
        <w:rPr>
          <w:rFonts w:ascii="微软雅黑" w:hAnsi="微软雅黑" w:eastAsia="微软雅黑"/>
          <w:b/>
          <w:bCs/>
          <w:color w:val="0000FF"/>
          <w:szCs w:val="21"/>
        </w:rPr>
      </w:pPr>
      <w:bookmarkStart w:id="0" w:name="_Hlk3846954"/>
      <w:bookmarkStart w:id="1" w:name="_Hlk4058226"/>
      <w:r>
        <w:rPr>
          <w:b/>
          <w:bCs/>
          <w:color w:val="0000FF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-898525</wp:posOffset>
            </wp:positionV>
            <wp:extent cx="3065145" cy="5418455"/>
            <wp:effectExtent l="0" t="0" r="10795" b="1905"/>
            <wp:wrapThrough wrapText="bothSides">
              <wp:wrapPolygon>
                <wp:start x="21600" y="0"/>
                <wp:lineTo x="121" y="0"/>
                <wp:lineTo x="121" y="21491"/>
                <wp:lineTo x="21600" y="21491"/>
                <wp:lineTo x="21600" y="0"/>
              </wp:wrapPolygon>
            </wp:wrapThrough>
            <wp:docPr id="2" name="图片 2" descr="C:\Users\Administrator\Desktop\版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版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65145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FF"/>
          <w:lang w:eastAsia="zh-CN"/>
        </w:rPr>
        <w:t>课程收益：</w:t>
      </w:r>
    </w:p>
    <w:p>
      <w:pPr>
        <w:pStyle w:val="11"/>
        <w:numPr>
          <w:ilvl w:val="0"/>
          <w:numId w:val="2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牢不可破——HRBP与主管沟通技能：掌握与业务主管的成功沟通关键的沟通渠道设计，掌握三个沟通绝招，把主管从工作关系变为朋友关系，让HRBP在业务部门如鱼得水。</w:t>
      </w:r>
    </w:p>
    <w:p>
      <w:pPr>
        <w:pStyle w:val="11"/>
        <w:numPr>
          <w:ilvl w:val="0"/>
          <w:numId w:val="2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亲密无间——HRBP与员工沟通技能：掌握HRBP在员工中树立权威，建立固定、接地气的沟通渠道设计方法，改变传统的沟通方式，让员工把HRBP当知心人、保护神，与业务部门员工同框合体。</w:t>
      </w:r>
    </w:p>
    <w:p>
      <w:pPr>
        <w:pStyle w:val="11"/>
        <w:numPr>
          <w:ilvl w:val="0"/>
          <w:numId w:val="2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抬头看天——战略分析技能：掌握调研诊断技能，从全局角度分析战略、了解战略，跳出本业务部门从全局看各业务部门的发展与问题，不仅分析内部业务，更把触角伸到外部环境和竞争对手，使HR们全面掌握战略环境。</w:t>
      </w:r>
    </w:p>
    <w:p>
      <w:pPr>
        <w:pStyle w:val="11"/>
        <w:numPr>
          <w:ilvl w:val="0"/>
          <w:numId w:val="2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深入前线——业务诊断技能：掌握正确的业务诊断方法，大力提高业务洞察能力，为业务把脉，提高HR撩业务的能力。</w:t>
      </w:r>
    </w:p>
    <w:p>
      <w:pPr>
        <w:pStyle w:val="11"/>
        <w:widowControl/>
        <w:numPr>
          <w:ilvl w:val="0"/>
          <w:numId w:val="2"/>
        </w:numPr>
        <w:spacing w:line="500" w:lineRule="exact"/>
        <w:ind w:firstLineChars="0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高效运营——告诉你三支柱应该怎样开展工作。掌握H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RCOE/HRBP/HRSSC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的主要工作流程、权限规划，三支柱内部运营与管理方法；</w:t>
      </w:r>
    </w:p>
    <w:p>
      <w:pPr>
        <w:pStyle w:val="11"/>
        <w:widowControl/>
        <w:numPr>
          <w:ilvl w:val="0"/>
          <w:numId w:val="2"/>
        </w:numPr>
        <w:spacing w:line="500" w:lineRule="exact"/>
        <w:ind w:firstLineChars="0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步步高升——告诉你干三支柱后职业路怎么走。掌握成为三支柱后，各自的职位层级确定、晋升路线、成长与培养方法。</w:t>
      </w:r>
    </w:p>
    <w:bookmarkEnd w:id="0"/>
    <w:bookmarkEnd w:id="1"/>
    <w:p>
      <w:pPr>
        <w:pStyle w:val="11"/>
        <w:spacing w:line="500" w:lineRule="exact"/>
        <w:ind w:left="420" w:firstLine="0" w:firstLineChars="0"/>
        <w:rPr>
          <w:rFonts w:ascii="微软雅黑" w:hAnsi="微软雅黑" w:eastAsia="微软雅黑"/>
          <w:b/>
          <w:bCs/>
          <w:color w:val="0066FF"/>
          <w:sz w:val="24"/>
        </w:rPr>
      </w:pPr>
      <w:r>
        <w:rPr>
          <w:rFonts w:hint="eastAsia" w:ascii="微软雅黑" w:hAnsi="微软雅黑" w:eastAsia="微软雅黑"/>
          <w:b/>
          <w:bCs/>
          <w:color w:val="0066FF"/>
          <w:sz w:val="24"/>
        </w:rPr>
        <w:t>二、学习对象</w:t>
      </w:r>
    </w:p>
    <w:p>
      <w:pPr>
        <w:pStyle w:val="11"/>
        <w:spacing w:line="500" w:lineRule="exact"/>
        <w:ind w:left="420" w:firstLine="0" w:firstLineChars="0"/>
        <w:rPr>
          <w:rFonts w:ascii="微软雅黑" w:hAnsi="微软雅黑" w:eastAsia="微软雅黑"/>
          <w:bCs/>
          <w:color w:val="FF0000"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在三支柱/</w:t>
      </w:r>
      <w:r>
        <w:rPr>
          <w:rFonts w:ascii="微软雅黑" w:hAnsi="微软雅黑" w:eastAsia="微软雅黑"/>
          <w:bCs/>
          <w:szCs w:val="21"/>
        </w:rPr>
        <w:t>HRBP</w:t>
      </w:r>
      <w:r>
        <w:rPr>
          <w:rFonts w:hint="eastAsia" w:ascii="微软雅黑" w:hAnsi="微软雅黑" w:eastAsia="微软雅黑"/>
          <w:bCs/>
          <w:szCs w:val="21"/>
        </w:rPr>
        <w:t>运营中遇到困难的H</w:t>
      </w:r>
      <w:r>
        <w:rPr>
          <w:rFonts w:ascii="微软雅黑" w:hAnsi="微软雅黑" w:eastAsia="微软雅黑"/>
          <w:bCs/>
          <w:szCs w:val="21"/>
        </w:rPr>
        <w:t>R</w:t>
      </w:r>
      <w:r>
        <w:rPr>
          <w:rFonts w:hint="eastAsia" w:ascii="微软雅黑" w:hAnsi="微软雅黑" w:eastAsia="微软雅黑"/>
          <w:bCs/>
          <w:szCs w:val="21"/>
        </w:rPr>
        <w:t>们。</w:t>
      </w:r>
    </w:p>
    <w:p>
      <w:pPr>
        <w:spacing w:line="500" w:lineRule="exact"/>
        <w:ind w:firstLine="360" w:firstLineChars="150"/>
        <w:rPr>
          <w:rFonts w:ascii="微软雅黑" w:hAnsi="微软雅黑" w:eastAsia="微软雅黑"/>
          <w:b/>
          <w:bCs/>
          <w:color w:val="0066FF"/>
          <w:sz w:val="24"/>
        </w:rPr>
      </w:pPr>
      <w:r>
        <w:rPr>
          <w:rFonts w:hint="eastAsia" w:ascii="微软雅黑" w:hAnsi="微软雅黑" w:eastAsia="微软雅黑"/>
          <w:b/>
          <w:bCs/>
          <w:color w:val="0066FF"/>
          <w:sz w:val="24"/>
        </w:rPr>
        <w:t>三、培训导师</w:t>
      </w:r>
      <w:r>
        <w:rPr>
          <w:rFonts w:ascii="微软雅黑" w:hAnsi="微软雅黑" w:eastAsia="微软雅黑"/>
          <w:b/>
          <w:bCs/>
          <w:color w:val="0066FF"/>
          <w:sz w:val="24"/>
        </w:rPr>
        <w:t xml:space="preserve"> </w:t>
      </w:r>
    </w:p>
    <w:p>
      <w:pPr>
        <w:pStyle w:val="11"/>
        <w:spacing w:line="500" w:lineRule="exact"/>
        <w:ind w:left="420" w:firstLine="0"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钟虹添教授。</w:t>
      </w:r>
    </w:p>
    <w:p>
      <w:pPr>
        <w:spacing w:line="500" w:lineRule="exact"/>
        <w:ind w:firstLine="360" w:firstLineChars="150"/>
        <w:rPr>
          <w:rFonts w:ascii="微软雅黑" w:hAnsi="微软雅黑" w:eastAsia="微软雅黑"/>
          <w:b/>
          <w:color w:val="0066FF"/>
          <w:sz w:val="24"/>
        </w:rPr>
      </w:pPr>
      <w:r>
        <w:rPr>
          <w:rFonts w:hint="eastAsia" w:ascii="微软雅黑" w:hAnsi="微软雅黑" w:eastAsia="微软雅黑"/>
          <w:b/>
          <w:color w:val="0066FF"/>
          <w:sz w:val="24"/>
        </w:rPr>
        <w:t>四、培训课时</w:t>
      </w:r>
    </w:p>
    <w:p>
      <w:pPr>
        <w:pStyle w:val="11"/>
        <w:spacing w:line="500" w:lineRule="exact"/>
        <w:ind w:left="42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二天。</w:t>
      </w:r>
    </w:p>
    <w:p>
      <w:pPr>
        <w:pStyle w:val="11"/>
        <w:spacing w:line="500" w:lineRule="exact"/>
        <w:ind w:left="420" w:firstLine="0" w:firstLineChars="0"/>
        <w:rPr>
          <w:rFonts w:ascii="微软雅黑" w:hAnsi="微软雅黑" w:eastAsia="微软雅黑"/>
          <w:b/>
          <w:color w:val="0066FF"/>
          <w:sz w:val="24"/>
        </w:rPr>
      </w:pPr>
      <w:r>
        <w:rPr>
          <w:rFonts w:hint="eastAsia" w:ascii="微软雅黑" w:hAnsi="微软雅黑" w:eastAsia="微软雅黑"/>
          <w:b/>
          <w:color w:val="0066FF"/>
          <w:sz w:val="24"/>
        </w:rPr>
        <w:t>五、授课方式</w:t>
      </w:r>
    </w:p>
    <w:p>
      <w:pPr>
        <w:pStyle w:val="11"/>
        <w:spacing w:line="500" w:lineRule="exact"/>
        <w:ind w:left="42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授课方式：内容讲授、案例分析、分组讨论、独立思考、角色扮演、情景模拟、游戏、故事启发、视频、主要技能练习等。</w:t>
      </w:r>
    </w:p>
    <w:p>
      <w:pPr>
        <w:pStyle w:val="11"/>
        <w:spacing w:line="500" w:lineRule="exact"/>
        <w:ind w:left="42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时间安排：内容4</w:t>
      </w:r>
      <w:r>
        <w:rPr>
          <w:rFonts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</w:rPr>
        <w:t>%，案例3</w:t>
      </w:r>
      <w:r>
        <w:rPr>
          <w:rFonts w:ascii="微软雅黑" w:hAnsi="微软雅黑" w:eastAsia="微软雅黑"/>
          <w:szCs w:val="21"/>
        </w:rPr>
        <w:t>0</w:t>
      </w:r>
      <w:r>
        <w:rPr>
          <w:rFonts w:hint="eastAsia" w:ascii="微软雅黑" w:hAnsi="微软雅黑" w:eastAsia="微软雅黑"/>
          <w:szCs w:val="21"/>
        </w:rPr>
        <w:t>%，演练2</w:t>
      </w:r>
      <w:r>
        <w:rPr>
          <w:rFonts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</w:rPr>
        <w:t>%。</w:t>
      </w:r>
    </w:p>
    <w:p>
      <w:pPr>
        <w:pStyle w:val="11"/>
        <w:spacing w:line="500" w:lineRule="exact"/>
        <w:ind w:left="420" w:firstLine="0" w:firstLineChars="0"/>
        <w:rPr>
          <w:rFonts w:ascii="微软雅黑" w:hAnsi="微软雅黑" w:eastAsia="微软雅黑"/>
          <w:b/>
          <w:bCs/>
          <w:color w:val="0066FF"/>
          <w:sz w:val="24"/>
        </w:rPr>
      </w:pPr>
      <w:r>
        <w:rPr>
          <w:rFonts w:hint="eastAsia" w:ascii="微软雅黑" w:hAnsi="微软雅黑" w:eastAsia="微软雅黑"/>
          <w:b/>
          <w:bCs/>
          <w:color w:val="0066FF"/>
          <w:sz w:val="24"/>
        </w:rPr>
        <w:t>六、课程大纲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b/>
          <w:color w:val="000000"/>
          <w:kern w:val="0"/>
          <w:sz w:val="24"/>
          <w:shd w:val="clear" w:color="auto" w:fill="FFFFFF"/>
        </w:rPr>
      </w:pPr>
      <w:bookmarkStart w:id="2" w:name="_Hlk4066810"/>
      <w:r>
        <w:rPr>
          <w:rFonts w:hint="eastAsia" w:ascii="微软雅黑" w:hAnsi="微软雅黑" w:eastAsia="微软雅黑"/>
          <w:b/>
          <w:sz w:val="24"/>
        </w:rPr>
        <w:t>第一讲、牢不可破——HRBP与主管的沟通技能</w:t>
      </w:r>
    </w:p>
    <w:p>
      <w:pPr>
        <w:pStyle w:val="11"/>
        <w:numPr>
          <w:ilvl w:val="0"/>
          <w:numId w:val="3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擒贼先擒王，先把业务主管搞定；</w:t>
      </w:r>
    </w:p>
    <w:p>
      <w:pPr>
        <w:pStyle w:val="11"/>
        <w:numPr>
          <w:ilvl w:val="0"/>
          <w:numId w:val="3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有固定沟通渠道，沟通就有保障——HRBP与业务主管的五大沟通渠道建设；</w:t>
      </w:r>
    </w:p>
    <w:p>
      <w:pPr>
        <w:pStyle w:val="11"/>
        <w:numPr>
          <w:ilvl w:val="0"/>
          <w:numId w:val="3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微服私访——</w:t>
      </w:r>
      <w:r>
        <w:rPr>
          <w:rFonts w:ascii="微软雅黑" w:hAnsi="微软雅黑" w:eastAsia="微软雅黑"/>
          <w:szCs w:val="21"/>
        </w:rPr>
        <w:t>默默地把业务部门摸个透</w:t>
      </w:r>
      <w:r>
        <w:rPr>
          <w:rFonts w:hint="eastAsia" w:ascii="微软雅黑" w:hAnsi="微软雅黑" w:eastAsia="微软雅黑"/>
          <w:szCs w:val="21"/>
        </w:rPr>
        <w:t>；</w:t>
      </w:r>
    </w:p>
    <w:p>
      <w:pPr>
        <w:pStyle w:val="11"/>
        <w:numPr>
          <w:ilvl w:val="0"/>
          <w:numId w:val="3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有的放矢，不乱叫，倾听与表达的高超艺术；</w:t>
      </w:r>
    </w:p>
    <w:p>
      <w:pPr>
        <w:pStyle w:val="11"/>
        <w:numPr>
          <w:ilvl w:val="0"/>
          <w:numId w:val="3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朋友好办事——三招让你成为业务主管的好朋友；</w:t>
      </w:r>
    </w:p>
    <w:p>
      <w:pPr>
        <w:pStyle w:val="11"/>
        <w:numPr>
          <w:ilvl w:val="0"/>
          <w:numId w:val="3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没权威，难生存——借力业务会议与设立HR专业委员会，打造H</w:t>
      </w:r>
      <w:r>
        <w:rPr>
          <w:rFonts w:ascii="微软雅黑" w:hAnsi="微软雅黑" w:eastAsia="微软雅黑"/>
          <w:szCs w:val="21"/>
        </w:rPr>
        <w:t>RBP</w:t>
      </w:r>
      <w:r>
        <w:rPr>
          <w:rFonts w:hint="eastAsia" w:ascii="微软雅黑" w:hAnsi="微软雅黑" w:eastAsia="微软雅黑"/>
          <w:szCs w:val="21"/>
        </w:rPr>
        <w:t>的绝对权威；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案例解读：亚马逊的“HR专业委员会”，阿里的政委机制，建立了HRBP的权威。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研讨：案例练习——如此难缠的业务主管如何搞定他？</w:t>
      </w:r>
    </w:p>
    <w:p>
      <w:pPr>
        <w:spacing w:line="500" w:lineRule="exac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第二讲、亲密无间——HRBP与员工的沟通技能</w:t>
      </w:r>
    </w:p>
    <w:p>
      <w:pPr>
        <w:pStyle w:val="11"/>
        <w:numPr>
          <w:ilvl w:val="0"/>
          <w:numId w:val="4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面对业务部门员工，HRBP的三个角色；</w:t>
      </w:r>
    </w:p>
    <w:p>
      <w:pPr>
        <w:pStyle w:val="11"/>
        <w:numPr>
          <w:ilvl w:val="0"/>
          <w:numId w:val="4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HRBP与员工的五大沟通渠道建设；</w:t>
      </w:r>
    </w:p>
    <w:p>
      <w:pPr>
        <w:pStyle w:val="11"/>
        <w:numPr>
          <w:ilvl w:val="0"/>
          <w:numId w:val="4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搞定特殊员工——员工接待日的操作方式；</w:t>
      </w:r>
    </w:p>
    <w:p>
      <w:pPr>
        <w:pStyle w:val="11"/>
        <w:numPr>
          <w:ilvl w:val="0"/>
          <w:numId w:val="4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一个都不能少——班组沟通的方式与重点；</w:t>
      </w:r>
    </w:p>
    <w:p>
      <w:pPr>
        <w:pStyle w:val="11"/>
        <w:numPr>
          <w:ilvl w:val="0"/>
          <w:numId w:val="4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摸清管理者——参加科室会议；</w:t>
      </w:r>
    </w:p>
    <w:p>
      <w:pPr>
        <w:pStyle w:val="11"/>
        <w:numPr>
          <w:ilvl w:val="0"/>
          <w:numId w:val="4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建立自媒体宣传平台，打造网红式H</w:t>
      </w:r>
      <w:r>
        <w:rPr>
          <w:rFonts w:ascii="微软雅黑" w:hAnsi="微软雅黑" w:eastAsia="微软雅黑"/>
          <w:szCs w:val="21"/>
        </w:rPr>
        <w:t>RBP</w:t>
      </w:r>
      <w:r>
        <w:rPr>
          <w:rFonts w:hint="eastAsia" w:ascii="微软雅黑" w:hAnsi="微软雅黑" w:eastAsia="微软雅黑"/>
          <w:szCs w:val="21"/>
        </w:rPr>
        <w:t>；</w:t>
      </w:r>
    </w:p>
    <w:p>
      <w:pPr>
        <w:pStyle w:val="11"/>
        <w:numPr>
          <w:ilvl w:val="0"/>
          <w:numId w:val="4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员工关怀要创新——让员工把你当菩萨；</w:t>
      </w:r>
    </w:p>
    <w:p>
      <w:pPr>
        <w:spacing w:line="500" w:lineRule="exact"/>
        <w:rPr>
          <w:rFonts w:ascii="微软雅黑" w:hAnsi="微软雅黑" w:eastAsia="微软雅黑"/>
          <w:color w:val="0070C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案例解读：</w:t>
      </w:r>
      <w:r>
        <w:rPr>
          <w:rFonts w:hint="eastAsia" w:ascii="微软雅黑" w:hAnsi="微软雅黑" w:eastAsia="微软雅黑"/>
          <w:szCs w:val="21"/>
        </w:rPr>
        <w:t>华为HRBP教练式沟通机制、西门子的“金三角行动，了解以知识密集型员工为主的高科技企业的HRBP是如何与员工沟通的，如何让这些科技型知识分子得到满意的服务。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练习：与业务部门员工沟通技能练习</w:t>
      </w:r>
    </w:p>
    <w:p>
      <w:pPr>
        <w:pStyle w:val="6"/>
        <w:spacing w:before="0" w:beforeAutospacing="0" w:after="0" w:afterAutospacing="0" w:line="500" w:lineRule="exact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第三讲、抬头看天——战略分析技能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bookmarkStart w:id="3" w:name="_Hlk4067769"/>
      <w:r>
        <w:rPr>
          <w:rFonts w:hint="eastAsia" w:ascii="微软雅黑" w:hAnsi="微软雅黑" w:eastAsia="微软雅黑"/>
          <w:szCs w:val="21"/>
        </w:rPr>
        <w:t>一、三支柱的战略调研技能</w:t>
      </w:r>
    </w:p>
    <w:bookmarkEnd w:id="3"/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（一）调研访谈技能</w:t>
      </w:r>
    </w:p>
    <w:p>
      <w:pPr>
        <w:pStyle w:val="11"/>
        <w:numPr>
          <w:ilvl w:val="0"/>
          <w:numId w:val="5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如何从三支柱的角度设计访谈思路；</w:t>
      </w:r>
    </w:p>
    <w:p>
      <w:pPr>
        <w:pStyle w:val="11"/>
        <w:numPr>
          <w:ilvl w:val="0"/>
          <w:numId w:val="5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访谈对象选择；</w:t>
      </w:r>
    </w:p>
    <w:p>
      <w:pPr>
        <w:pStyle w:val="11"/>
        <w:numPr>
          <w:ilvl w:val="0"/>
          <w:numId w:val="5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访谈人员数量的选择的技巧；</w:t>
      </w:r>
    </w:p>
    <w:p>
      <w:pPr>
        <w:pStyle w:val="11"/>
        <w:numPr>
          <w:ilvl w:val="0"/>
          <w:numId w:val="5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编写访谈问题提纲；</w:t>
      </w:r>
    </w:p>
    <w:p>
      <w:pPr>
        <w:pStyle w:val="11"/>
        <w:numPr>
          <w:ilvl w:val="0"/>
          <w:numId w:val="5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设计</w:t>
      </w:r>
      <w:r>
        <w:rPr>
          <w:rFonts w:ascii="微软雅黑" w:hAnsi="微软雅黑" w:eastAsia="微软雅黑"/>
          <w:szCs w:val="21"/>
        </w:rPr>
        <w:t>访谈问题的主要维度</w:t>
      </w:r>
      <w:r>
        <w:rPr>
          <w:rFonts w:hint="eastAsia" w:ascii="微软雅黑" w:hAnsi="微软雅黑" w:eastAsia="微软雅黑"/>
          <w:szCs w:val="21"/>
        </w:rPr>
        <w:t>；</w:t>
      </w:r>
    </w:p>
    <w:p>
      <w:pPr>
        <w:pStyle w:val="11"/>
        <w:numPr>
          <w:ilvl w:val="0"/>
          <w:numId w:val="5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访谈方法与技巧；</w:t>
      </w:r>
    </w:p>
    <w:p>
      <w:pPr>
        <w:pStyle w:val="11"/>
        <w:numPr>
          <w:ilvl w:val="0"/>
          <w:numId w:val="5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提问题的技巧；</w:t>
      </w:r>
    </w:p>
    <w:p>
      <w:pPr>
        <w:pStyle w:val="11"/>
        <w:numPr>
          <w:ilvl w:val="0"/>
          <w:numId w:val="5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访谈场所的选择；</w:t>
      </w:r>
    </w:p>
    <w:p>
      <w:pPr>
        <w:pStyle w:val="11"/>
        <w:numPr>
          <w:ilvl w:val="0"/>
          <w:numId w:val="5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访谈内容整理；</w:t>
      </w:r>
    </w:p>
    <w:p>
      <w:pPr>
        <w:pStyle w:val="11"/>
        <w:numPr>
          <w:ilvl w:val="0"/>
          <w:numId w:val="5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访谈结论与主要现象/问题。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案例分享：西门子的三支柱的人员访谈案例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练习：三支柱人员的访谈技能练习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（二）问卷调查技能</w:t>
      </w:r>
    </w:p>
    <w:p>
      <w:pPr>
        <w:pStyle w:val="11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三支柱的问卷调查与企业其它调查的区别在哪里？</w:t>
      </w:r>
    </w:p>
    <w:p>
      <w:pPr>
        <w:pStyle w:val="11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问卷调查对象选择；</w:t>
      </w:r>
    </w:p>
    <w:p>
      <w:pPr>
        <w:pStyle w:val="11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问卷调查对象数量确定的技巧；</w:t>
      </w:r>
    </w:p>
    <w:p>
      <w:pPr>
        <w:pStyle w:val="11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编写问卷调查问题提纲；</w:t>
      </w:r>
    </w:p>
    <w:p>
      <w:pPr>
        <w:pStyle w:val="11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设计</w:t>
      </w:r>
      <w:r>
        <w:rPr>
          <w:rFonts w:ascii="微软雅黑" w:hAnsi="微软雅黑" w:eastAsia="微软雅黑"/>
          <w:szCs w:val="21"/>
        </w:rPr>
        <w:t>问卷调查问题的主要维度</w:t>
      </w:r>
      <w:r>
        <w:rPr>
          <w:rFonts w:hint="eastAsia" w:ascii="微软雅黑" w:hAnsi="微软雅黑" w:eastAsia="微软雅黑"/>
          <w:szCs w:val="21"/>
        </w:rPr>
        <w:t>；</w:t>
      </w:r>
    </w:p>
    <w:p>
      <w:pPr>
        <w:pStyle w:val="11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问卷调查方法与技巧；</w:t>
      </w:r>
    </w:p>
    <w:p>
      <w:pPr>
        <w:pStyle w:val="11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问卷回收技巧；</w:t>
      </w:r>
    </w:p>
    <w:p>
      <w:pPr>
        <w:pStyle w:val="11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问卷调查内容整理与统计；</w:t>
      </w:r>
    </w:p>
    <w:p>
      <w:pPr>
        <w:pStyle w:val="11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问卷调查结论与主要现象/问题。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案例分享：西门子三支柱的问卷调查案例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bookmarkStart w:id="4" w:name="_Hlk4067344"/>
      <w:r>
        <w:rPr>
          <w:rFonts w:hint="eastAsia" w:ascii="微软雅黑" w:hAnsi="微软雅黑" w:eastAsia="微软雅黑"/>
          <w:b/>
          <w:szCs w:val="21"/>
        </w:rPr>
        <w:t>练习：基于三支柱运营模式的问卷调查练习</w:t>
      </w:r>
    </w:p>
    <w:bookmarkEnd w:id="4"/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（三）目标观察技能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目标观察范围和内容设计；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目标观察对象设计；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目标观察实施技巧；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</w:t>
      </w:r>
      <w:r>
        <w:rPr>
          <w:rFonts w:ascii="微软雅黑" w:hAnsi="微软雅黑" w:eastAsia="微软雅黑"/>
          <w:szCs w:val="21"/>
        </w:rPr>
        <w:t>.</w:t>
      </w:r>
      <w:r>
        <w:rPr>
          <w:rFonts w:hint="eastAsia" w:ascii="微软雅黑" w:hAnsi="微软雅黑" w:eastAsia="微软雅黑"/>
          <w:szCs w:val="21"/>
        </w:rPr>
        <w:t>目标观察总结、分析技能。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练习：基于三支柱运营模式的目标观察练习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二、三支柱的战略分析技能</w:t>
      </w:r>
    </w:p>
    <w:p>
      <w:pPr>
        <w:pStyle w:val="11"/>
        <w:numPr>
          <w:ilvl w:val="0"/>
          <w:numId w:val="7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事务型三支柱与战略型三支柱的区别；</w:t>
      </w:r>
    </w:p>
    <w:p>
      <w:pPr>
        <w:pStyle w:val="11"/>
        <w:numPr>
          <w:ilvl w:val="0"/>
          <w:numId w:val="7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调研诊断维度：公司、客户、竞争对手</w:t>
      </w:r>
      <w:r>
        <w:rPr>
          <w:rFonts w:ascii="微软雅黑" w:hAnsi="微软雅黑" w:eastAsia="微软雅黑" w:cstheme="minorBidi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 xml:space="preserve">3C's </w:t>
      </w:r>
      <w:r>
        <w:rPr>
          <w:rFonts w:hint="eastAsia" w:ascii="微软雅黑" w:hAnsi="微软雅黑" w:eastAsia="微软雅黑" w:cstheme="minorBidi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微软雅黑" w:hAnsi="微软雅黑" w:eastAsia="微软雅黑" w:cstheme="minorBidi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Strategic Triangle Model</w:t>
      </w:r>
      <w:r>
        <w:rPr>
          <w:rFonts w:hint="eastAsia" w:ascii="微软雅黑" w:hAnsi="微软雅黑" w:eastAsia="微软雅黑" w:cstheme="minorBidi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szCs w:val="21"/>
        </w:rPr>
        <w:t>；</w:t>
      </w:r>
    </w:p>
    <w:p>
      <w:pPr>
        <w:pStyle w:val="11"/>
        <w:numPr>
          <w:ilvl w:val="0"/>
          <w:numId w:val="7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公司层面调研的维度与方法；</w:t>
      </w:r>
    </w:p>
    <w:p>
      <w:pPr>
        <w:pStyle w:val="11"/>
        <w:numPr>
          <w:ilvl w:val="0"/>
          <w:numId w:val="7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竞争对手调研的维度与方法；</w:t>
      </w:r>
    </w:p>
    <w:p>
      <w:pPr>
        <w:pStyle w:val="11"/>
        <w:numPr>
          <w:ilvl w:val="0"/>
          <w:numId w:val="7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客户调研的维度与方法。</w:t>
      </w:r>
    </w:p>
    <w:p>
      <w:pPr>
        <w:pStyle w:val="11"/>
        <w:numPr>
          <w:ilvl w:val="0"/>
          <w:numId w:val="7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业务部门的SWOT分析；</w:t>
      </w:r>
    </w:p>
    <w:p>
      <w:pPr>
        <w:pStyle w:val="11"/>
        <w:numPr>
          <w:ilvl w:val="0"/>
          <w:numId w:val="7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运用有效的业务信息，做出正确的对策，为HR服务。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案例解读：</w:t>
      </w:r>
      <w:r>
        <w:rPr>
          <w:rFonts w:hint="eastAsia" w:ascii="微软雅黑" w:hAnsi="微软雅黑" w:eastAsia="微软雅黑"/>
          <w:szCs w:val="21"/>
        </w:rPr>
        <w:t>西门子以项目管理和产品导向为主，华为与之类似，而腾讯是以产品为导向；业务链比较复杂的西门子，三支柱们如何去了解和掌握企业内外环境和战略，业务策略和运营情况，为HR产品开发提供方向，为业务部门服务，其战略分析技能和方法值得借鉴。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练习：企业内外环境与战略案例分析练习</w:t>
      </w:r>
    </w:p>
    <w:bookmarkEnd w:id="2"/>
    <w:p>
      <w:pPr>
        <w:spacing w:line="500" w:lineRule="exac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第四讲、 深入前线——业务诊断技能</w:t>
      </w:r>
    </w:p>
    <w:p>
      <w:pPr>
        <w:pStyle w:val="11"/>
        <w:numPr>
          <w:ilvl w:val="0"/>
          <w:numId w:val="8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业务运作，三支柱该介入多深？</w:t>
      </w:r>
    </w:p>
    <w:p>
      <w:pPr>
        <w:pStyle w:val="11"/>
        <w:numPr>
          <w:ilvl w:val="0"/>
          <w:numId w:val="8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业务诊断，诊断什么内容？</w:t>
      </w:r>
    </w:p>
    <w:p>
      <w:pPr>
        <w:pStyle w:val="11"/>
        <w:numPr>
          <w:ilvl w:val="0"/>
          <w:numId w:val="8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业务诊断不要忘了竞争对手；</w:t>
      </w:r>
    </w:p>
    <w:p>
      <w:pPr>
        <w:pStyle w:val="11"/>
        <w:numPr>
          <w:ilvl w:val="0"/>
          <w:numId w:val="8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业务诊断的四个步骤；</w:t>
      </w:r>
    </w:p>
    <w:p>
      <w:pPr>
        <w:pStyle w:val="11"/>
        <w:numPr>
          <w:ilvl w:val="0"/>
          <w:numId w:val="8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业务诊断的五种方法</w:t>
      </w:r>
    </w:p>
    <w:p>
      <w:pPr>
        <w:pStyle w:val="11"/>
        <w:numPr>
          <w:ilvl w:val="0"/>
          <w:numId w:val="8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业务诊断结果的呈现技巧——把握火候与时机。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案例解读：华为三支柱撩业务的方法-——“1245模式”</w:t>
      </w:r>
    </w:p>
    <w:p>
      <w:pPr>
        <w:pStyle w:val="11"/>
        <w:numPr>
          <w:ilvl w:val="0"/>
          <w:numId w:val="9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1撩：可以撩</w:t>
      </w:r>
    </w:p>
    <w:p>
      <w:pPr>
        <w:pStyle w:val="11"/>
        <w:numPr>
          <w:ilvl w:val="0"/>
          <w:numId w:val="9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2个目的：把关业务、服务业务</w:t>
      </w:r>
    </w:p>
    <w:p>
      <w:pPr>
        <w:pStyle w:val="11"/>
        <w:numPr>
          <w:ilvl w:val="0"/>
          <w:numId w:val="9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4大步骤：调研、分析、判断、呈现</w:t>
      </w:r>
    </w:p>
    <w:p>
      <w:pPr>
        <w:pStyle w:val="11"/>
        <w:numPr>
          <w:ilvl w:val="0"/>
          <w:numId w:val="9"/>
        </w:numPr>
        <w:spacing w:line="5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5种方法：CPM、人员访谈、问卷调查、资料分析、市场调查</w:t>
      </w:r>
    </w:p>
    <w:p>
      <w:pPr>
        <w:spacing w:line="500" w:lineRule="exac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练习：企业业务部门业务运营诊断练习</w:t>
      </w:r>
    </w:p>
    <w:p>
      <w:pPr>
        <w:widowControl/>
        <w:spacing w:line="520" w:lineRule="exact"/>
        <w:jc w:val="left"/>
        <w:rPr>
          <w:rFonts w:ascii="微软雅黑" w:hAnsi="微软雅黑" w:eastAsia="微软雅黑" w:cs="宋体"/>
          <w:b/>
          <w:kern w:val="0"/>
          <w:sz w:val="24"/>
          <w:shd w:val="clear" w:color="auto" w:fill="FFFFFF"/>
        </w:rPr>
      </w:pPr>
      <w:bookmarkStart w:id="5" w:name="_Hlk56801135"/>
      <w:r>
        <w:rPr>
          <w:rFonts w:hint="eastAsia" w:ascii="微软雅黑" w:hAnsi="微软雅黑" w:eastAsia="微软雅黑" w:cs="宋体"/>
          <w:b/>
          <w:kern w:val="0"/>
          <w:sz w:val="24"/>
          <w:shd w:val="clear" w:color="auto" w:fill="FFFFFF"/>
        </w:rPr>
        <w:t>第五讲、高效运营——三支柱运营方法</w:t>
      </w:r>
    </w:p>
    <w:bookmarkEnd w:id="5"/>
    <w:p>
      <w:pPr>
        <w:pStyle w:val="11"/>
        <w:widowControl/>
        <w:numPr>
          <w:ilvl w:val="0"/>
          <w:numId w:val="10"/>
        </w:numPr>
        <w:spacing w:line="520" w:lineRule="exact"/>
        <w:ind w:firstLineChars="0"/>
        <w:jc w:val="left"/>
        <w:rPr>
          <w:rFonts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三支柱内部如何沟通协调？</w:t>
      </w:r>
    </w:p>
    <w:p>
      <w:pPr>
        <w:pStyle w:val="11"/>
        <w:widowControl/>
        <w:numPr>
          <w:ilvl w:val="0"/>
          <w:numId w:val="10"/>
        </w:numPr>
        <w:spacing w:line="520" w:lineRule="exact"/>
        <w:ind w:firstLineChars="0"/>
        <w:jc w:val="left"/>
        <w:rPr>
          <w:rFonts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</w:pPr>
      <w:bookmarkStart w:id="6" w:name="_Hlk56800810"/>
      <w:r>
        <w:rPr>
          <w:rFonts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HRCOE</w:t>
      </w: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的主要工作流程，与上下游的关系与分工</w:t>
      </w:r>
      <w:bookmarkEnd w:id="6"/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；</w:t>
      </w:r>
    </w:p>
    <w:p>
      <w:pPr>
        <w:pStyle w:val="11"/>
        <w:widowControl/>
        <w:numPr>
          <w:ilvl w:val="0"/>
          <w:numId w:val="10"/>
        </w:numPr>
        <w:spacing w:line="520" w:lineRule="exact"/>
        <w:ind w:firstLineChars="0"/>
        <w:jc w:val="left"/>
        <w:rPr>
          <w:rFonts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HRBP</w:t>
      </w: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的主要工作流程，与上下游的关系与分工；</w:t>
      </w:r>
    </w:p>
    <w:p>
      <w:pPr>
        <w:pStyle w:val="11"/>
        <w:widowControl/>
        <w:numPr>
          <w:ilvl w:val="0"/>
          <w:numId w:val="10"/>
        </w:numPr>
        <w:spacing w:line="520" w:lineRule="exact"/>
        <w:ind w:firstLineChars="0"/>
        <w:jc w:val="left"/>
        <w:rPr>
          <w:rFonts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HRSSC</w:t>
      </w: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的主要工作流程，与上下游的关系与分工；</w:t>
      </w:r>
    </w:p>
    <w:p>
      <w:pPr>
        <w:pStyle w:val="11"/>
        <w:widowControl/>
        <w:numPr>
          <w:ilvl w:val="0"/>
          <w:numId w:val="10"/>
        </w:numPr>
        <w:spacing w:line="520" w:lineRule="exact"/>
        <w:ind w:firstLineChars="0"/>
        <w:jc w:val="left"/>
        <w:rPr>
          <w:rFonts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H</w:t>
      </w:r>
      <w:r>
        <w:rPr>
          <w:rFonts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RBP</w:t>
      </w: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的工作汇报策略；</w:t>
      </w:r>
    </w:p>
    <w:p>
      <w:pPr>
        <w:pStyle w:val="11"/>
        <w:widowControl/>
        <w:numPr>
          <w:ilvl w:val="0"/>
          <w:numId w:val="10"/>
        </w:numPr>
        <w:spacing w:line="520" w:lineRule="exact"/>
        <w:ind w:firstLineChars="0"/>
        <w:jc w:val="left"/>
        <w:rPr>
          <w:rFonts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H</w:t>
      </w:r>
      <w:r>
        <w:rPr>
          <w:rFonts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RBP</w:t>
      </w: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的绩效考核策略；</w:t>
      </w:r>
    </w:p>
    <w:p>
      <w:pPr>
        <w:pStyle w:val="11"/>
        <w:widowControl/>
        <w:numPr>
          <w:ilvl w:val="0"/>
          <w:numId w:val="10"/>
        </w:numPr>
        <w:spacing w:line="520" w:lineRule="exact"/>
        <w:ind w:firstLineChars="0"/>
        <w:jc w:val="left"/>
        <w:rPr>
          <w:rFonts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H</w:t>
      </w:r>
      <w:r>
        <w:rPr>
          <w:rFonts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RBP</w:t>
      </w: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的工作权限规划；</w:t>
      </w:r>
    </w:p>
    <w:p>
      <w:pPr>
        <w:pStyle w:val="11"/>
        <w:widowControl/>
        <w:numPr>
          <w:ilvl w:val="0"/>
          <w:numId w:val="10"/>
        </w:numPr>
        <w:spacing w:line="520" w:lineRule="exact"/>
        <w:ind w:firstLineChars="0"/>
        <w:jc w:val="left"/>
        <w:rPr>
          <w:rFonts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  <w:shd w:val="clear" w:color="auto" w:fill="FFFFFF"/>
        </w:rPr>
        <w:t>三支柱在各人力资源管理模块中的不同工作权限。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b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  <w:shd w:val="clear" w:color="auto" w:fill="FFFFFF"/>
        </w:rPr>
        <w:t>案例分享：西门子、华为、阿里H</w:t>
      </w:r>
      <w:r>
        <w:rPr>
          <w:rFonts w:ascii="微软雅黑" w:hAnsi="微软雅黑" w:eastAsia="微软雅黑" w:cs="宋体"/>
          <w:b/>
          <w:color w:val="000000"/>
          <w:kern w:val="0"/>
          <w:szCs w:val="21"/>
          <w:shd w:val="clear" w:color="auto" w:fill="FFFFFF"/>
        </w:rPr>
        <w:t>RBP</w:t>
      </w:r>
      <w:r>
        <w:rPr>
          <w:rFonts w:hint="eastAsia" w:ascii="微软雅黑" w:hAnsi="微软雅黑" w:eastAsia="微软雅黑" w:cs="宋体"/>
          <w:b/>
          <w:color w:val="000000"/>
          <w:kern w:val="0"/>
          <w:szCs w:val="21"/>
          <w:shd w:val="clear" w:color="auto" w:fill="FFFFFF"/>
        </w:rPr>
        <w:t>的权力。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b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  <w:shd w:val="clear" w:color="auto" w:fill="FFFFFF"/>
        </w:rPr>
        <w:t>研讨：H</w:t>
      </w:r>
      <w:r>
        <w:rPr>
          <w:rFonts w:ascii="微软雅黑" w:hAnsi="微软雅黑" w:eastAsia="微软雅黑" w:cs="宋体"/>
          <w:b/>
          <w:color w:val="000000"/>
          <w:kern w:val="0"/>
          <w:szCs w:val="21"/>
          <w:shd w:val="clear" w:color="auto" w:fill="FFFFFF"/>
        </w:rPr>
        <w:t>RBP</w:t>
      </w:r>
      <w:r>
        <w:rPr>
          <w:rFonts w:hint="eastAsia" w:ascii="微软雅黑" w:hAnsi="微软雅黑" w:eastAsia="微软雅黑" w:cs="宋体"/>
          <w:b/>
          <w:color w:val="000000"/>
          <w:kern w:val="0"/>
          <w:szCs w:val="21"/>
          <w:shd w:val="clear" w:color="auto" w:fill="FFFFFF"/>
        </w:rPr>
        <w:t>在工作中需要哪些工作权力？</w:t>
      </w:r>
    </w:p>
    <w:p>
      <w:pPr>
        <w:widowControl/>
        <w:spacing w:line="520" w:lineRule="exact"/>
        <w:jc w:val="left"/>
        <w:rPr>
          <w:rFonts w:ascii="微软雅黑" w:hAnsi="微软雅黑" w:eastAsia="微软雅黑" w:cs="宋体"/>
          <w:b/>
          <w:kern w:val="0"/>
          <w:sz w:val="24"/>
          <w:shd w:val="clear" w:color="auto" w:fill="FFFFFF"/>
        </w:rPr>
      </w:pPr>
      <w:bookmarkStart w:id="7" w:name="_Hlk56802294"/>
      <w:r>
        <w:rPr>
          <w:rFonts w:hint="eastAsia" w:ascii="微软雅黑" w:hAnsi="微软雅黑" w:eastAsia="微软雅黑" w:cs="宋体"/>
          <w:b/>
          <w:kern w:val="0"/>
          <w:sz w:val="24"/>
          <w:shd w:val="clear" w:color="auto" w:fill="FFFFFF"/>
        </w:rPr>
        <w:t>第六讲、步步高升——三支柱的职业成长</w:t>
      </w:r>
    </w:p>
    <w:bookmarkEnd w:id="7"/>
    <w:p>
      <w:pPr>
        <w:pStyle w:val="11"/>
        <w:widowControl/>
        <w:numPr>
          <w:ilvl w:val="0"/>
          <w:numId w:val="11"/>
        </w:numPr>
        <w:spacing w:line="52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HRCOE的三个晋升方向；</w:t>
      </w:r>
    </w:p>
    <w:p>
      <w:pPr>
        <w:pStyle w:val="11"/>
        <w:widowControl/>
        <w:numPr>
          <w:ilvl w:val="0"/>
          <w:numId w:val="11"/>
        </w:numPr>
        <w:spacing w:line="52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HR</w:t>
      </w:r>
      <w:r>
        <w:rPr>
          <w:rFonts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BP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确定为什么职级与职位，自己争取；</w:t>
      </w:r>
    </w:p>
    <w:p>
      <w:pPr>
        <w:pStyle w:val="11"/>
        <w:widowControl/>
        <w:numPr>
          <w:ilvl w:val="0"/>
          <w:numId w:val="11"/>
        </w:numPr>
        <w:spacing w:line="52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HR</w:t>
      </w:r>
      <w:r>
        <w:rPr>
          <w:rFonts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BP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的晋升之道；</w:t>
      </w:r>
    </w:p>
    <w:p>
      <w:pPr>
        <w:pStyle w:val="11"/>
        <w:widowControl/>
        <w:numPr>
          <w:ilvl w:val="0"/>
          <w:numId w:val="11"/>
        </w:numPr>
        <w:spacing w:line="52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HR</w:t>
      </w:r>
      <w:r>
        <w:rPr>
          <w:rFonts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BP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的来源；</w:t>
      </w:r>
    </w:p>
    <w:p>
      <w:pPr>
        <w:pStyle w:val="11"/>
        <w:widowControl/>
        <w:numPr>
          <w:ilvl w:val="0"/>
          <w:numId w:val="11"/>
        </w:numPr>
        <w:spacing w:line="52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H</w:t>
      </w:r>
      <w:r>
        <w:rPr>
          <w:rFonts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RSSC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的晋升之道；</w:t>
      </w:r>
    </w:p>
    <w:p>
      <w:pPr>
        <w:pStyle w:val="11"/>
        <w:widowControl/>
        <w:numPr>
          <w:ilvl w:val="0"/>
          <w:numId w:val="11"/>
        </w:numPr>
        <w:spacing w:line="52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三支柱的HR专业能力培养策略和方法设计。</w:t>
      </w:r>
    </w:p>
    <w:p>
      <w:pPr>
        <w:widowControl/>
        <w:spacing w:line="500" w:lineRule="exact"/>
        <w:jc w:val="left"/>
        <w:rPr>
          <w:rFonts w:ascii="微软雅黑" w:hAnsi="微软雅黑" w:eastAsia="微软雅黑" w:cs="宋体"/>
          <w:b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  <w:shd w:val="clear" w:color="auto" w:fill="FFFFFF"/>
        </w:rPr>
        <w:t>案例分享：西门子的三支柱H</w:t>
      </w:r>
      <w:r>
        <w:rPr>
          <w:rFonts w:ascii="微软雅黑" w:hAnsi="微软雅黑" w:eastAsia="微软雅黑" w:cs="宋体"/>
          <w:b/>
          <w:color w:val="000000"/>
          <w:kern w:val="0"/>
          <w:szCs w:val="21"/>
          <w:shd w:val="clear" w:color="auto" w:fill="FFFFFF"/>
        </w:rPr>
        <w:t>R</w:t>
      </w:r>
      <w:r>
        <w:rPr>
          <w:rFonts w:hint="eastAsia" w:ascii="微软雅黑" w:hAnsi="微软雅黑" w:eastAsia="微软雅黑" w:cs="宋体"/>
          <w:b/>
          <w:color w:val="000000"/>
          <w:kern w:val="0"/>
          <w:szCs w:val="21"/>
          <w:shd w:val="clear" w:color="auto" w:fill="FFFFFF"/>
        </w:rPr>
        <w:t>专业能力培养方法。</w:t>
      </w:r>
    </w:p>
    <w:p>
      <w:pPr>
        <w:pStyle w:val="2"/>
        <w:jc w:val="both"/>
        <w:rPr>
          <w:rFonts w:hint="eastAsia"/>
        </w:rPr>
      </w:pPr>
    </w:p>
    <w:p>
      <w:pPr>
        <w:spacing w:line="288" w:lineRule="auto"/>
        <w:rPr>
          <w:rFonts w:hint="eastAsia" w:ascii="宋体" w:hAnsi="宋体" w:cs="宋体"/>
          <w:b/>
          <w:bCs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  <w:lang w:eastAsia="zh-CN"/>
        </w:rPr>
        <w:t>讲师介绍：</w:t>
      </w:r>
    </w:p>
    <w:p>
      <w:pPr>
        <w:pStyle w:val="2"/>
        <w:ind w:firstLine="361" w:firstLineChars="100"/>
        <w:jc w:val="both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钟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老师：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0066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125730</wp:posOffset>
                </wp:positionV>
                <wp:extent cx="2952750" cy="3219450"/>
                <wp:effectExtent l="0" t="0" r="0" b="0"/>
                <wp:wrapNone/>
                <wp:docPr id="18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o:spt="1" style="position:absolute;left:0pt;margin-left:305.55pt;margin-top:9.9pt;height:253.5pt;width:232.5pt;z-index:251668480;mso-width-relative:page;mso-height-relative:page;" fillcolor="#FFFFFF" filled="t" stroked="f" coordsize="21600,21600" o:gfxdata="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QqzQ+1wAAAAsBAAAPAAAA&#10;AAAAAAEAIAAAACIAAABkcnMvZG93bnJldi54bWxQSwECFAAUAAAACACHTuJAciAqSBYCAAA3BAAA&#10;DgAAAAAAAAABACAAAAAmAQAAZHJzL2Uyb0RvYy54bWxQSwUGAAAAAAYABgBZAQAAr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color w:val="0066FF"/>
          <w:sz w:val="21"/>
          <w:szCs w:val="21"/>
        </w:rPr>
        <w:t xml:space="preserve">【专业资历】 </w:t>
      </w:r>
    </w:p>
    <w:p>
      <w:pPr>
        <w:pStyle w:val="13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121285</wp:posOffset>
            </wp:positionV>
            <wp:extent cx="1767205" cy="2728595"/>
            <wp:effectExtent l="0" t="0" r="4445" b="14605"/>
            <wp:wrapNone/>
            <wp:docPr id="3" name="图片 3" descr="C:\Users\ADMINI~1\AppData\Local\Temp\15162917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1516291799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香港科技大学特聘教授，清华大学特聘教授，2018-2019</w:t>
      </w:r>
    </w:p>
    <w:p>
      <w:pPr>
        <w:pStyle w:val="13"/>
        <w:spacing w:before="0" w:beforeAutospacing="0" w:after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年度“中国首席培训师”。</w:t>
      </w:r>
    </w:p>
    <w:p>
      <w:pPr>
        <w:pStyle w:val="13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工商管理博士DBA、中国HR三支柱首席培训师，中国人才</w:t>
      </w:r>
    </w:p>
    <w:p>
      <w:pPr>
        <w:pStyle w:val="13"/>
        <w:spacing w:before="0" w:beforeAutospacing="0" w:after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梯队建设第一人、世界级领导力培养专家。</w:t>
      </w:r>
    </w:p>
    <w:p>
      <w:pPr>
        <w:pStyle w:val="13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建设银行总行前行长张建国、中国移动集团前董事长奚国华</w:t>
      </w:r>
    </w:p>
    <w:p>
      <w:pPr>
        <w:pStyle w:val="13"/>
        <w:spacing w:before="0" w:beforeAutospacing="0" w:after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最推崇的著名企业管理导师。</w:t>
      </w:r>
    </w:p>
    <w:p>
      <w:pPr>
        <w:pStyle w:val="13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核心专长： HR三支柱运营模式、人才梯队建设、人力资源</w:t>
      </w:r>
    </w:p>
    <w:p>
      <w:pPr>
        <w:pStyle w:val="13"/>
        <w:spacing w:before="0" w:beforeAutospacing="0" w:after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管理体系建设、关键人才培养、领导力培养、企业战略管理。</w:t>
      </w:r>
    </w:p>
    <w:p>
      <w:pPr>
        <w:pStyle w:val="13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二十八年工作经验，世界500强工作经历。曾任西门子、</w:t>
      </w:r>
    </w:p>
    <w:p>
      <w:pPr>
        <w:pStyle w:val="13"/>
        <w:spacing w:before="0" w:beforeAutospacing="0" w:after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亚马逊、恒信集团等著名企业的高级管理者；培训足迹遍布台湾、香港、新加坡、马来西亚、德国、澳大利亚、韩国、日本、美国等地。</w:t>
      </w:r>
    </w:p>
    <w:p>
      <w:pPr>
        <w:pStyle w:val="13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GE、IBM、中国移动集团、中国建设银行总行、中国工商银行总行、汇丰银行、国家烟草专卖局、国家电网、三星集团、宝龙集团等著名企业指定培训师/顾问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；</w:t>
      </w:r>
    </w:p>
    <w:p>
      <w:pPr>
        <w:pStyle w:val="13"/>
        <w:numPr>
          <w:ilvl w:val="0"/>
          <w:numId w:val="12"/>
        </w:numPr>
        <w:spacing w:before="0" w:beforeAutospacing="0" w:after="0" w:afterAutospacing="0" w:line="500" w:lineRule="exact"/>
        <w:jc w:val="both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著名企业管理咨询师，为众多企业提供了战略规划、企业文化建设、人力资源管理、三支柱运营模式、人才梯队建设、领导力培养等咨询项目服务；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color w:val="0066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66FF"/>
          <w:sz w:val="21"/>
          <w:szCs w:val="21"/>
        </w:rPr>
        <w:t xml:space="preserve">【研究成果】 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著作：《人才梯队建设和思八步法》厦门大学出版社，2011年；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著作：《对话世界500强CHO》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中国铁道出版社，2015年；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著作：《战略突破——打造终极核心竞争力》2020年；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课题：《厦门市民营经济发展战略》厦门市政府课题，2007年；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课题：《云南省烟草专卖局/公司发展战略规划》，云南省烟草专卖局课题，2009年；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课题：《云南省烟叶复烤集团发展战略规划》云南省烟叶复烤公司课题，2010年；</w:t>
      </w:r>
    </w:p>
    <w:p>
      <w:pPr>
        <w:numPr>
          <w:ilvl w:val="0"/>
          <w:numId w:val="13"/>
        </w:numPr>
        <w:spacing w:line="500" w:lineRule="exact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作序：为华为畅销书亲自作序《华为你学不会》、《华为人力资源管理方法论》、《华为组织运营方法论》。</w:t>
      </w:r>
    </w:p>
    <w:p>
      <w:pPr>
        <w:spacing w:line="500" w:lineRule="exact"/>
        <w:ind w:firstLine="315" w:firstLineChars="15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中国第一部帮助人才战略落地的著作《人才梯队建设和思八步法》2011年12月由厦门大学出版社出版！全书共58万字，由钟虹添博士与中国移动前董事长奚国华、中国建设银行前行长张建国合著，本书以严谨、系统的专业理论为基础，以企业人才梯队建设实际案例为主要内容，书中有大量的流程、工具和图表，具有很强的专业性、系统性、操作性，可以直接引用或模仿，是企业实现智力需求和人力需求的最佳解决方案。</w:t>
      </w:r>
    </w:p>
    <w:p>
      <w:pPr>
        <w:spacing w:line="500" w:lineRule="exact"/>
        <w:ind w:firstLine="315" w:firstLineChars="150"/>
        <w:rPr>
          <w:rFonts w:hint="eastAsia" w:ascii="宋体" w:hAnsi="宋体" w:cs="宋体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本书得到了中央大型企业相关领导的好评，如：工商银行董事长姜建清、中国石化集团董事长傅成玉、中国电信董事长王晓初、国家电网公司总经理刘振亚、国家烟草专卖局前局长姜成康等。</w:t>
      </w:r>
    </w:p>
    <w:p>
      <w:pPr>
        <w:spacing w:line="288" w:lineRule="auto"/>
        <w:ind w:firstLine="3602" w:firstLineChars="1000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报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名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表</w:t>
      </w:r>
    </w:p>
    <w:tbl>
      <w:tblPr>
        <w:tblStyle w:val="7"/>
        <w:tblpPr w:leftFromText="180" w:rightFromText="180" w:vertAnchor="text" w:horzAnchor="page" w:tblpX="1041" w:tblpY="108"/>
        <w:tblOverlap w:val="never"/>
        <w:tblW w:w="0" w:type="auto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87"/>
        <w:gridCol w:w="1044"/>
        <w:gridCol w:w="424"/>
        <w:gridCol w:w="927"/>
        <w:gridCol w:w="255"/>
        <w:gridCol w:w="1141"/>
        <w:gridCol w:w="757"/>
        <w:gridCol w:w="175"/>
        <w:gridCol w:w="796"/>
        <w:gridCol w:w="699"/>
        <w:gridCol w:w="374"/>
        <w:gridCol w:w="242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9016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sz w:val="21"/>
                <w:szCs w:val="21"/>
              </w:rPr>
              <w:t>发票抬头</w:t>
            </w: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税务号</w:t>
            </w:r>
          </w:p>
        </w:tc>
        <w:tc>
          <w:tcPr>
            <w:tcW w:w="4293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公司地址</w:t>
            </w:r>
          </w:p>
        </w:tc>
        <w:tc>
          <w:tcPr>
            <w:tcW w:w="9016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手机</w:t>
            </w:r>
          </w:p>
        </w:tc>
        <w:tc>
          <w:tcPr>
            <w:tcW w:w="3124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2572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参会</w:t>
            </w:r>
            <w:r>
              <w:rPr>
                <w:rFonts w:hint="default" w:ascii="宋体" w:hAnsi="宋体" w:eastAsia="宋体"/>
                <w:sz w:val="21"/>
                <w:szCs w:val="21"/>
              </w:rPr>
              <w:t>费用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default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default" w:ascii="宋体" w:hAnsi="宋体" w:eastAsia="宋体"/>
                <w:sz w:val="21"/>
                <w:szCs w:val="21"/>
                <w:u w:val="none"/>
              </w:rPr>
              <w:t>元</w:t>
            </w:r>
          </w:p>
        </w:tc>
        <w:tc>
          <w:tcPr>
            <w:tcW w:w="4051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rStyle w:val="10"/>
                <w:rFonts w:ascii="宋体" w:hAnsi="宋体" w:eastAsia="宋体"/>
                <w:sz w:val="21"/>
                <w:szCs w:val="21"/>
              </w:rPr>
            </w:pPr>
            <w:r>
              <w:rPr>
                <w:rStyle w:val="10"/>
                <w:rFonts w:hint="eastAsia"/>
                <w:b w:val="0"/>
                <w:bCs w:val="0"/>
                <w:sz w:val="20"/>
              </w:rPr>
              <w:t>发票内容</w:t>
            </w:r>
            <w:r>
              <w:rPr>
                <w:rStyle w:val="10"/>
                <w:rFonts w:hint="default"/>
                <w:b w:val="0"/>
                <w:bCs w:val="0"/>
                <w:sz w:val="20"/>
              </w:rPr>
              <w:t>：1.</w:t>
            </w:r>
            <w:r>
              <w:rPr>
                <w:rFonts w:hint="eastAsia"/>
                <w:bCs/>
                <w:sz w:val="20"/>
                <w:lang w:eastAsia="zh-CN"/>
              </w:rPr>
              <w:t>培训费</w:t>
            </w:r>
            <w:r>
              <w:rPr>
                <w:rFonts w:hint="default"/>
                <w:bCs/>
                <w:sz w:val="20"/>
                <w:lang w:eastAsia="zh-CN"/>
              </w:rPr>
              <w:t xml:space="preserve"> 2.</w:t>
            </w:r>
            <w:r>
              <w:rPr>
                <w:rFonts w:hint="default"/>
                <w:bCs/>
                <w:sz w:val="20"/>
              </w:rPr>
              <w:t>信息服务费 3.咨询费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rStyle w:val="10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付款方式：□课前转帐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214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酒店预订委托</w:t>
            </w:r>
          </w:p>
        </w:tc>
        <w:tc>
          <w:tcPr>
            <w:tcW w:w="7972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/>
              <w:ind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   标双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间    标单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</w:trPr>
        <w:tc>
          <w:tcPr>
            <w:tcW w:w="214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ind w:firstLine="48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汇款账号</w:t>
            </w:r>
          </w:p>
        </w:tc>
        <w:tc>
          <w:tcPr>
            <w:tcW w:w="7972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户    名：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企赢（深圳）企业管理咨询有限责任公司</w:t>
            </w:r>
          </w:p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开 户 行：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中国工商银行股份有限公司深圳布吉支行</w:t>
            </w:r>
          </w:p>
          <w:p>
            <w:pPr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公司账号：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/>
                <w:b w:val="0"/>
                <w:bCs w:val="0"/>
                <w:color w:val="000000"/>
                <w:sz w:val="21"/>
                <w:szCs w:val="21"/>
                <w:lang w:eastAsia="zh-CN"/>
              </w:rPr>
              <w:t>4000022309202049860</w:t>
            </w:r>
          </w:p>
          <w:p>
            <w:pPr>
              <w:spacing w:after="0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71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学员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名单</w:t>
            </w:r>
          </w:p>
        </w:tc>
        <w:tc>
          <w:tcPr>
            <w:tcW w:w="1431" w:type="dxa"/>
            <w:gridSpan w:val="2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606" w:type="dxa"/>
            <w:gridSpan w:val="3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98" w:type="dxa"/>
            <w:gridSpan w:val="2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  <w:r>
              <w:rPr>
                <w:rStyle w:val="10"/>
                <w:rFonts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044" w:type="dxa"/>
            <w:gridSpan w:val="4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  <w:r>
              <w:rPr>
                <w:rStyle w:val="10"/>
                <w:rFonts w:ascii="宋体"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2424" w:type="dxa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  <w:r>
              <w:rPr>
                <w:rStyle w:val="10"/>
                <w:rFonts w:ascii="宋体" w:hAnsi="宋体" w:eastAsia="宋体"/>
                <w:sz w:val="21"/>
                <w:szCs w:val="21"/>
              </w:rPr>
              <w:t>培训时间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pStyle w:val="12"/>
              <w:spacing w:before="100" w:beforeAutospacing="1" w:after="100" w:afterAutospacing="1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pStyle w:val="12"/>
              <w:spacing w:before="100" w:beforeAutospacing="1" w:after="100" w:afterAutospacing="1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Cs w:val="22"/>
        </w:rPr>
      </w:pPr>
    </w:p>
    <w:p>
      <w:r>
        <w:rPr>
          <w:rFonts w:hint="eastAsia" w:ascii="宋体" w:hAnsi="宋体" w:eastAsia="宋体" w:cs="宋体"/>
          <w:b/>
          <w:bCs/>
          <w:szCs w:val="22"/>
        </w:rPr>
        <w:t>备注：为确保您的名额和及时参加，请提前将《报名表》填好后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回复</w:t>
      </w:r>
      <w:r>
        <w:rPr>
          <w:rFonts w:hint="default" w:ascii="宋体" w:hAnsi="宋体" w:eastAsia="宋体" w:cs="宋体"/>
          <w:b/>
          <w:bCs/>
          <w:szCs w:val="2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Cs w:val="22"/>
        </w:rPr>
        <w:t>我们将有专人与您联系确认，并于开课前发出《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开课邀请函</w:t>
      </w:r>
      <w:r>
        <w:rPr>
          <w:rFonts w:hint="eastAsia" w:ascii="宋体" w:hAnsi="宋体" w:eastAsia="宋体" w:cs="宋体"/>
          <w:b/>
          <w:bCs/>
          <w:szCs w:val="22"/>
        </w:rPr>
        <w:t>》。培训时间、地点、住宿等详细信息请以《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开课邀请函</w:t>
      </w:r>
      <w:r>
        <w:rPr>
          <w:rFonts w:hint="eastAsia" w:ascii="宋体" w:hAnsi="宋体" w:eastAsia="宋体" w:cs="宋体"/>
          <w:b/>
          <w:bCs/>
          <w:szCs w:val="22"/>
        </w:rPr>
        <w:t>》书面通知为准，敬请留意。谢谢！详询热线：</w:t>
      </w:r>
      <w:r>
        <w:rPr>
          <w:rFonts w:hint="default"/>
          <w:b/>
          <w:bCs/>
          <w:color w:val="000000"/>
          <w:sz w:val="21"/>
          <w:szCs w:val="21"/>
        </w:rPr>
        <w:t xml:space="preserve">18820199517 </w:t>
      </w:r>
      <w:r>
        <w:rPr>
          <w:rFonts w:hint="eastAsia" w:ascii="宋体" w:hAnsi="宋体" w:eastAsia="宋体" w:cs="宋体"/>
          <w:b/>
          <w:bCs/>
          <w:color w:val="000000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Cs w:val="22"/>
        </w:rPr>
        <w:t>(</w:t>
      </w:r>
      <w:r>
        <w:rPr>
          <w:rFonts w:hint="eastAsia" w:ascii="宋体" w:hAnsi="宋体" w:eastAsia="宋体" w:cs="宋体"/>
          <w:b/>
          <w:bCs/>
          <w:color w:val="000000"/>
          <w:szCs w:val="22"/>
          <w:lang w:eastAsia="zh-CN"/>
        </w:rPr>
        <w:t>彭</w:t>
      </w:r>
      <w:r>
        <w:rPr>
          <w:rFonts w:hint="eastAsia" w:ascii="宋体" w:hAnsi="宋体" w:eastAsia="宋体" w:cs="宋体"/>
          <w:b/>
          <w:bCs/>
          <w:color w:val="000000"/>
          <w:szCs w:val="22"/>
        </w:rPr>
        <w:t>老师)</w:t>
      </w:r>
      <w:bookmarkStart w:id="8" w:name="_GoBack"/>
      <w:bookmarkEnd w:id="8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-766" w:firstLine="1050" w:firstLineChars="500"/>
      <w:jc w:val="both"/>
      <w:rPr>
        <w:rFonts w:hint="default" w:eastAsia="宋体"/>
        <w:color w:val="E36C09"/>
        <w:sz w:val="21"/>
        <w:szCs w:val="21"/>
        <w:lang w:val="en-US" w:eastAsia="zh-CN"/>
      </w:rPr>
    </w:pPr>
    <w:r>
      <w:rPr>
        <w:rFonts w:hint="eastAsia"/>
        <w:color w:val="E36C09"/>
        <w:sz w:val="21"/>
        <w:szCs w:val="21"/>
      </w:rPr>
      <w:t>地址：</w:t>
    </w:r>
    <w:r>
      <w:rPr>
        <w:rFonts w:hint="default"/>
        <w:color w:val="E36C09"/>
        <w:sz w:val="21"/>
        <w:szCs w:val="21"/>
      </w:rPr>
      <w:t>深圳市龙岗区布吉街道吉信大厦17</w:t>
    </w:r>
    <w:r>
      <w:rPr>
        <w:rFonts w:hint="eastAsia"/>
        <w:color w:val="E36C09"/>
        <w:sz w:val="21"/>
        <w:szCs w:val="21"/>
        <w:lang w:val="en-US" w:eastAsia="zh-CN"/>
      </w:rPr>
      <w:t>K</w:t>
    </w:r>
    <w:r>
      <w:rPr>
        <w:rFonts w:hint="eastAsia"/>
        <w:color w:val="E36C09"/>
        <w:sz w:val="28"/>
        <w:szCs w:val="28"/>
      </w:rPr>
      <w:t xml:space="preserve"> </w:t>
    </w:r>
    <w:r>
      <w:rPr>
        <w:rFonts w:hint="default"/>
        <w:color w:val="E36C09"/>
        <w:szCs w:val="21"/>
      </w:rPr>
      <w:t xml:space="preserve">  </w:t>
    </w:r>
    <w:r>
      <w:rPr>
        <w:rFonts w:hint="eastAsia"/>
        <w:color w:val="E36C09"/>
        <w:sz w:val="21"/>
        <w:szCs w:val="21"/>
      </w:rPr>
      <w:t>电话</w:t>
    </w:r>
    <w:r>
      <w:rPr>
        <w:rFonts w:hint="default"/>
        <w:color w:val="E36C09"/>
        <w:sz w:val="21"/>
        <w:szCs w:val="21"/>
      </w:rPr>
      <w:t>：</w:t>
    </w:r>
    <w:r>
      <w:rPr>
        <w:rFonts w:hint="eastAsia"/>
        <w:color w:val="E36C09"/>
        <w:sz w:val="21"/>
        <w:szCs w:val="21"/>
        <w:lang w:val="en-US" w:eastAsia="zh-CN"/>
      </w:rPr>
      <w:t>18820196871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黑体" w:eastAsia="黑体"/>
        <w:b/>
        <w:color w:val="9C2173"/>
        <w:sz w:val="20"/>
        <w:szCs w:val="20"/>
      </w:rPr>
    </w:pPr>
    <w:r>
      <w:rPr>
        <w:rFonts w:hint="eastAsia" w:ascii="黑体" w:eastAsia="黑体"/>
        <w:b/>
        <w:color w:val="9C2173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-32385</wp:posOffset>
          </wp:positionV>
          <wp:extent cx="1892300" cy="421005"/>
          <wp:effectExtent l="0" t="0" r="12700" b="17145"/>
          <wp:wrapNone/>
          <wp:docPr id="1" name="图片 1" descr="横着的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横着的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3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b/>
        <w:color w:val="9C2173"/>
        <w:sz w:val="20"/>
        <w:szCs w:val="20"/>
      </w:rPr>
      <w:t xml:space="preserve"> </w:t>
    </w:r>
  </w:p>
  <w:p>
    <w:pPr>
      <w:pStyle w:val="5"/>
      <w:ind w:firstLine="5500" w:firstLineChars="2500"/>
    </w:pPr>
    <w:r>
      <w:rPr>
        <w:rFonts w:hint="default" w:ascii="宋体" w:hAnsi="宋体"/>
        <w:color w:val="auto"/>
        <w:sz w:val="22"/>
        <w:szCs w:val="22"/>
      </w:rPr>
      <w:t>帮助企业成长——助力共赢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046"/>
    <w:multiLevelType w:val="singleLevel"/>
    <w:tmpl w:val="02B150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602FFA"/>
    <w:multiLevelType w:val="multilevel"/>
    <w:tmpl w:val="03602FF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21475F82"/>
    <w:multiLevelType w:val="multilevel"/>
    <w:tmpl w:val="21475F8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C96903"/>
    <w:multiLevelType w:val="multilevel"/>
    <w:tmpl w:val="24C9690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E07DA4"/>
    <w:multiLevelType w:val="multilevel"/>
    <w:tmpl w:val="27E07DA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8D0BF3"/>
    <w:multiLevelType w:val="multilevel"/>
    <w:tmpl w:val="328D0BF3"/>
    <w:lvl w:ilvl="0" w:tentative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3770C3"/>
    <w:multiLevelType w:val="multilevel"/>
    <w:tmpl w:val="333770C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F0149F"/>
    <w:multiLevelType w:val="multilevel"/>
    <w:tmpl w:val="34F0149F"/>
    <w:lvl w:ilvl="0" w:tentative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B90E3C"/>
    <w:multiLevelType w:val="multilevel"/>
    <w:tmpl w:val="3AB90E3C"/>
    <w:lvl w:ilvl="0" w:tentative="0">
      <w:start w:val="1"/>
      <w:numFmt w:val="decimal"/>
      <w:lvlText w:val="%1."/>
      <w:lvlJc w:val="left"/>
      <w:pPr>
        <w:ind w:left="735" w:hanging="420"/>
      </w:p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9">
    <w:nsid w:val="5C8365BA"/>
    <w:multiLevelType w:val="multilevel"/>
    <w:tmpl w:val="5C8365B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935BAE"/>
    <w:multiLevelType w:val="multilevel"/>
    <w:tmpl w:val="75935BAE"/>
    <w:lvl w:ilvl="0" w:tentative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F01F77"/>
    <w:multiLevelType w:val="multilevel"/>
    <w:tmpl w:val="7AF01F77"/>
    <w:lvl w:ilvl="0" w:tentative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DFF6F94"/>
    <w:multiLevelType w:val="multilevel"/>
    <w:tmpl w:val="7DFF6F9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B38F4"/>
    <w:rsid w:val="0A77201E"/>
    <w:rsid w:val="0EA92B7C"/>
    <w:rsid w:val="12D420F7"/>
    <w:rsid w:val="144C6BE7"/>
    <w:rsid w:val="1FF61C02"/>
    <w:rsid w:val="36E90BC7"/>
    <w:rsid w:val="374D6618"/>
    <w:rsid w:val="3B99005B"/>
    <w:rsid w:val="3E9F49AA"/>
    <w:rsid w:val="57C00535"/>
    <w:rsid w:val="620125ED"/>
    <w:rsid w:val="6F8829F7"/>
    <w:rsid w:val="72A3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beforeLines="0" w:beforeAutospacing="0" w:after="25" w:afterLines="25" w:afterAutospacing="0" w:line="240" w:lineRule="auto"/>
      <w:jc w:val="center"/>
      <w:outlineLvl w:val="0"/>
    </w:pPr>
    <w:rPr>
      <w:rFonts w:ascii="Times New Roman" w:hAnsi="Times New Roman" w:eastAsia="微软雅黑"/>
      <w:b/>
      <w:kern w:val="44"/>
      <w:sz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paragraph" w:customStyle="1" w:styleId="11">
    <w:name w:val="List Paragraph"/>
    <w:basedOn w:val="1"/>
    <w:qFormat/>
    <w:uiPriority w:val="0"/>
    <w:pPr>
      <w:adjustRightInd/>
      <w:spacing w:line="240" w:lineRule="auto"/>
      <w:ind w:firstLine="420" w:firstLineChars="200"/>
      <w:textAlignment w:val="auto"/>
    </w:pPr>
    <w:rPr>
      <w:kern w:val="2"/>
      <w:szCs w:val="24"/>
    </w:rPr>
  </w:style>
  <w:style w:type="paragraph" w:customStyle="1" w:styleId="12">
    <w:name w:val="默认段落字体 Para Char Char Char Char"/>
    <w:basedOn w:val="1"/>
    <w:qFormat/>
    <w:uiPriority w:val="0"/>
    <w:pPr>
      <w:widowControl w:val="0"/>
      <w:adjustRightInd/>
      <w:snapToGrid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3">
    <w:name w:val="11p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2020-06-11T11:54:00Z</dcterms:created>
  <dc:creator>Administrator</dc:creator>
  <cp:lastModifiedBy>企赢培训-张老师18820196871</cp:lastModifiedBy>
  <dcterms:modified xsi:type="dcterms:W3CDTF">2020-11-23T10:58:01Z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