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156" w:beforeLines="50" w:after="312" w:afterLines="100" w:line="440" w:lineRule="exact"/>
        <w:jc w:val="center"/>
        <w:rPr>
          <w:rFonts w:hint="eastAsia" w:ascii="微软雅黑" w:hAnsi="微软雅黑" w:eastAsia="微软雅黑"/>
          <w:b/>
          <w:bCs/>
          <w:sz w:val="44"/>
          <w:szCs w:val="44"/>
        </w:rPr>
      </w:pPr>
      <w:bookmarkStart w:id="0" w:name="OLE_LINK1"/>
      <w:r>
        <w:rPr>
          <w:rFonts w:hint="eastAsia" w:ascii="微软雅黑" w:hAnsi="微软雅黑" w:eastAsia="微软雅黑"/>
          <w:b/>
          <w:bCs/>
          <w:sz w:val="44"/>
          <w:szCs w:val="44"/>
        </w:rPr>
        <w:t>防错技术应用高级研修班Poka Yoke</w:t>
      </w:r>
    </w:p>
    <w:p>
      <w:pPr>
        <w:spacing w:before="156" w:beforeLines="50" w:after="312" w:afterLines="100" w:line="440" w:lineRule="exact"/>
        <w:jc w:val="both"/>
        <w:rPr>
          <w:rFonts w:hint="eastAsia" w:ascii="微软雅黑" w:hAnsi="微软雅黑" w:eastAsia="微软雅黑"/>
          <w:b/>
          <w:bCs/>
          <w:sz w:val="44"/>
          <w:szCs w:val="44"/>
        </w:rPr>
      </w:pPr>
      <w:r>
        <w:rPr>
          <w:rFonts w:hint="eastAsia" w:ascii="微软雅黑" w:hAnsi="微软雅黑" w:eastAsia="微软雅黑"/>
          <w:b/>
          <w:bCs/>
          <w:sz w:val="21"/>
          <w:szCs w:val="21"/>
        </w:rPr>
        <w:t>主办单位：</w:t>
      </w:r>
      <w:r>
        <w:rPr>
          <w:rFonts w:hint="eastAsia" w:ascii="微软雅黑" w:hAnsi="微软雅黑" w:eastAsia="微软雅黑"/>
          <w:sz w:val="21"/>
          <w:szCs w:val="21"/>
        </w:rPr>
        <w:t>一六八培训网</w:t>
      </w:r>
      <w:r>
        <w:rPr>
          <w:rFonts w:ascii="微软雅黑" w:hAnsi="微软雅黑" w:eastAsia="微软雅黑"/>
          <w:sz w:val="21"/>
          <w:szCs w:val="21"/>
        </w:rPr>
        <w:t xml:space="preserve"> </w:t>
      </w:r>
      <w:r>
        <w:rPr>
          <w:sz w:val="21"/>
          <w:szCs w:val="21"/>
        </w:rPr>
        <w:fldChar w:fldCharType="begin"/>
      </w:r>
      <w:r>
        <w:rPr>
          <w:sz w:val="21"/>
          <w:szCs w:val="21"/>
        </w:rPr>
        <w:instrText xml:space="preserve"> HYPERLINK "http://www.peixun168.com" </w:instrText>
      </w:r>
      <w:r>
        <w:rPr>
          <w:sz w:val="21"/>
          <w:szCs w:val="21"/>
        </w:rPr>
        <w:fldChar w:fldCharType="separate"/>
      </w:r>
      <w:r>
        <w:rPr>
          <w:rStyle w:val="11"/>
          <w:rFonts w:ascii="微软雅黑" w:hAnsi="微软雅黑" w:eastAsia="微软雅黑"/>
          <w:sz w:val="21"/>
          <w:szCs w:val="21"/>
        </w:rPr>
        <w:t>www.peixun168.com</w:t>
      </w:r>
      <w:r>
        <w:rPr>
          <w:rStyle w:val="11"/>
          <w:rFonts w:ascii="微软雅黑" w:hAnsi="微软雅黑" w:eastAsia="微软雅黑"/>
          <w:sz w:val="21"/>
          <w:szCs w:val="21"/>
        </w:rPr>
        <w:fldChar w:fldCharType="end"/>
      </w:r>
    </w:p>
    <w:p>
      <w:pPr>
        <w:spacing w:before="156" w:beforeLines="50" w:after="312" w:afterLines="100" w:line="440" w:lineRule="exact"/>
        <w:rPr>
          <w:rFonts w:asciiTheme="majorEastAsia" w:hAnsiTheme="majorEastAsia" w:eastAsiaTheme="majorEastAsia"/>
          <w:sz w:val="24"/>
        </w:rPr>
      </w:pPr>
      <w:r>
        <w:rPr>
          <w:rFonts w:hint="eastAsia" w:ascii="微软雅黑" w:hAnsi="微软雅黑" w:eastAsia="微软雅黑" w:cs="微软雅黑"/>
          <w:b/>
          <w:sz w:val="21"/>
          <w:szCs w:val="21"/>
        </w:rPr>
        <w:t>上课时间：</w:t>
      </w:r>
      <w:r>
        <w:rPr>
          <w:rFonts w:hint="eastAsia" w:asciiTheme="majorEastAsia" w:hAnsiTheme="majorEastAsia" w:eastAsiaTheme="majorEastAsia"/>
          <w:sz w:val="24"/>
        </w:rPr>
        <w:t>2</w:t>
      </w:r>
      <w:r>
        <w:rPr>
          <w:rFonts w:asciiTheme="majorEastAsia" w:hAnsiTheme="majorEastAsia" w:eastAsiaTheme="majorEastAsia"/>
          <w:sz w:val="24"/>
        </w:rPr>
        <w:t>021</w:t>
      </w:r>
      <w:r>
        <w:rPr>
          <w:rFonts w:hint="eastAsia" w:asciiTheme="majorEastAsia" w:hAnsiTheme="majorEastAsia" w:eastAsiaTheme="majorEastAsia"/>
          <w:sz w:val="24"/>
        </w:rPr>
        <w:t xml:space="preserve">年05月21-22日 广州  </w:t>
      </w:r>
      <w:r>
        <w:rPr>
          <w:rFonts w:asciiTheme="majorEastAsia" w:hAnsiTheme="majorEastAsia" w:eastAsiaTheme="majorEastAsia"/>
          <w:sz w:val="24"/>
        </w:rPr>
        <w:t xml:space="preserve">      </w:t>
      </w:r>
    </w:p>
    <w:p>
      <w:pPr>
        <w:spacing w:before="156" w:beforeLines="50" w:after="312" w:afterLines="100" w:line="440" w:lineRule="exact"/>
        <w:ind w:firstLine="960" w:firstLineChars="400"/>
        <w:rPr>
          <w:rFonts w:asciiTheme="majorEastAsia" w:hAnsiTheme="majorEastAsia" w:eastAsiaTheme="majorEastAsia"/>
          <w:sz w:val="24"/>
        </w:rPr>
      </w:pPr>
      <w:r>
        <w:rPr>
          <w:rFonts w:hint="eastAsia" w:asciiTheme="majorEastAsia" w:hAnsiTheme="majorEastAsia" w:eastAsiaTheme="majorEastAsia"/>
          <w:sz w:val="24"/>
        </w:rPr>
        <w:t xml:space="preserve"> </w:t>
      </w:r>
      <w:r>
        <w:rPr>
          <w:rFonts w:asciiTheme="majorEastAsia" w:hAnsiTheme="majorEastAsia" w:eastAsiaTheme="majorEastAsia"/>
          <w:sz w:val="24"/>
        </w:rPr>
        <w:t>2021</w:t>
      </w:r>
      <w:r>
        <w:rPr>
          <w:rFonts w:hint="eastAsia" w:asciiTheme="majorEastAsia" w:hAnsiTheme="majorEastAsia" w:eastAsiaTheme="majorEastAsia"/>
          <w:sz w:val="24"/>
        </w:rPr>
        <w:t xml:space="preserve">年12月10-11日 深圳 </w:t>
      </w:r>
    </w:p>
    <w:p>
      <w:pPr>
        <w:spacing w:before="156" w:beforeLines="50" w:after="312" w:afterLines="100" w:line="440" w:lineRule="exact"/>
        <w:rPr>
          <w:rFonts w:hint="eastAsia" w:ascii="宋体" w:hAnsi="宋体"/>
          <w:b/>
          <w:sz w:val="24"/>
        </w:rPr>
      </w:pPr>
      <w:r>
        <w:rPr>
          <w:rFonts w:hint="eastAsia" w:ascii="微软雅黑" w:hAnsi="微软雅黑" w:eastAsia="微软雅黑" w:cs="微软雅黑"/>
          <w:b/>
          <w:bCs/>
          <w:sz w:val="21"/>
          <w:szCs w:val="21"/>
        </w:rPr>
        <w:t>课程费用：</w:t>
      </w:r>
      <w:r>
        <w:rPr>
          <w:rFonts w:asciiTheme="minorEastAsia" w:hAnsiTheme="minorEastAsia"/>
          <w:sz w:val="24"/>
        </w:rPr>
        <w:t>3980</w:t>
      </w:r>
      <w:r>
        <w:rPr>
          <w:rFonts w:hint="eastAsia" w:asciiTheme="minorEastAsia" w:hAnsiTheme="minorEastAsia"/>
          <w:sz w:val="24"/>
        </w:rPr>
        <w:t>元</w:t>
      </w:r>
      <w:r>
        <w:rPr>
          <w:rFonts w:hint="eastAsia" w:ascii="宋体" w:hAnsi="宋体"/>
          <w:sz w:val="24"/>
        </w:rPr>
        <w:t>/人</w:t>
      </w:r>
      <w:r>
        <w:rPr>
          <w:rFonts w:hint="eastAsia" w:ascii="宋体" w:hAnsi="宋体"/>
          <w:b/>
          <w:sz w:val="24"/>
        </w:rPr>
        <w:t>（含资料费、专家演讲费、会务费）住宿可统一安排，费用自理</w:t>
      </w:r>
    </w:p>
    <w:p>
      <w:pPr>
        <w:rPr>
          <w:rFonts w:hint="eastAsia" w:ascii="宋体" w:hAnsi="宋体"/>
          <w:b/>
          <w:sz w:val="24"/>
        </w:rPr>
      </w:pPr>
      <w:r>
        <w:rPr>
          <w:rFonts w:hint="eastAsia" w:ascii="微软雅黑" w:hAnsi="微软雅黑" w:eastAsia="微软雅黑"/>
          <w:b/>
          <w:bCs/>
          <w:szCs w:val="21"/>
        </w:rPr>
        <w:t>联系电话：</w:t>
      </w:r>
      <w:r>
        <w:rPr>
          <w:rFonts w:ascii="微软雅黑" w:hAnsi="微软雅黑" w:eastAsia="微软雅黑"/>
          <w:szCs w:val="21"/>
        </w:rPr>
        <w:t xml:space="preserve">O755-86154193  86154194    </w:t>
      </w:r>
      <w:r>
        <w:rPr>
          <w:rFonts w:hint="eastAsia" w:ascii="微软雅黑" w:hAnsi="微软雅黑" w:eastAsia="微软雅黑"/>
          <w:szCs w:val="21"/>
        </w:rPr>
        <w:t>胡先生</w:t>
      </w:r>
      <w:r>
        <w:rPr>
          <w:rFonts w:ascii="微软雅黑" w:hAnsi="微软雅黑" w:eastAsia="微软雅黑"/>
          <w:szCs w:val="21"/>
        </w:rPr>
        <w:t xml:space="preserve">   </w:t>
      </w:r>
      <w:r>
        <w:rPr>
          <w:rFonts w:hint="eastAsia" w:ascii="微软雅黑" w:hAnsi="微软雅黑" w:eastAsia="微软雅黑"/>
          <w:szCs w:val="21"/>
        </w:rPr>
        <w:t>林先生</w:t>
      </w:r>
    </w:p>
    <w:bookmarkEnd w:id="0"/>
    <w:p>
      <w:pPr>
        <w:shd w:val="clear" w:color="auto" w:fill="EAEAEA" w:themeFill="accent1" w:themeFillTint="99"/>
        <w:jc w:val="center"/>
        <w:rPr>
          <w:rFonts w:ascii="微软雅黑" w:hAnsi="微软雅黑" w:eastAsia="微软雅黑"/>
          <w:b/>
          <w:sz w:val="30"/>
          <w:szCs w:val="30"/>
        </w:rPr>
      </w:pPr>
      <w:r>
        <w:rPr>
          <w:rFonts w:hint="eastAsia" w:ascii="微软雅黑" w:hAnsi="微软雅黑" w:eastAsia="微软雅黑"/>
          <w:b/>
          <w:sz w:val="30"/>
          <w:szCs w:val="30"/>
        </w:rPr>
        <w:t>课程背景</w:t>
      </w:r>
    </w:p>
    <w:p>
      <w:pPr>
        <w:spacing w:line="380" w:lineRule="exact"/>
        <w:ind w:firstLine="420" w:firstLineChars="200"/>
        <w:rPr>
          <w:rFonts w:ascii="宋体" w:hAnsi="宋体"/>
          <w:color w:val="000000"/>
        </w:rPr>
      </w:pPr>
      <w:r>
        <w:rPr>
          <w:rFonts w:hint="eastAsia" w:ascii="宋体" w:hAnsi="宋体"/>
        </w:rPr>
        <w:t>防错技术由日本丰田生产体系创建人新乡重夫首创，最初称为防傻装置，为避免引起一线操作工的误解而更名为POKA-YOKE，日本企业率先普及应用该技术，成百上千个这样的装置给日本企业带来了质量奇迹，成为一种秘密武器，现已在全世界质量控制中推广应用。防错技术针对的是事件，是一个个案例防错装置或技术应用，它通过该技术或装置的应用，替代过去依靠人工完成的重复劳动，并杜绝那些因无法保持高度注意力和记忆力而产生的缺陷。</w:t>
      </w:r>
    </w:p>
    <w:p>
      <w:pPr>
        <w:tabs>
          <w:tab w:val="left" w:pos="2310"/>
        </w:tabs>
        <w:spacing w:line="360" w:lineRule="exact"/>
        <w:rPr>
          <w:rFonts w:asciiTheme="minorEastAsia" w:hAnsiTheme="minorEastAsia"/>
          <w:kern w:val="0"/>
          <w:sz w:val="24"/>
        </w:rPr>
      </w:pPr>
    </w:p>
    <w:p>
      <w:pPr>
        <w:shd w:val="clear" w:color="auto" w:fill="EAEAEA" w:themeFill="accent1" w:themeFillTint="99"/>
        <w:jc w:val="center"/>
        <w:rPr>
          <w:rFonts w:ascii="微软雅黑" w:hAnsi="微软雅黑" w:eastAsia="微软雅黑"/>
          <w:b/>
          <w:sz w:val="30"/>
          <w:szCs w:val="30"/>
        </w:rPr>
      </w:pPr>
      <w:r>
        <w:rPr>
          <w:rFonts w:hint="eastAsia" w:ascii="微软雅黑" w:hAnsi="微软雅黑" w:eastAsia="微软雅黑"/>
          <w:b/>
          <w:sz w:val="30"/>
          <w:szCs w:val="30"/>
        </w:rPr>
        <w:t>培训对象</w:t>
      </w:r>
    </w:p>
    <w:p>
      <w:pPr>
        <w:ind w:firstLine="720" w:firstLineChars="300"/>
        <w:rPr>
          <w:rFonts w:ascii="宋体" w:hAnsi="宋体" w:eastAsia="宋体"/>
          <w:sz w:val="24"/>
        </w:rPr>
      </w:pPr>
      <w:r>
        <w:rPr>
          <w:rFonts w:hint="eastAsia" w:ascii="宋体" w:hAnsi="宋体" w:eastAsia="宋体"/>
          <w:sz w:val="24"/>
        </w:rPr>
        <w:t>技术总监、研发、工程、品管、生产等部门经理、工艺工程师、质量工程师及管理人员、设备调试人员、物流管理人员、制造、工程部门等相关人员</w:t>
      </w:r>
    </w:p>
    <w:p>
      <w:pPr>
        <w:pStyle w:val="15"/>
        <w:spacing w:line="400" w:lineRule="exact"/>
        <w:ind w:left="780" w:firstLine="0" w:firstLineChars="0"/>
        <w:rPr>
          <w:rFonts w:ascii="宋体" w:hAnsi="宋体" w:eastAsia="宋体"/>
          <w:sz w:val="24"/>
        </w:rPr>
      </w:pPr>
    </w:p>
    <w:p>
      <w:pPr>
        <w:shd w:val="clear" w:color="auto" w:fill="EAEAEA" w:themeFill="accent1" w:themeFillTint="99"/>
        <w:jc w:val="center"/>
        <w:rPr>
          <w:rFonts w:ascii="微软雅黑" w:hAnsi="微软雅黑" w:eastAsia="微软雅黑"/>
          <w:b/>
          <w:sz w:val="30"/>
          <w:szCs w:val="30"/>
        </w:rPr>
      </w:pPr>
      <w:r>
        <w:rPr>
          <w:rFonts w:hint="eastAsia" w:ascii="微软雅黑" w:hAnsi="微软雅黑" w:eastAsia="微软雅黑"/>
          <w:b/>
          <w:sz w:val="30"/>
          <w:szCs w:val="30"/>
        </w:rPr>
        <w:t>课程目标</w:t>
      </w:r>
    </w:p>
    <w:p>
      <w:pPr>
        <w:tabs>
          <w:tab w:val="left" w:pos="420"/>
        </w:tabs>
        <w:spacing w:line="440" w:lineRule="exact"/>
        <w:ind w:left="840" w:leftChars="400"/>
        <w:rPr>
          <w:rFonts w:ascii="宋体" w:hAnsi="宋体" w:eastAsia="宋体"/>
          <w:sz w:val="24"/>
        </w:rPr>
      </w:pPr>
      <w:r>
        <w:rPr>
          <w:rFonts w:hint="eastAsia" w:ascii="宋体" w:hAnsi="宋体" w:eastAsia="宋体"/>
          <w:sz w:val="24"/>
        </w:rPr>
        <w:t>掌握Poka Yoke的基本原理及应用</w:t>
      </w:r>
    </w:p>
    <w:p>
      <w:pPr>
        <w:tabs>
          <w:tab w:val="left" w:pos="420"/>
        </w:tabs>
        <w:spacing w:line="440" w:lineRule="exact"/>
        <w:ind w:left="840" w:leftChars="400"/>
        <w:rPr>
          <w:rFonts w:ascii="宋体" w:hAnsi="宋体" w:eastAsia="宋体"/>
          <w:sz w:val="24"/>
        </w:rPr>
      </w:pPr>
      <w:r>
        <w:rPr>
          <w:rFonts w:hint="eastAsia" w:ascii="宋体" w:hAnsi="宋体" w:eastAsia="宋体"/>
          <w:sz w:val="24"/>
        </w:rPr>
        <w:t>理解为何及时的鉴别不良是至关重要</w:t>
      </w:r>
    </w:p>
    <w:p>
      <w:pPr>
        <w:tabs>
          <w:tab w:val="left" w:pos="420"/>
        </w:tabs>
        <w:spacing w:line="440" w:lineRule="exact"/>
        <w:ind w:left="840" w:leftChars="400"/>
        <w:rPr>
          <w:rFonts w:ascii="宋体" w:hAnsi="宋体" w:eastAsia="宋体"/>
          <w:sz w:val="24"/>
        </w:rPr>
      </w:pPr>
      <w:r>
        <w:rPr>
          <w:rFonts w:hint="eastAsia" w:ascii="宋体" w:hAnsi="宋体" w:eastAsia="宋体"/>
          <w:sz w:val="24"/>
        </w:rPr>
        <w:t>学到如何找出那些可能漏过的损失及如何从改正作业中迅速获得反馈信息</w:t>
      </w:r>
    </w:p>
    <w:p>
      <w:pPr>
        <w:tabs>
          <w:tab w:val="left" w:pos="420"/>
        </w:tabs>
        <w:spacing w:line="440" w:lineRule="exact"/>
        <w:ind w:left="840" w:leftChars="400"/>
        <w:rPr>
          <w:rFonts w:ascii="宋体" w:hAnsi="宋体" w:eastAsia="宋体"/>
          <w:sz w:val="24"/>
        </w:rPr>
      </w:pPr>
      <w:r>
        <w:rPr>
          <w:rFonts w:hint="eastAsia" w:ascii="宋体" w:hAnsi="宋体" w:eastAsia="宋体"/>
          <w:sz w:val="24"/>
        </w:rPr>
        <w:t>发现过程改善的价值，预防代替靠检验发现错误</w:t>
      </w:r>
    </w:p>
    <w:p>
      <w:pPr>
        <w:tabs>
          <w:tab w:val="left" w:pos="420"/>
        </w:tabs>
        <w:spacing w:line="440" w:lineRule="exact"/>
        <w:ind w:left="840" w:leftChars="400"/>
        <w:rPr>
          <w:rFonts w:ascii="宋体" w:hAnsi="宋体" w:eastAsia="宋体"/>
          <w:sz w:val="24"/>
        </w:rPr>
      </w:pPr>
      <w:r>
        <w:rPr>
          <w:rFonts w:hint="eastAsia" w:ascii="宋体" w:hAnsi="宋体" w:eastAsia="宋体"/>
          <w:sz w:val="24"/>
        </w:rPr>
        <w:t>认识日常生活中的防错措施，并启发你的过程防错方法</w:t>
      </w:r>
    </w:p>
    <w:p>
      <w:pPr>
        <w:tabs>
          <w:tab w:val="left" w:pos="420"/>
        </w:tabs>
        <w:spacing w:line="440" w:lineRule="exact"/>
        <w:rPr>
          <w:rFonts w:asciiTheme="minorEastAsia" w:hAnsiTheme="minorEastAsia"/>
          <w:sz w:val="24"/>
        </w:rPr>
      </w:pPr>
    </w:p>
    <w:p>
      <w:pPr>
        <w:shd w:val="clear" w:color="auto" w:fill="EAEAEA" w:themeFill="accent1" w:themeFillTint="99"/>
        <w:jc w:val="center"/>
        <w:rPr>
          <w:rFonts w:ascii="微软雅黑" w:hAnsi="微软雅黑" w:eastAsia="微软雅黑"/>
          <w:b/>
          <w:sz w:val="30"/>
          <w:szCs w:val="30"/>
        </w:rPr>
      </w:pPr>
      <w:r>
        <w:rPr>
          <w:rFonts w:hint="eastAsia" w:ascii="微软雅黑" w:hAnsi="微软雅黑" w:eastAsia="微软雅黑"/>
          <w:b/>
          <w:sz w:val="30"/>
          <w:szCs w:val="30"/>
        </w:rPr>
        <w:t>课程大纲</w:t>
      </w:r>
    </w:p>
    <w:p>
      <w:pPr>
        <w:spacing w:line="400" w:lineRule="exact"/>
        <w:ind w:firstLine="241" w:firstLineChars="100"/>
        <w:rPr>
          <w:rFonts w:asciiTheme="majorEastAsia" w:hAnsiTheme="majorEastAsia" w:eastAsiaTheme="majorEastAsia"/>
          <w:b/>
          <w:sz w:val="24"/>
        </w:rPr>
      </w:pPr>
    </w:p>
    <w:p>
      <w:pPr>
        <w:spacing w:line="400" w:lineRule="exact"/>
        <w:ind w:firstLine="281" w:firstLineChars="100"/>
        <w:rPr>
          <w:rFonts w:cs="Times New Roman" w:asciiTheme="minorEastAsia" w:hAnsiTheme="minorEastAsia"/>
          <w:b/>
          <w:bCs/>
          <w:sz w:val="28"/>
          <w:szCs w:val="28"/>
        </w:rPr>
        <w:sectPr>
          <w:headerReference r:id="rId3" w:type="default"/>
          <w:pgSz w:w="11906" w:h="16838"/>
          <w:pgMar w:top="935" w:right="1106" w:bottom="935" w:left="1260" w:header="851" w:footer="992" w:gutter="0"/>
          <w:cols w:space="425" w:num="1"/>
          <w:docGrid w:type="lines" w:linePitch="312" w:charSpace="0"/>
        </w:sectPr>
      </w:pPr>
    </w:p>
    <w:p>
      <w:pPr>
        <w:spacing w:line="400" w:lineRule="exact"/>
        <w:ind w:firstLine="281" w:firstLineChars="100"/>
        <w:rPr>
          <w:rFonts w:cs="Times New Roman" w:asciiTheme="minorEastAsia" w:hAnsiTheme="minorEastAsia"/>
          <w:b/>
          <w:sz w:val="28"/>
          <w:szCs w:val="28"/>
        </w:rPr>
        <w:sectPr>
          <w:type w:val="continuous"/>
          <w:pgSz w:w="11906" w:h="16838"/>
          <w:pgMar w:top="935" w:right="1106" w:bottom="935" w:left="1260" w:header="851" w:footer="992" w:gutter="0"/>
          <w:cols w:space="425" w:num="1"/>
          <w:docGrid w:type="lines" w:linePitch="312" w:charSpace="0"/>
        </w:sectPr>
      </w:pPr>
      <w:r>
        <w:rPr>
          <w:rFonts w:hint="eastAsia" w:cs="Times New Roman" w:asciiTheme="minorEastAsia" w:hAnsiTheme="minorEastAsia"/>
          <w:b/>
          <w:bCs/>
          <w:sz w:val="28"/>
          <w:szCs w:val="28"/>
        </w:rPr>
        <w:t xml:space="preserve">第一部分 </w:t>
      </w:r>
      <w:r>
        <w:rPr>
          <w:rFonts w:hint="eastAsia" w:cs="Times New Roman" w:asciiTheme="minorEastAsia" w:hAnsiTheme="minorEastAsia"/>
          <w:b/>
          <w:sz w:val="28"/>
          <w:szCs w:val="28"/>
        </w:rPr>
        <w:t>防错技术的原理</w:t>
      </w:r>
    </w:p>
    <w:p>
      <w:pPr>
        <w:numPr>
          <w:ilvl w:val="0"/>
          <w:numId w:val="1"/>
        </w:numPr>
        <w:tabs>
          <w:tab w:val="left" w:pos="720"/>
          <w:tab w:val="left" w:pos="1318"/>
        </w:tabs>
        <w:spacing w:line="400" w:lineRule="exact"/>
        <w:ind w:hanging="6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通过案例看防错技术</w:t>
      </w:r>
    </w:p>
    <w:p>
      <w:pPr>
        <w:numPr>
          <w:ilvl w:val="0"/>
          <w:numId w:val="1"/>
        </w:numPr>
        <w:tabs>
          <w:tab w:val="left" w:pos="720"/>
          <w:tab w:val="left" w:pos="1318"/>
        </w:tabs>
        <w:spacing w:line="400" w:lineRule="exact"/>
        <w:ind w:hanging="6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零缺陷的实现的反思：错误产生缺陷！！</w:t>
      </w:r>
    </w:p>
    <w:p>
      <w:pPr>
        <w:numPr>
          <w:ilvl w:val="0"/>
          <w:numId w:val="1"/>
        </w:numPr>
        <w:tabs>
          <w:tab w:val="left" w:pos="720"/>
          <w:tab w:val="left" w:pos="1318"/>
        </w:tabs>
        <w:spacing w:line="400" w:lineRule="exact"/>
        <w:ind w:hanging="6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产生错误VS过失的心理学认知</w:t>
      </w:r>
    </w:p>
    <w:p>
      <w:pPr>
        <w:numPr>
          <w:ilvl w:val="0"/>
          <w:numId w:val="2"/>
        </w:numPr>
        <w:tabs>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麻痹心理与侥幸心理是无法避免的</w:t>
      </w:r>
    </w:p>
    <w:p>
      <w:pPr>
        <w:numPr>
          <w:ilvl w:val="0"/>
          <w:numId w:val="2"/>
        </w:numPr>
        <w:tabs>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恶性误操作、恶性违章＼违规</w:t>
      </w:r>
    </w:p>
    <w:p>
      <w:pPr>
        <w:numPr>
          <w:ilvl w:val="0"/>
          <w:numId w:val="2"/>
        </w:numPr>
        <w:tabs>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无意误操作与无意违章</w:t>
      </w:r>
    </w:p>
    <w:p>
      <w:pPr>
        <w:numPr>
          <w:ilvl w:val="0"/>
          <w:numId w:val="2"/>
        </w:numPr>
        <w:tabs>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传统“思想教育”的效果反思与日本企业的３Ｍ理念</w:t>
      </w:r>
    </w:p>
    <w:p>
      <w:pPr>
        <w:numPr>
          <w:ilvl w:val="0"/>
          <w:numId w:val="3"/>
        </w:numPr>
        <w:tabs>
          <w:tab w:val="left" w:pos="540"/>
        </w:tabs>
        <w:spacing w:line="400" w:lineRule="exact"/>
        <w:ind w:hanging="24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对待错误的３大基本观点</w:t>
      </w:r>
    </w:p>
    <w:p>
      <w:pPr>
        <w:numPr>
          <w:ilvl w:val="0"/>
          <w:numId w:val="2"/>
        </w:numPr>
        <w:tabs>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错误产生“缺陷”与“隐患”</w:t>
      </w:r>
    </w:p>
    <w:p>
      <w:pPr>
        <w:numPr>
          <w:ilvl w:val="0"/>
          <w:numId w:val="2"/>
        </w:numPr>
        <w:tabs>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错误无处不在</w:t>
      </w:r>
    </w:p>
    <w:p>
      <w:pPr>
        <w:numPr>
          <w:ilvl w:val="0"/>
          <w:numId w:val="2"/>
        </w:numPr>
        <w:tabs>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错误无法彻底消除，但可以制止与纠正</w:t>
      </w:r>
    </w:p>
    <w:p>
      <w:pPr>
        <w:numPr>
          <w:ilvl w:val="0"/>
          <w:numId w:val="2"/>
        </w:numPr>
        <w:tabs>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丰田的“自动化”理念</w:t>
      </w:r>
    </w:p>
    <w:p>
      <w:pPr>
        <w:numPr>
          <w:ilvl w:val="0"/>
          <w:numId w:val="1"/>
        </w:numPr>
        <w:tabs>
          <w:tab w:val="left" w:pos="540"/>
        </w:tabs>
        <w:spacing w:line="400" w:lineRule="exact"/>
        <w:ind w:left="540" w:right="-661" w:rightChars="-315" w:hanging="36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通过改善系统实现零缺陷</w:t>
      </w:r>
    </w:p>
    <w:p>
      <w:pPr>
        <w:numPr>
          <w:ilvl w:val="0"/>
          <w:numId w:val="2"/>
        </w:numPr>
        <w:tabs>
          <w:tab w:val="left" w:pos="1318"/>
        </w:tabs>
        <w:spacing w:line="400" w:lineRule="exact"/>
        <w:ind w:firstLine="120"/>
        <w:jc w:val="left"/>
        <w:rPr>
          <w:rFonts w:cs="Times New Roman" w:asciiTheme="minorEastAsia" w:hAnsiTheme="minorEastAsia"/>
          <w:color w:val="000000"/>
          <w:sz w:val="28"/>
          <w:szCs w:val="28"/>
        </w:rPr>
        <w:sectPr>
          <w:type w:val="continuous"/>
          <w:pgSz w:w="11906" w:h="16838"/>
          <w:pgMar w:top="935" w:right="1106" w:bottom="935" w:left="1260" w:header="851" w:footer="992" w:gutter="0"/>
          <w:cols w:space="425" w:num="1"/>
          <w:docGrid w:type="lines" w:linePitch="312" w:charSpace="0"/>
        </w:sectPr>
      </w:pPr>
      <w:r>
        <w:rPr>
          <w:rFonts w:hint="eastAsia" w:cs="Times New Roman" w:asciiTheme="minorEastAsia" w:hAnsiTheme="minorEastAsia"/>
          <w:color w:val="000000"/>
          <w:sz w:val="28"/>
          <w:szCs w:val="28"/>
        </w:rPr>
        <w:t>防错理念的安全生产：技防安全与本质安全</w:t>
      </w:r>
    </w:p>
    <w:p>
      <w:pPr>
        <w:spacing w:line="400" w:lineRule="exact"/>
        <w:ind w:firstLine="281" w:firstLineChars="100"/>
        <w:rPr>
          <w:rFonts w:cs="Times New Roman" w:asciiTheme="minorEastAsia" w:hAnsiTheme="minorEastAsia"/>
          <w:b/>
          <w:bCs/>
          <w:color w:val="000000"/>
          <w:sz w:val="28"/>
          <w:szCs w:val="28"/>
        </w:rPr>
      </w:pPr>
      <w:r>
        <w:rPr>
          <w:rFonts w:hint="eastAsia" w:cs="Times New Roman" w:asciiTheme="minorEastAsia" w:hAnsiTheme="minorEastAsia"/>
          <w:b/>
          <w:bCs/>
          <w:color w:val="000000"/>
          <w:sz w:val="28"/>
          <w:szCs w:val="28"/>
        </w:rPr>
        <w:t>第二部分 防错原理与运用</w:t>
      </w:r>
    </w:p>
    <w:p>
      <w:pPr>
        <w:numPr>
          <w:ilvl w:val="0"/>
          <w:numId w:val="3"/>
        </w:numPr>
        <w:spacing w:line="400" w:lineRule="exact"/>
        <w:jc w:val="left"/>
        <w:rPr>
          <w:rFonts w:cs="Times New Roman" w:asciiTheme="minorEastAsia" w:hAnsiTheme="minorEastAsia"/>
          <w:color w:val="000000"/>
          <w:sz w:val="28"/>
          <w:szCs w:val="28"/>
        </w:rPr>
        <w:sectPr>
          <w:type w:val="continuous"/>
          <w:pgSz w:w="11906" w:h="16838"/>
          <w:pgMar w:top="935" w:right="1106" w:bottom="935" w:left="1260" w:header="851" w:footer="992" w:gutter="0"/>
          <w:cols w:space="425" w:num="1"/>
          <w:docGrid w:type="lines" w:linePitch="312" w:charSpace="0"/>
        </w:sectPr>
      </w:pPr>
    </w:p>
    <w:p>
      <w:pPr>
        <w:numPr>
          <w:ilvl w:val="0"/>
          <w:numId w:val="3"/>
        </w:numPr>
        <w:tabs>
          <w:tab w:val="left" w:pos="540"/>
        </w:tabs>
        <w:spacing w:line="400" w:lineRule="exact"/>
        <w:ind w:hanging="24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十大防错原理</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实例分享：十大防错原理的应用</w:t>
      </w:r>
    </w:p>
    <w:p>
      <w:pPr>
        <w:numPr>
          <w:ilvl w:val="0"/>
          <w:numId w:val="4"/>
        </w:numPr>
        <w:spacing w:line="400" w:lineRule="exact"/>
        <w:jc w:val="left"/>
        <w:rPr>
          <w:rFonts w:cs="Times New Roman" w:asciiTheme="minorEastAsia" w:hAnsiTheme="minorEastAsia"/>
          <w:color w:val="000000"/>
          <w:sz w:val="28"/>
          <w:szCs w:val="28"/>
        </w:rPr>
        <w:sectPr>
          <w:type w:val="continuous"/>
          <w:pgSz w:w="11906" w:h="16838"/>
          <w:pgMar w:top="935" w:right="1106" w:bottom="935" w:left="1260" w:header="851" w:footer="992" w:gutter="0"/>
          <w:cols w:space="425" w:num="1"/>
          <w:docGrid w:type="lines" w:linePitch="312" w:charSpace="0"/>
        </w:sectPr>
      </w:pPr>
    </w:p>
    <w:p>
      <w:pPr>
        <w:numPr>
          <w:ilvl w:val="0"/>
          <w:numId w:val="4"/>
        </w:numPr>
        <w:tabs>
          <w:tab w:val="left" w:pos="720"/>
        </w:tabs>
        <w:spacing w:line="400" w:lineRule="exact"/>
        <w:ind w:hanging="6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五大防错思路</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消除</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替代</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简化</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检测</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减少</w:t>
      </w:r>
    </w:p>
    <w:p>
      <w:pPr>
        <w:numPr>
          <w:ilvl w:val="0"/>
          <w:numId w:val="4"/>
        </w:numPr>
        <w:tabs>
          <w:tab w:val="left" w:pos="720"/>
        </w:tabs>
        <w:spacing w:line="400" w:lineRule="exact"/>
        <w:ind w:hanging="6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五大防错法则</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只生产客户所需要的产品</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消减、简化、合并作业</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全员参与缺陷预防</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追求完美的“零”缺陷</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从源头“设计及流程”上消除缺陷</w:t>
      </w:r>
    </w:p>
    <w:p>
      <w:pPr>
        <w:numPr>
          <w:ilvl w:val="0"/>
          <w:numId w:val="4"/>
        </w:numPr>
        <w:tabs>
          <w:tab w:val="left" w:pos="540"/>
        </w:tabs>
        <w:spacing w:line="400" w:lineRule="exact"/>
        <w:ind w:hanging="24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三大防错检测技术</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判断型</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信息型</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溯源型</w:t>
      </w:r>
    </w:p>
    <w:p>
      <w:pPr>
        <w:numPr>
          <w:ilvl w:val="0"/>
          <w:numId w:val="4"/>
        </w:numPr>
        <w:tabs>
          <w:tab w:val="left" w:pos="540"/>
        </w:tabs>
        <w:spacing w:line="400" w:lineRule="exact"/>
        <w:ind w:hanging="24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防错技术的应用</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案例1：产品设计防错</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案例2：贴标签防错</w:t>
      </w:r>
    </w:p>
    <w:p>
      <w:pPr>
        <w:numPr>
          <w:ilvl w:val="0"/>
          <w:numId w:val="2"/>
        </w:numPr>
        <w:tabs>
          <w:tab w:val="left" w:pos="540"/>
          <w:tab w:val="left" w:pos="1318"/>
        </w:tabs>
        <w:spacing w:line="400" w:lineRule="exact"/>
        <w:ind w:firstLine="12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案例3：装螺丝防错</w:t>
      </w:r>
    </w:p>
    <w:p>
      <w:pPr>
        <w:numPr>
          <w:ilvl w:val="0"/>
          <w:numId w:val="2"/>
        </w:numPr>
        <w:tabs>
          <w:tab w:val="left" w:pos="540"/>
          <w:tab w:val="left" w:pos="1318"/>
        </w:tabs>
        <w:spacing w:line="400" w:lineRule="exact"/>
        <w:ind w:firstLine="120"/>
        <w:jc w:val="left"/>
        <w:rPr>
          <w:rFonts w:cs="Times New Roman" w:asciiTheme="minorEastAsia" w:hAnsiTheme="minorEastAsia"/>
          <w:sz w:val="28"/>
          <w:szCs w:val="28"/>
        </w:rPr>
        <w:sectPr>
          <w:type w:val="continuous"/>
          <w:pgSz w:w="11906" w:h="16838"/>
          <w:pgMar w:top="935" w:right="1106" w:bottom="935" w:left="1260" w:header="851" w:footer="992" w:gutter="0"/>
          <w:cols w:space="425" w:num="1"/>
          <w:docGrid w:type="lines" w:linePitch="312" w:charSpace="0"/>
        </w:sectPr>
      </w:pPr>
      <w:r>
        <w:rPr>
          <w:rFonts w:hint="eastAsia" w:cs="Times New Roman" w:asciiTheme="minorEastAsia" w:hAnsiTheme="minorEastAsia"/>
          <w:color w:val="000000"/>
          <w:sz w:val="28"/>
          <w:szCs w:val="28"/>
        </w:rPr>
        <w:t>案例4：表格填写防错</w:t>
      </w:r>
    </w:p>
    <w:p>
      <w:pPr>
        <w:spacing w:line="400" w:lineRule="exact"/>
        <w:ind w:left="180"/>
        <w:rPr>
          <w:rFonts w:cs="Times New Roman" w:asciiTheme="minorEastAsia" w:hAnsiTheme="minorEastAsia"/>
          <w:b/>
          <w:bCs/>
          <w:sz w:val="28"/>
          <w:szCs w:val="28"/>
        </w:rPr>
      </w:pPr>
      <w:r>
        <w:rPr>
          <w:rFonts w:hint="eastAsia" w:cs="Times New Roman" w:asciiTheme="minorEastAsia" w:hAnsiTheme="minorEastAsia"/>
          <w:b/>
          <w:bCs/>
          <w:sz w:val="28"/>
          <w:szCs w:val="28"/>
        </w:rPr>
        <w:t>第三部分 防错技术与设备进化</w:t>
      </w:r>
    </w:p>
    <w:p>
      <w:pPr>
        <w:numPr>
          <w:ilvl w:val="0"/>
          <w:numId w:val="4"/>
        </w:numPr>
        <w:tabs>
          <w:tab w:val="left" w:pos="540"/>
        </w:tabs>
        <w:spacing w:line="400" w:lineRule="exact"/>
        <w:ind w:hanging="24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设备</w:t>
      </w:r>
      <w:r>
        <w:rPr>
          <w:rFonts w:cs="Times New Roman" w:asciiTheme="minorEastAsia" w:hAnsiTheme="minorEastAsia"/>
          <w:color w:val="000000"/>
          <w:sz w:val="28"/>
          <w:szCs w:val="28"/>
        </w:rPr>
        <w:t>自动化</w:t>
      </w:r>
    </w:p>
    <w:p>
      <w:pPr>
        <w:numPr>
          <w:ilvl w:val="0"/>
          <w:numId w:val="4"/>
        </w:numPr>
        <w:tabs>
          <w:tab w:val="left" w:pos="540"/>
        </w:tabs>
        <w:spacing w:line="400" w:lineRule="exact"/>
        <w:ind w:hanging="24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LCIA简便自动化的应用</w:t>
      </w:r>
    </w:p>
    <w:p>
      <w:pPr>
        <w:numPr>
          <w:ilvl w:val="0"/>
          <w:numId w:val="4"/>
        </w:numPr>
        <w:tabs>
          <w:tab w:val="left" w:pos="540"/>
        </w:tabs>
        <w:spacing w:line="400" w:lineRule="exact"/>
        <w:ind w:hanging="24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lang w:eastAsia="ja-JP"/>
        </w:rPr>
        <w:t>自働化</w:t>
      </w:r>
      <w:r>
        <w:rPr>
          <w:rFonts w:hint="eastAsia" w:cs="Times New Roman" w:asciiTheme="minorEastAsia" w:hAnsiTheme="minorEastAsia"/>
          <w:color w:val="000000"/>
          <w:sz w:val="28"/>
          <w:szCs w:val="28"/>
        </w:rPr>
        <w:t>与智能防呆</w:t>
      </w:r>
    </w:p>
    <w:p>
      <w:pPr>
        <w:numPr>
          <w:ilvl w:val="0"/>
          <w:numId w:val="4"/>
        </w:numPr>
        <w:tabs>
          <w:tab w:val="left" w:pos="540"/>
        </w:tabs>
        <w:spacing w:line="400" w:lineRule="exact"/>
        <w:ind w:hanging="24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智能</w:t>
      </w:r>
      <w:r>
        <w:rPr>
          <w:rFonts w:cs="Times New Roman" w:asciiTheme="minorEastAsia" w:hAnsiTheme="minorEastAsia"/>
          <w:color w:val="000000"/>
          <w:sz w:val="28"/>
          <w:szCs w:val="28"/>
        </w:rPr>
        <w:t>式防差错：</w:t>
      </w:r>
      <w:r>
        <w:rPr>
          <w:rFonts w:hint="eastAsia" w:cs="Times New Roman" w:asciiTheme="minorEastAsia" w:hAnsiTheme="minorEastAsia"/>
          <w:color w:val="000000"/>
          <w:sz w:val="28"/>
          <w:szCs w:val="28"/>
        </w:rPr>
        <w:t>决策</w:t>
      </w:r>
      <w:r>
        <w:rPr>
          <w:rFonts w:cs="Times New Roman" w:asciiTheme="minorEastAsia" w:hAnsiTheme="minorEastAsia"/>
          <w:color w:val="000000"/>
          <w:sz w:val="28"/>
          <w:szCs w:val="28"/>
        </w:rPr>
        <w:t>功能</w:t>
      </w:r>
    </w:p>
    <w:p>
      <w:pPr>
        <w:tabs>
          <w:tab w:val="left" w:pos="540"/>
        </w:tabs>
        <w:spacing w:line="400" w:lineRule="exact"/>
        <w:ind w:left="180"/>
        <w:jc w:val="left"/>
        <w:rPr>
          <w:rFonts w:cs="Times New Roman" w:asciiTheme="minorEastAsia" w:hAnsiTheme="minorEastAsia"/>
          <w:color w:val="000000"/>
          <w:sz w:val="28"/>
          <w:szCs w:val="28"/>
        </w:rPr>
      </w:pPr>
    </w:p>
    <w:p>
      <w:pPr>
        <w:tabs>
          <w:tab w:val="left" w:pos="540"/>
        </w:tabs>
        <w:spacing w:line="400" w:lineRule="exact"/>
        <w:ind w:left="420"/>
        <w:jc w:val="left"/>
        <w:rPr>
          <w:rFonts w:cs="Times New Roman" w:asciiTheme="minorEastAsia" w:hAnsiTheme="minorEastAsia"/>
          <w:color w:val="000000"/>
          <w:sz w:val="28"/>
          <w:szCs w:val="28"/>
        </w:rPr>
      </w:pPr>
      <w:r>
        <w:rPr>
          <w:rFonts w:hint="eastAsia" w:cs="Times New Roman" w:asciiTheme="minorEastAsia" w:hAnsiTheme="minorEastAsia"/>
          <w:b/>
          <w:bCs/>
          <w:sz w:val="28"/>
          <w:szCs w:val="28"/>
        </w:rPr>
        <w:t>第四部分 防错技术实施七步法</w:t>
      </w:r>
    </w:p>
    <w:p>
      <w:pPr>
        <w:spacing w:line="400" w:lineRule="exact"/>
        <w:rPr>
          <w:rFonts w:cs="Times New Roman" w:asciiTheme="minorEastAsia" w:hAnsiTheme="minorEastAsia"/>
          <w:color w:val="000000"/>
          <w:sz w:val="28"/>
          <w:szCs w:val="28"/>
        </w:rPr>
      </w:pPr>
    </w:p>
    <w:p>
      <w:pPr>
        <w:pStyle w:val="15"/>
        <w:numPr>
          <w:ilvl w:val="0"/>
          <w:numId w:val="5"/>
        </w:numPr>
        <w:spacing w:line="400" w:lineRule="exact"/>
        <w:ind w:firstLineChars="0"/>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识别现有和潜在缺陷</w:t>
      </w:r>
    </w:p>
    <w:p>
      <w:pPr>
        <w:numPr>
          <w:ilvl w:val="0"/>
          <w:numId w:val="5"/>
        </w:numPr>
        <w:spacing w:line="400" w:lineRule="exact"/>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缺陷分析</w:t>
      </w:r>
    </w:p>
    <w:p>
      <w:pPr>
        <w:numPr>
          <w:ilvl w:val="0"/>
          <w:numId w:val="5"/>
        </w:numPr>
        <w:spacing w:line="400" w:lineRule="exact"/>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提出防错方案</w:t>
      </w:r>
    </w:p>
    <w:p>
      <w:pPr>
        <w:numPr>
          <w:ilvl w:val="0"/>
          <w:numId w:val="5"/>
        </w:numPr>
        <w:spacing w:line="400" w:lineRule="exact"/>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评估选择可行方案</w:t>
      </w:r>
    </w:p>
    <w:p>
      <w:pPr>
        <w:numPr>
          <w:ilvl w:val="0"/>
          <w:numId w:val="5"/>
        </w:numPr>
        <w:spacing w:line="400" w:lineRule="exact"/>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实施防错方案</w:t>
      </w:r>
    </w:p>
    <w:p>
      <w:pPr>
        <w:numPr>
          <w:ilvl w:val="0"/>
          <w:numId w:val="5"/>
        </w:numPr>
        <w:spacing w:line="400" w:lineRule="exact"/>
        <w:jc w:val="left"/>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防差错方案运行和评估</w:t>
      </w:r>
    </w:p>
    <w:p>
      <w:pPr>
        <w:numPr>
          <w:ilvl w:val="0"/>
          <w:numId w:val="5"/>
        </w:numPr>
        <w:spacing w:line="400" w:lineRule="exact"/>
        <w:jc w:val="left"/>
        <w:rPr>
          <w:rFonts w:cs="Times New Roman" w:asciiTheme="minorEastAsia" w:hAnsiTheme="minorEastAsia"/>
          <w:color w:val="000000"/>
          <w:sz w:val="28"/>
          <w:szCs w:val="28"/>
        </w:rPr>
        <w:sectPr>
          <w:type w:val="continuous"/>
          <w:pgSz w:w="11906" w:h="16838"/>
          <w:pgMar w:top="935" w:right="1106" w:bottom="935" w:left="1260" w:header="851" w:footer="992" w:gutter="0"/>
          <w:cols w:space="425" w:num="1"/>
          <w:docGrid w:type="lines" w:linePitch="312" w:charSpace="0"/>
        </w:sectPr>
      </w:pPr>
      <w:r>
        <w:rPr>
          <w:rFonts w:hint="eastAsia" w:cs="Times New Roman" w:asciiTheme="minorEastAsia" w:hAnsiTheme="minorEastAsia"/>
          <w:color w:val="000000"/>
          <w:sz w:val="28"/>
          <w:szCs w:val="28"/>
        </w:rPr>
        <w:t>标准化和推广</w:t>
      </w:r>
    </w:p>
    <w:p>
      <w:pPr>
        <w:widowControl/>
        <w:spacing w:line="360" w:lineRule="exact"/>
        <w:jc w:val="left"/>
        <w:rPr>
          <w:rFonts w:ascii="黑体" w:hAnsi="黑体" w:eastAsia="黑体"/>
          <w:b/>
          <w:color w:val="FF0000"/>
          <w:sz w:val="30"/>
          <w:szCs w:val="30"/>
        </w:rPr>
        <w:sectPr>
          <w:headerReference r:id="rId4" w:type="default"/>
          <w:footerReference r:id="rId5" w:type="default"/>
          <w:pgSz w:w="11906" w:h="16838"/>
          <w:pgMar w:top="1440" w:right="1134" w:bottom="1440" w:left="1134" w:header="851" w:footer="992" w:gutter="0"/>
          <w:cols w:space="425" w:num="1"/>
          <w:docGrid w:type="lines" w:linePitch="312" w:charSpace="0"/>
        </w:sectPr>
      </w:pPr>
    </w:p>
    <w:p>
      <w:pPr>
        <w:widowControl/>
        <w:spacing w:line="360" w:lineRule="exact"/>
        <w:jc w:val="left"/>
        <w:rPr>
          <w:rFonts w:ascii="黑体" w:hAnsi="黑体" w:eastAsia="黑体"/>
          <w:b/>
          <w:color w:val="FF0000"/>
          <w:sz w:val="30"/>
          <w:szCs w:val="30"/>
        </w:rPr>
      </w:pPr>
    </w:p>
    <w:p>
      <w:pPr>
        <w:shd w:val="clear" w:color="auto" w:fill="EAEAEA" w:themeFill="accent1" w:themeFillTint="99"/>
        <w:jc w:val="center"/>
        <w:rPr>
          <w:rFonts w:ascii="微软雅黑" w:hAnsi="微软雅黑" w:eastAsia="微软雅黑"/>
          <w:b/>
          <w:sz w:val="30"/>
          <w:szCs w:val="30"/>
        </w:rPr>
      </w:pPr>
      <w:r>
        <w:rPr>
          <w:rFonts w:hint="eastAsia" w:ascii="微软雅黑" w:hAnsi="微软雅黑" w:eastAsia="微软雅黑"/>
          <w:b/>
          <w:sz w:val="30"/>
          <w:szCs w:val="30"/>
        </w:rPr>
        <w:t>讲师介绍</w:t>
      </w:r>
    </w:p>
    <w:p>
      <w:pPr>
        <w:pStyle w:val="6"/>
        <w:shd w:val="clear" w:color="auto" w:fill="FFFFFF"/>
        <w:rPr>
          <w:rFonts w:asciiTheme="minorEastAsia" w:hAnsiTheme="minorEastAsia" w:eastAsiaTheme="minorEastAsia"/>
          <w:b/>
          <w:bCs/>
          <w:color w:val="000000"/>
          <w:sz w:val="30"/>
          <w:szCs w:val="30"/>
        </w:rPr>
      </w:pPr>
      <w:r>
        <w:rPr>
          <w:rFonts w:hint="eastAsia" w:asciiTheme="minorEastAsia" w:hAnsiTheme="minorEastAsia" w:eastAsiaTheme="minorEastAsia"/>
          <w:b/>
          <w:bCs/>
          <w:color w:val="000000"/>
          <w:sz w:val="30"/>
          <w:szCs w:val="30"/>
        </w:rPr>
        <w:t>李忠讲师</w:t>
      </w:r>
    </w:p>
    <w:p>
      <w:pPr>
        <w:pStyle w:val="6"/>
        <w:shd w:val="clear" w:color="auto" w:fill="FFFFFF"/>
        <w:rPr>
          <w:rFonts w:asciiTheme="minorEastAsia" w:hAnsiTheme="minorEastAsia" w:eastAsiaTheme="minorEastAsia"/>
          <w:color w:val="000000"/>
        </w:rPr>
      </w:pPr>
      <w:r>
        <w:rPr>
          <w:rFonts w:hint="eastAsia" w:asciiTheme="minorEastAsia" w:hAnsiTheme="minorEastAsia" w:eastAsiaTheme="minorEastAsia"/>
          <w:color w:val="333333"/>
          <w:shd w:val="clear" w:color="auto" w:fill="FFFFFF"/>
        </w:rPr>
        <w:t>生产现场管理实战专家</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精益生产实战专家</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中山大学MBA班特邀生产实战型讲师</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多家国内知名企业特聘生产运作管理高级顾问</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十几年日资企业生产运作管理模式的企业实践经历，5年以上管理培训和顾问经验。系统掌握企业生产运作管理理念、实战工具与方法，对日式制造管理有着深刻独到的见地。擅长生产现场管理、精益生产方式、工厂物流管理、品质保证、产销量交期管理、生产技术管理等，工作外语为日语、英语。</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自主研发系列生产管理培训课程适合企业生产各级管理人员，课程以日本制造管理模式为主体，吸纳先进的世界制造管理经验，结合自身的实际经验，力创国内制造管理模式的前沿。李老师授课风格深入浅出,演绎充满活力、激情、极具感染力，十多年的丰富经验为他的课程垫入了大量的事实与案例。通俗、实用、有效是李老师课程的最大特色。</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李老师多次赴日本、美国和德国参观世界知名工厂、接受系统培训、参与国际交流。从事咨询业以前曾长期在某世界五百企业担任中高层管理职务，主导过多项公司生产改善和革新项目，取得重大突破。</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rPr>
        <w:br w:type="textWrapping"/>
      </w:r>
      <w:r>
        <w:rPr>
          <w:rFonts w:hint="eastAsia" w:asciiTheme="minorEastAsia" w:hAnsiTheme="minorEastAsia" w:eastAsiaTheme="minorEastAsia"/>
          <w:b/>
          <w:bCs/>
          <w:color w:val="333333"/>
          <w:shd w:val="clear" w:color="auto" w:fill="FFFFFF"/>
        </w:rPr>
        <w:t>服务企业及曾在企业担任的职务</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服务企业：日本OLYMPUS（奥林巴斯）光学株式会社番禺事业场</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服务年限：13年</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担任职务：技术部技术担当、系长、课长，制造部课长、部长，人事总务部课长、部长，资材课、个装课课长（物流责任者），生产管理部部长</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rPr>
        <w:br w:type="textWrapping"/>
      </w:r>
      <w:r>
        <w:rPr>
          <w:rFonts w:hint="eastAsia" w:asciiTheme="minorEastAsia" w:hAnsiTheme="minorEastAsia" w:eastAsiaTheme="minorEastAsia"/>
          <w:b/>
          <w:bCs/>
          <w:color w:val="333333"/>
          <w:shd w:val="clear" w:color="auto" w:fill="FFFFFF"/>
        </w:rPr>
        <w:t>重要经历</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作为公司历届“安全卫生5S委员会”主力成员（3届委员长），建立了公司6S活动的框架（活动内容、评估标准/手段、活动组织、展开方式）。在5年的实战中积累了丰富的经验，也帮助公司和众多其他企业实施现场诊断、改善。</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——主导公司“混流生产方式”导入与实施项目，实现了多品种、小数量产品的柔性生产重大突破。</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——主导公司“录音机新机种导入2W内合格率100%作战”项目获得全公司大奖。</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主导公司物流“在库（仕挂）的彻底压缩”、“6S思想/物流最简化仓库的彻底实现”革新项目，6个月时间实现了公司仓库场地压缩1100平方米、在库精度100%、清洁化仓库初步形成的骄人战绩。在“单纯的仓库保管功能”向“高效物流中心”转变职能的前进道路上迈出了坚实的第一步！</w:t>
      </w:r>
      <w:r>
        <w:rPr>
          <w:rFonts w:hint="eastAsia" w:asciiTheme="minorEastAsia" w:hAnsiTheme="minorEastAsia" w:eastAsiaTheme="minorEastAsia"/>
          <w:color w:val="333333"/>
        </w:rPr>
        <w:br w:type="textWrapping"/>
      </w:r>
      <w:r>
        <w:rPr>
          <w:rFonts w:hint="eastAsia" w:asciiTheme="minorEastAsia" w:hAnsiTheme="minorEastAsia" w:eastAsiaTheme="minorEastAsia"/>
          <w:color w:val="333333"/>
          <w:shd w:val="clear" w:color="auto" w:fill="FFFFFF"/>
        </w:rPr>
        <w:t>——多次赴日本、美国、德国参观世界知名工厂、接受系统培训、参与国际交流。</w:t>
      </w:r>
    </w:p>
    <w:p>
      <w:pPr>
        <w:pStyle w:val="6"/>
        <w:shd w:val="clear" w:color="auto" w:fill="FFFFFF"/>
        <w:rPr>
          <w:rFonts w:asciiTheme="minorEastAsia" w:hAnsiTheme="minorEastAsia" w:eastAsiaTheme="minorEastAsia"/>
          <w:b/>
          <w:bCs/>
          <w:color w:val="000000"/>
        </w:rPr>
      </w:pPr>
      <w:r>
        <w:rPr>
          <w:rFonts w:hint="eastAsia" w:asciiTheme="minorEastAsia" w:hAnsiTheme="minorEastAsia" w:eastAsiaTheme="minorEastAsia"/>
          <w:b/>
          <w:bCs/>
          <w:color w:val="000000"/>
        </w:rPr>
        <w:t>服务过的企业：</w:t>
      </w:r>
    </w:p>
    <w:p>
      <w:pPr>
        <w:pStyle w:val="6"/>
        <w:shd w:val="clear" w:color="auto" w:fill="FFFFFF"/>
        <w:rPr>
          <w:rFonts w:hint="eastAsia" w:asciiTheme="minorEastAsia" w:hAnsiTheme="minorEastAsia" w:eastAsiaTheme="minorEastAsia"/>
          <w:color w:val="666666"/>
          <w:shd w:val="clear" w:color="auto" w:fill="FFFFFF"/>
        </w:rPr>
      </w:pPr>
      <w:r>
        <w:rPr>
          <w:rFonts w:hint="eastAsia" w:asciiTheme="minorEastAsia" w:hAnsiTheme="minorEastAsia" w:eastAsiaTheme="minorEastAsia"/>
          <w:color w:val="666666"/>
          <w:shd w:val="clear" w:color="auto" w:fill="FFFFFF"/>
        </w:rPr>
        <w:t>——德尔福派克（广州）电气系统有限公司5S活动、改善（KAIZEN）活动、活性化现场管理技术——佛山科勒精益生产——爱信精机（佛山）汽车零部件有限公司全面生产性维护TPM——松下空调器（广州）有限公司班组长职业化训练系列课程——松下压缩机（广州）有限公司班组长职业化训练系列课程——松下环境系统有限公司班组长能力向上——三菱电机有限公司班组长能力向上——三菱重工－金羚空调有限公司班组长职业化训练系列课程——广东美的集团股份有限公司（多个下属公司和事业部）5S活动、活性化现场管理、班组长职业化训练系列课程、全面质量管理TQM、IE效率提升、TPM全面设备管理维护、精益生产与精益思想、现场持续改善——TCL通讯、TCL手机现场改善、班组长能力提升——东莞虎彩集团有限公司（多个下属公司）全面生产性维护TPM、精益生产方式现场改善与IE效率提升——嘉里粮油（中国）管理有限公司（多个下属公司）设备管理与TPM——香港康生集团有限公司产销量交期管理柔性化生产计划体制——广州电器科学研究院5S活动现场质量控制——苏州金莱克电器有限公司活性化现场管理——东莞乐源食品有限公司生产现场管理——广汽集团5S活动与持续改善——中精汽车部件打造活性化现场——提爱思汽车内饰系统精益生产体制——帕卡汽车部件报告、联络、商谈——奥的斯电梯有限公司全面生产性维护——东菱凯琴电器有限公司精益生产体制——普利华光学班组长现场管理能力向上——富士康集团（多个事业部）精益生产、柔性化生产、TPM——广州地铁班组长能力提升——南方电网班组长能力提升——广电运通精益思想与现场IE改善——顺德新宝集团（东菱凯琴）精益思想与现场IE改善——佛山劲雄机械5S活动与现场持续改善——海虹涂料精益思想与现场5S活动——高丝美洁具现场5S活动与目视化管理——伟易达现场5S活动与持续改善现场问题发掘与改善——河南许继集团班组长能力提升——中山诺尔达TPM、现场5S活动与目视化管理——新中源陶瓷品质意识与SPC——爱机汽配班组长能力提升——爱帕克汽配班组长能力提升——雅图仕印刷现场IE实战与效率提升——长兴电子现场5S活动与目视化管理——SUMIDA电机精益思想与TPM</w:t>
      </w:r>
    </w:p>
    <w:p>
      <w:pPr>
        <w:pStyle w:val="6"/>
        <w:shd w:val="clear" w:color="auto" w:fill="FFFFFF"/>
        <w:rPr>
          <w:rFonts w:hint="eastAsia" w:asciiTheme="minorEastAsia" w:hAnsiTheme="minorEastAsia" w:eastAsiaTheme="minorEastAsia"/>
          <w:color w:val="666666"/>
          <w:shd w:val="clear" w:color="auto" w:fill="FFFFFF"/>
        </w:rPr>
      </w:pPr>
    </w:p>
    <w:p>
      <w:pPr>
        <w:pStyle w:val="6"/>
        <w:shd w:val="clear" w:color="auto" w:fill="FFFFFF"/>
        <w:rPr>
          <w:rFonts w:hint="eastAsia" w:asciiTheme="minorEastAsia" w:hAnsiTheme="minorEastAsia" w:eastAsiaTheme="minorEastAsia"/>
          <w:color w:val="666666"/>
          <w:shd w:val="clear" w:color="auto" w:fill="FFFFFF"/>
        </w:rPr>
      </w:pPr>
    </w:p>
    <w:p>
      <w:pPr>
        <w:pStyle w:val="6"/>
        <w:shd w:val="clear" w:color="auto" w:fill="FFFFFF"/>
        <w:rPr>
          <w:rFonts w:hint="eastAsia" w:asciiTheme="minorEastAsia" w:hAnsiTheme="minorEastAsia" w:eastAsiaTheme="minorEastAsia"/>
          <w:color w:val="666666"/>
          <w:shd w:val="clear" w:color="auto" w:fill="FFFFFF"/>
        </w:rPr>
      </w:pPr>
    </w:p>
    <w:p>
      <w:pPr>
        <w:pStyle w:val="6"/>
        <w:shd w:val="clear" w:color="auto" w:fill="FFFFFF"/>
        <w:rPr>
          <w:rFonts w:hint="eastAsia" w:asciiTheme="minorEastAsia" w:hAnsiTheme="minorEastAsia" w:eastAsiaTheme="minorEastAsia"/>
          <w:color w:val="666666"/>
          <w:shd w:val="clear" w:color="auto" w:fill="FFFFFF"/>
        </w:rPr>
      </w:pPr>
    </w:p>
    <w:p>
      <w:pPr>
        <w:pStyle w:val="6"/>
        <w:shd w:val="clear" w:color="auto" w:fill="FFFFFF"/>
        <w:rPr>
          <w:rFonts w:hint="eastAsia" w:asciiTheme="minorEastAsia" w:hAnsiTheme="minorEastAsia" w:eastAsiaTheme="minorEastAsia"/>
          <w:color w:val="666666"/>
          <w:shd w:val="clear" w:color="auto" w:fill="FFFFFF"/>
        </w:rPr>
      </w:pPr>
    </w:p>
    <w:p>
      <w:pPr>
        <w:pStyle w:val="6"/>
        <w:shd w:val="clear" w:color="auto" w:fill="FFFFFF"/>
        <w:rPr>
          <w:rFonts w:hint="eastAsia" w:asciiTheme="minorEastAsia" w:hAnsiTheme="minorEastAsia" w:eastAsiaTheme="minorEastAsia"/>
          <w:color w:val="666666"/>
          <w:shd w:val="clear" w:color="auto" w:fill="FFFFFF"/>
        </w:rPr>
      </w:pPr>
    </w:p>
    <w:p>
      <w:pPr>
        <w:pStyle w:val="6"/>
        <w:shd w:val="clear" w:color="auto" w:fill="FFFFFF"/>
        <w:rPr>
          <w:rFonts w:hint="eastAsia" w:asciiTheme="minorEastAsia" w:hAnsiTheme="minorEastAsia" w:eastAsiaTheme="minorEastAsia"/>
          <w:color w:val="666666"/>
          <w:shd w:val="clear" w:color="auto" w:fill="FFFFFF"/>
        </w:rPr>
      </w:pPr>
    </w:p>
    <w:p>
      <w:pPr>
        <w:pStyle w:val="6"/>
        <w:shd w:val="clear" w:color="auto" w:fill="FFFFFF"/>
        <w:rPr>
          <w:rFonts w:hint="eastAsia" w:asciiTheme="minorEastAsia" w:hAnsiTheme="minorEastAsia" w:eastAsiaTheme="minorEastAsia"/>
          <w:color w:val="666666"/>
          <w:shd w:val="clear" w:color="auto" w:fill="FFFFFF"/>
        </w:rPr>
      </w:pPr>
    </w:p>
    <w:p>
      <w:pPr>
        <w:pStyle w:val="6"/>
        <w:shd w:val="clear" w:color="auto" w:fill="FFFFFF"/>
        <w:rPr>
          <w:rFonts w:hint="eastAsia" w:asciiTheme="minorEastAsia" w:hAnsiTheme="minorEastAsia" w:eastAsiaTheme="minorEastAsia"/>
          <w:color w:val="666666"/>
          <w:shd w:val="clear" w:color="auto" w:fill="FFFFFF"/>
        </w:rPr>
      </w:pPr>
    </w:p>
    <w:p>
      <w:pPr>
        <w:pStyle w:val="6"/>
        <w:shd w:val="clear" w:color="auto" w:fill="FFFFFF"/>
        <w:rPr>
          <w:rFonts w:hint="eastAsia" w:asciiTheme="minorEastAsia" w:hAnsiTheme="minorEastAsia" w:eastAsiaTheme="minorEastAsia"/>
          <w:color w:val="666666"/>
          <w:shd w:val="clear" w:color="auto" w:fill="FFFFFF"/>
        </w:rPr>
      </w:pPr>
    </w:p>
    <w:p>
      <w:pPr>
        <w:pStyle w:val="6"/>
        <w:shd w:val="clear" w:color="auto" w:fill="FFFFFF"/>
        <w:rPr>
          <w:rFonts w:hint="eastAsia" w:asciiTheme="minorEastAsia" w:hAnsiTheme="minorEastAsia" w:eastAsiaTheme="minorEastAsia"/>
          <w:color w:val="666666"/>
          <w:shd w:val="clear" w:color="auto" w:fill="FFFFFF"/>
        </w:rPr>
      </w:pPr>
    </w:p>
    <w:p>
      <w:pPr>
        <w:pStyle w:val="6"/>
        <w:shd w:val="clear" w:color="auto" w:fill="FFFFFF"/>
        <w:rPr>
          <w:color w:val="000000"/>
        </w:rPr>
      </w:pPr>
    </w:p>
    <w:p>
      <w:pPr>
        <w:shd w:val="clear" w:color="auto" w:fill="EAEAEA" w:themeFill="accent1" w:themeFillTint="99"/>
        <w:jc w:val="center"/>
        <w:rPr>
          <w:rFonts w:asciiTheme="minorEastAsia" w:hAnsiTheme="minorEastAsia" w:cstheme="minorEastAsia"/>
          <w:bCs/>
          <w:sz w:val="24"/>
        </w:rPr>
      </w:pPr>
      <w:r>
        <w:rPr>
          <w:rFonts w:hint="eastAsia" w:ascii="微软雅黑" w:hAnsi="微软雅黑" w:eastAsia="微软雅黑"/>
          <w:b/>
          <w:sz w:val="30"/>
          <w:szCs w:val="30"/>
        </w:rPr>
        <w:t>报名回执</w:t>
      </w:r>
    </w:p>
    <w:p>
      <w:pPr>
        <w:pStyle w:val="2"/>
        <w:spacing w:before="0" w:beforeAutospacing="0" w:after="0" w:afterAutospacing="0" w:line="240" w:lineRule="atLeast"/>
        <w:ind w:firstLine="1681" w:firstLineChars="600"/>
        <w:jc w:val="both"/>
        <w:rPr>
          <w:rFonts w:ascii="微软雅黑" w:hAnsi="微软雅黑" w:eastAsia="微软雅黑"/>
          <w:sz w:val="28"/>
          <w:szCs w:val="28"/>
        </w:rPr>
      </w:pPr>
      <w:r>
        <w:rPr>
          <w:rFonts w:hint="eastAsia" w:ascii="微软雅黑" w:hAnsi="微软雅黑" w:eastAsia="微软雅黑" w:cs="Arial"/>
          <w:kern w:val="0"/>
          <w:sz w:val="28"/>
          <w:szCs w:val="28"/>
        </w:rPr>
        <w:t>《防错技术应用高级研修班Poka Yoke》</w:t>
      </w:r>
      <w:r>
        <w:rPr>
          <w:rFonts w:hint="eastAsia" w:ascii="微软雅黑" w:hAnsi="微软雅黑" w:eastAsia="微软雅黑"/>
          <w:sz w:val="28"/>
          <w:szCs w:val="28"/>
        </w:rPr>
        <w:t>报名回执</w:t>
      </w:r>
    </w:p>
    <w:p>
      <w:pPr>
        <w:spacing w:line="240" w:lineRule="atLeast"/>
        <w:ind w:left="-3" w:leftChars="-8" w:hanging="14" w:hangingChars="7"/>
        <w:jc w:val="center"/>
        <w:rPr>
          <w:rFonts w:ascii="黑体" w:hAnsi="宋体" w:eastAsia="黑体"/>
          <w:szCs w:val="21"/>
        </w:rPr>
      </w:pPr>
      <w:r>
        <w:rPr>
          <w:rFonts w:hint="eastAsia"/>
          <w:szCs w:val="21"/>
        </w:rPr>
        <w:t>填好下表后传真至</w:t>
      </w:r>
      <w:r>
        <w:rPr>
          <w:rFonts w:ascii="宋体" w:hAnsi="宋体"/>
          <w:w w:val="110"/>
          <w:szCs w:val="21"/>
        </w:rPr>
        <w:t>0755-86154195/</w:t>
      </w:r>
      <w:r>
        <w:t xml:space="preserve"> </w:t>
      </w:r>
      <w:r>
        <w:rPr>
          <w:rFonts w:ascii="宋体" w:hAnsi="宋体"/>
          <w:w w:val="110"/>
          <w:szCs w:val="21"/>
        </w:rPr>
        <w:t>021</w:t>
      </w:r>
      <w:r>
        <w:rPr>
          <w:rFonts w:ascii="宋体"/>
          <w:w w:val="110"/>
          <w:szCs w:val="21"/>
        </w:rPr>
        <w:t>-</w:t>
      </w:r>
      <w:r>
        <w:rPr>
          <w:rFonts w:ascii="宋体" w:hAnsi="宋体"/>
          <w:w w:val="110"/>
          <w:szCs w:val="21"/>
        </w:rPr>
        <w:t>51012039</w:t>
      </w:r>
      <w:r>
        <w:rPr>
          <w:rFonts w:hint="eastAsia"/>
          <w:szCs w:val="21"/>
        </w:rPr>
        <w:t>（此表复印有效）</w:t>
      </w:r>
    </w:p>
    <w:tbl>
      <w:tblPr>
        <w:tblStyle w:val="7"/>
        <w:tblW w:w="10728"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8"/>
        <w:gridCol w:w="1320"/>
        <w:gridCol w:w="1480"/>
        <w:gridCol w:w="1930"/>
        <w:gridCol w:w="730"/>
        <w:gridCol w:w="744"/>
        <w:gridCol w:w="284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exact"/>
          <w:jc w:val="center"/>
        </w:trPr>
        <w:tc>
          <w:tcPr>
            <w:tcW w:w="1678" w:type="dxa"/>
            <w:tcBorders>
              <w:top w:val="thinThickSmallGap" w:color="auto" w:sz="12" w:space="0"/>
            </w:tcBorders>
            <w:vAlign w:val="center"/>
          </w:tcPr>
          <w:p>
            <w:pPr>
              <w:spacing w:before="100" w:beforeAutospacing="1" w:after="100" w:afterAutospacing="1" w:line="280" w:lineRule="exact"/>
              <w:ind w:firstLine="420"/>
              <w:jc w:val="center"/>
              <w:rPr>
                <w:rStyle w:val="10"/>
                <w:rFonts w:ascii="宋体"/>
                <w:b w:val="0"/>
                <w:bCs w:val="0"/>
                <w:szCs w:val="21"/>
              </w:rPr>
            </w:pPr>
            <w:r>
              <w:rPr>
                <w:rFonts w:hint="eastAsia" w:ascii="宋体" w:hAnsi="宋体"/>
                <w:szCs w:val="21"/>
              </w:rPr>
              <w:t>单位名称</w:t>
            </w:r>
          </w:p>
        </w:tc>
        <w:tc>
          <w:tcPr>
            <w:tcW w:w="9050" w:type="dxa"/>
            <w:gridSpan w:val="6"/>
            <w:tcBorders>
              <w:top w:val="thinThickSmallGap" w:color="auto" w:sz="12" w:space="0"/>
            </w:tcBorders>
            <w:vAlign w:val="center"/>
          </w:tcPr>
          <w:p>
            <w:pPr>
              <w:spacing w:before="100" w:beforeAutospacing="1" w:after="100" w:afterAutospacing="1" w:line="280" w:lineRule="exact"/>
              <w:ind w:firstLine="420"/>
              <w:jc w:val="center"/>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exact"/>
          <w:jc w:val="center"/>
        </w:trPr>
        <w:tc>
          <w:tcPr>
            <w:tcW w:w="1678" w:type="dxa"/>
            <w:vAlign w:val="center"/>
          </w:tcPr>
          <w:p>
            <w:pPr>
              <w:spacing w:before="100" w:beforeAutospacing="1" w:after="100" w:afterAutospacing="1" w:line="280" w:lineRule="exact"/>
              <w:ind w:firstLine="420"/>
              <w:jc w:val="center"/>
              <w:rPr>
                <w:rFonts w:ascii="宋体"/>
                <w:szCs w:val="21"/>
              </w:rPr>
            </w:pPr>
            <w:r>
              <w:rPr>
                <w:rStyle w:val="10"/>
                <w:rFonts w:hint="eastAsia"/>
                <w:szCs w:val="21"/>
              </w:rPr>
              <w:t>发票抬头</w:t>
            </w:r>
          </w:p>
        </w:tc>
        <w:tc>
          <w:tcPr>
            <w:tcW w:w="5460" w:type="dxa"/>
            <w:gridSpan w:val="4"/>
            <w:vAlign w:val="center"/>
          </w:tcPr>
          <w:p>
            <w:pPr>
              <w:spacing w:before="100" w:beforeAutospacing="1" w:after="100" w:afterAutospacing="1" w:line="280" w:lineRule="exact"/>
              <w:ind w:firstLine="420"/>
              <w:jc w:val="center"/>
              <w:rPr>
                <w:rFonts w:ascii="宋体"/>
                <w:szCs w:val="21"/>
              </w:rPr>
            </w:pPr>
          </w:p>
        </w:tc>
        <w:tc>
          <w:tcPr>
            <w:tcW w:w="3590" w:type="dxa"/>
            <w:gridSpan w:val="2"/>
            <w:vAlign w:val="center"/>
          </w:tcPr>
          <w:p>
            <w:pPr>
              <w:spacing w:before="100" w:beforeAutospacing="1" w:after="100" w:afterAutospacing="1" w:line="280" w:lineRule="exact"/>
              <w:ind w:firstLine="420"/>
              <w:jc w:val="center"/>
              <w:rPr>
                <w:rFonts w:ascii="宋体"/>
                <w:szCs w:val="21"/>
              </w:rPr>
            </w:pPr>
            <w:r>
              <w:rPr>
                <w:rStyle w:val="10"/>
                <w:rFonts w:hint="eastAsia"/>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exact"/>
          <w:jc w:val="center"/>
        </w:trPr>
        <w:tc>
          <w:tcPr>
            <w:tcW w:w="1678" w:type="dxa"/>
            <w:vAlign w:val="center"/>
          </w:tcPr>
          <w:p>
            <w:pPr>
              <w:spacing w:before="100" w:beforeAutospacing="1" w:after="100" w:afterAutospacing="1" w:line="280" w:lineRule="exact"/>
              <w:ind w:firstLine="420"/>
              <w:jc w:val="center"/>
              <w:rPr>
                <w:rFonts w:ascii="宋体"/>
                <w:bCs/>
                <w:szCs w:val="21"/>
              </w:rPr>
            </w:pPr>
            <w:r>
              <w:rPr>
                <w:rFonts w:hint="eastAsia" w:ascii="宋体" w:hAnsi="宋体"/>
                <w:bCs/>
                <w:szCs w:val="21"/>
              </w:rPr>
              <w:t>公司地址</w:t>
            </w:r>
          </w:p>
        </w:tc>
        <w:tc>
          <w:tcPr>
            <w:tcW w:w="9050" w:type="dxa"/>
            <w:gridSpan w:val="6"/>
            <w:vAlign w:val="center"/>
          </w:tcPr>
          <w:p>
            <w:pPr>
              <w:spacing w:before="100" w:beforeAutospacing="1" w:after="100" w:afterAutospacing="1" w:line="280" w:lineRule="exact"/>
              <w:ind w:firstLine="420"/>
              <w:jc w:val="center"/>
              <w:rPr>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exact"/>
          <w:jc w:val="center"/>
        </w:trPr>
        <w:tc>
          <w:tcPr>
            <w:tcW w:w="1678" w:type="dxa"/>
            <w:vAlign w:val="center"/>
          </w:tcPr>
          <w:p>
            <w:pPr>
              <w:spacing w:before="100" w:beforeAutospacing="1" w:after="100" w:afterAutospacing="1" w:line="280" w:lineRule="exact"/>
              <w:ind w:firstLine="420"/>
              <w:jc w:val="center"/>
              <w:rPr>
                <w:szCs w:val="21"/>
              </w:rPr>
            </w:pPr>
            <w:r>
              <w:rPr>
                <w:rFonts w:hint="eastAsia" w:ascii="宋体" w:hAnsi="宋体"/>
                <w:szCs w:val="21"/>
              </w:rPr>
              <w:t>联系人</w:t>
            </w:r>
          </w:p>
        </w:tc>
        <w:tc>
          <w:tcPr>
            <w:tcW w:w="1320" w:type="dxa"/>
            <w:vAlign w:val="center"/>
          </w:tcPr>
          <w:p>
            <w:pPr>
              <w:spacing w:before="100" w:beforeAutospacing="1" w:after="100" w:afterAutospacing="1" w:line="280" w:lineRule="exact"/>
              <w:ind w:firstLine="420"/>
              <w:jc w:val="center"/>
              <w:rPr>
                <w:rFonts w:ascii="宋体"/>
                <w:szCs w:val="21"/>
              </w:rPr>
            </w:pPr>
          </w:p>
        </w:tc>
        <w:tc>
          <w:tcPr>
            <w:tcW w:w="1480" w:type="dxa"/>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电话</w:t>
            </w:r>
          </w:p>
        </w:tc>
        <w:tc>
          <w:tcPr>
            <w:tcW w:w="1930" w:type="dxa"/>
            <w:vAlign w:val="center"/>
          </w:tcPr>
          <w:p>
            <w:pPr>
              <w:spacing w:before="100" w:beforeAutospacing="1" w:after="100" w:afterAutospacing="1" w:line="280" w:lineRule="exact"/>
              <w:ind w:firstLine="420"/>
              <w:jc w:val="center"/>
              <w:rPr>
                <w:rFonts w:ascii="宋体"/>
                <w:bCs/>
                <w:szCs w:val="21"/>
              </w:rPr>
            </w:pPr>
          </w:p>
        </w:tc>
        <w:tc>
          <w:tcPr>
            <w:tcW w:w="1474" w:type="dxa"/>
            <w:gridSpan w:val="2"/>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手机</w:t>
            </w:r>
          </w:p>
        </w:tc>
        <w:tc>
          <w:tcPr>
            <w:tcW w:w="2846" w:type="dxa"/>
            <w:vAlign w:val="center"/>
          </w:tcPr>
          <w:p>
            <w:pPr>
              <w:spacing w:before="100" w:beforeAutospacing="1" w:after="100" w:afterAutospacing="1" w:line="280" w:lineRule="exact"/>
              <w:ind w:firstLine="420"/>
              <w:jc w:val="center"/>
              <w:rPr>
                <w:rFonts w:ascii="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71" w:hRule="exact"/>
          <w:jc w:val="center"/>
        </w:trPr>
        <w:tc>
          <w:tcPr>
            <w:tcW w:w="1678" w:type="dxa"/>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职务</w:t>
            </w:r>
          </w:p>
        </w:tc>
        <w:tc>
          <w:tcPr>
            <w:tcW w:w="1320" w:type="dxa"/>
            <w:vAlign w:val="center"/>
          </w:tcPr>
          <w:p>
            <w:pPr>
              <w:spacing w:before="100" w:beforeAutospacing="1" w:after="100" w:afterAutospacing="1" w:line="280" w:lineRule="exact"/>
              <w:ind w:firstLine="420"/>
              <w:jc w:val="center"/>
              <w:rPr>
                <w:rStyle w:val="10"/>
                <w:b w:val="0"/>
                <w:bCs w:val="0"/>
                <w:szCs w:val="21"/>
              </w:rPr>
            </w:pPr>
          </w:p>
        </w:tc>
        <w:tc>
          <w:tcPr>
            <w:tcW w:w="1480" w:type="dxa"/>
            <w:vAlign w:val="center"/>
          </w:tcPr>
          <w:p>
            <w:pPr>
              <w:spacing w:before="100" w:beforeAutospacing="1" w:after="100" w:afterAutospacing="1" w:line="280" w:lineRule="exact"/>
              <w:ind w:firstLine="420"/>
              <w:jc w:val="center"/>
              <w:rPr>
                <w:rStyle w:val="10"/>
                <w:b w:val="0"/>
                <w:bCs w:val="0"/>
                <w:szCs w:val="21"/>
              </w:rPr>
            </w:pPr>
            <w:r>
              <w:rPr>
                <w:rStyle w:val="10"/>
                <w:rFonts w:hint="eastAsia"/>
                <w:szCs w:val="21"/>
              </w:rPr>
              <w:t>传真</w:t>
            </w:r>
          </w:p>
        </w:tc>
        <w:tc>
          <w:tcPr>
            <w:tcW w:w="1930" w:type="dxa"/>
            <w:vAlign w:val="center"/>
          </w:tcPr>
          <w:p>
            <w:pPr>
              <w:spacing w:before="100" w:beforeAutospacing="1" w:after="100" w:afterAutospacing="1" w:line="280" w:lineRule="exact"/>
              <w:ind w:firstLine="420"/>
              <w:jc w:val="center"/>
              <w:rPr>
                <w:rStyle w:val="10"/>
                <w:b w:val="0"/>
                <w:bCs w:val="0"/>
                <w:szCs w:val="21"/>
              </w:rPr>
            </w:pPr>
          </w:p>
        </w:tc>
        <w:tc>
          <w:tcPr>
            <w:tcW w:w="1474" w:type="dxa"/>
            <w:gridSpan w:val="2"/>
            <w:vAlign w:val="center"/>
          </w:tcPr>
          <w:p>
            <w:pPr>
              <w:spacing w:before="100" w:beforeAutospacing="1" w:after="100" w:afterAutospacing="1" w:line="280" w:lineRule="exact"/>
              <w:ind w:firstLine="420"/>
              <w:jc w:val="center"/>
              <w:rPr>
                <w:rStyle w:val="10"/>
                <w:b w:val="0"/>
                <w:bCs w:val="0"/>
                <w:szCs w:val="21"/>
              </w:rPr>
            </w:pPr>
            <w:r>
              <w:rPr>
                <w:rStyle w:val="10"/>
                <w:szCs w:val="21"/>
              </w:rPr>
              <w:t>E-mail</w:t>
            </w:r>
          </w:p>
        </w:tc>
        <w:tc>
          <w:tcPr>
            <w:tcW w:w="2846" w:type="dxa"/>
            <w:vAlign w:val="center"/>
          </w:tcPr>
          <w:p>
            <w:pPr>
              <w:spacing w:before="100" w:beforeAutospacing="1" w:after="100" w:afterAutospacing="1" w:line="280" w:lineRule="exact"/>
              <w:ind w:firstLine="420"/>
              <w:jc w:val="center"/>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exact"/>
          <w:jc w:val="center"/>
        </w:trPr>
        <w:tc>
          <w:tcPr>
            <w:tcW w:w="1678" w:type="dxa"/>
            <w:vMerge w:val="restart"/>
            <w:vAlign w:val="center"/>
          </w:tcPr>
          <w:p>
            <w:pPr>
              <w:spacing w:line="240" w:lineRule="exact"/>
              <w:ind w:firstLine="420"/>
              <w:jc w:val="center"/>
              <w:rPr>
                <w:szCs w:val="21"/>
              </w:rPr>
            </w:pPr>
            <w:r>
              <w:rPr>
                <w:szCs w:val="21"/>
              </w:rPr>
              <w:t xml:space="preserve"> </w:t>
            </w:r>
          </w:p>
          <w:p>
            <w:pPr>
              <w:spacing w:before="100" w:beforeAutospacing="1" w:after="100" w:afterAutospacing="1" w:line="280" w:lineRule="exact"/>
              <w:ind w:firstLine="420"/>
              <w:jc w:val="center"/>
              <w:rPr>
                <w:szCs w:val="21"/>
              </w:rPr>
            </w:pPr>
            <w:r>
              <w:rPr>
                <w:rFonts w:hint="eastAsia"/>
                <w:szCs w:val="21"/>
              </w:rPr>
              <w:t>参加</w:t>
            </w:r>
          </w:p>
          <w:p>
            <w:pPr>
              <w:spacing w:before="100" w:beforeAutospacing="1" w:after="100" w:afterAutospacing="1" w:line="280" w:lineRule="exact"/>
              <w:ind w:firstLine="420"/>
              <w:jc w:val="center"/>
              <w:rPr>
                <w:szCs w:val="21"/>
              </w:rPr>
            </w:pPr>
            <w:r>
              <w:rPr>
                <w:rFonts w:hint="eastAsia"/>
                <w:szCs w:val="21"/>
              </w:rPr>
              <w:t>学员</w:t>
            </w:r>
          </w:p>
          <w:p>
            <w:pPr>
              <w:spacing w:before="100" w:beforeAutospacing="1" w:after="100" w:afterAutospacing="1" w:line="280" w:lineRule="exact"/>
              <w:ind w:firstLine="420"/>
              <w:jc w:val="center"/>
              <w:rPr>
                <w:szCs w:val="21"/>
              </w:rPr>
            </w:pPr>
            <w:r>
              <w:rPr>
                <w:rFonts w:hint="eastAsia"/>
                <w:szCs w:val="21"/>
              </w:rPr>
              <w:t>名单</w:t>
            </w: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tc>
        <w:tc>
          <w:tcPr>
            <w:tcW w:w="1320" w:type="dxa"/>
            <w:shd w:val="clear" w:color="auto" w:fill="E6E6E6"/>
            <w:vAlign w:val="center"/>
          </w:tcPr>
          <w:p>
            <w:pPr>
              <w:spacing w:before="100" w:beforeAutospacing="1" w:after="100" w:afterAutospacing="1" w:line="280" w:lineRule="exact"/>
              <w:ind w:firstLine="420"/>
              <w:jc w:val="center"/>
              <w:rPr>
                <w:rStyle w:val="10"/>
                <w:b w:val="0"/>
                <w:bCs w:val="0"/>
                <w:szCs w:val="21"/>
              </w:rPr>
            </w:pPr>
            <w:r>
              <w:rPr>
                <w:rStyle w:val="10"/>
                <w:rFonts w:hint="eastAsia"/>
                <w:szCs w:val="21"/>
              </w:rPr>
              <w:t>姓名</w:t>
            </w:r>
          </w:p>
        </w:tc>
        <w:tc>
          <w:tcPr>
            <w:tcW w:w="1480" w:type="dxa"/>
            <w:shd w:val="clear" w:color="auto" w:fill="E6E6E6"/>
            <w:vAlign w:val="center"/>
          </w:tcPr>
          <w:p>
            <w:pPr>
              <w:spacing w:before="100" w:beforeAutospacing="1" w:after="100" w:afterAutospacing="1" w:line="280" w:lineRule="exact"/>
              <w:ind w:firstLine="420"/>
              <w:jc w:val="center"/>
              <w:rPr>
                <w:rStyle w:val="10"/>
                <w:b w:val="0"/>
                <w:bCs w:val="0"/>
                <w:szCs w:val="21"/>
              </w:rPr>
            </w:pPr>
            <w:r>
              <w:rPr>
                <w:rStyle w:val="10"/>
                <w:rFonts w:hint="eastAsia"/>
                <w:szCs w:val="21"/>
              </w:rPr>
              <w:t>职务</w:t>
            </w:r>
          </w:p>
        </w:tc>
        <w:tc>
          <w:tcPr>
            <w:tcW w:w="1930" w:type="dxa"/>
            <w:shd w:val="clear" w:color="auto" w:fill="E6E6E6"/>
            <w:vAlign w:val="center"/>
          </w:tcPr>
          <w:p>
            <w:pPr>
              <w:spacing w:before="100" w:beforeAutospacing="1" w:after="100" w:afterAutospacing="1" w:line="280" w:lineRule="exact"/>
              <w:ind w:firstLine="420"/>
              <w:jc w:val="center"/>
              <w:rPr>
                <w:rStyle w:val="10"/>
                <w:b w:val="0"/>
                <w:bCs w:val="0"/>
                <w:szCs w:val="21"/>
              </w:rPr>
            </w:pPr>
            <w:r>
              <w:rPr>
                <w:rStyle w:val="10"/>
                <w:rFonts w:hint="eastAsia"/>
                <w:szCs w:val="21"/>
              </w:rPr>
              <w:t>手</w:t>
            </w:r>
            <w:r>
              <w:rPr>
                <w:rStyle w:val="10"/>
                <w:szCs w:val="21"/>
              </w:rPr>
              <w:t xml:space="preserve"> </w:t>
            </w:r>
            <w:r>
              <w:rPr>
                <w:rStyle w:val="10"/>
                <w:rFonts w:hint="eastAsia"/>
                <w:szCs w:val="21"/>
              </w:rPr>
              <w:t>机</w:t>
            </w:r>
          </w:p>
        </w:tc>
        <w:tc>
          <w:tcPr>
            <w:tcW w:w="4320" w:type="dxa"/>
            <w:gridSpan w:val="3"/>
            <w:shd w:val="clear" w:color="auto" w:fill="E6E6E6"/>
            <w:vAlign w:val="center"/>
          </w:tcPr>
          <w:p>
            <w:pPr>
              <w:spacing w:before="100" w:beforeAutospacing="1" w:after="100" w:afterAutospacing="1" w:line="280" w:lineRule="exact"/>
              <w:ind w:firstLine="420"/>
              <w:jc w:val="center"/>
              <w:rPr>
                <w:rStyle w:val="10"/>
                <w:b w:val="0"/>
                <w:bCs w:val="0"/>
                <w:szCs w:val="21"/>
              </w:rPr>
            </w:pPr>
            <w:bookmarkStart w:id="1" w:name="_GoBack"/>
            <w:bookmarkEnd w:id="1"/>
            <w:r>
              <w:rPr>
                <w:rStyle w:val="10"/>
                <w:szCs w:val="21"/>
              </w:rPr>
              <w:t>E-mail</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78" w:type="dxa"/>
            <w:vMerge w:val="continue"/>
            <w:vAlign w:val="center"/>
          </w:tcPr>
          <w:p>
            <w:pPr>
              <w:spacing w:before="100" w:beforeAutospacing="1" w:after="100" w:afterAutospacing="1" w:line="280" w:lineRule="exact"/>
              <w:ind w:firstLine="420"/>
              <w:rPr>
                <w:rStyle w:val="10"/>
                <w:b w:val="0"/>
                <w:bCs w:val="0"/>
                <w:szCs w:val="21"/>
              </w:rPr>
            </w:pPr>
          </w:p>
        </w:tc>
        <w:tc>
          <w:tcPr>
            <w:tcW w:w="1320" w:type="dxa"/>
            <w:vAlign w:val="center"/>
          </w:tcPr>
          <w:p>
            <w:pPr>
              <w:spacing w:before="100" w:beforeAutospacing="1" w:after="100" w:afterAutospacing="1" w:line="280" w:lineRule="exact"/>
              <w:ind w:firstLine="420"/>
              <w:rPr>
                <w:rStyle w:val="10"/>
                <w:b w:val="0"/>
                <w:bCs w:val="0"/>
                <w:szCs w:val="21"/>
              </w:rPr>
            </w:pPr>
          </w:p>
        </w:tc>
        <w:tc>
          <w:tcPr>
            <w:tcW w:w="1480" w:type="dxa"/>
            <w:vAlign w:val="center"/>
          </w:tcPr>
          <w:p>
            <w:pPr>
              <w:spacing w:before="100" w:beforeAutospacing="1" w:after="100" w:afterAutospacing="1" w:line="280" w:lineRule="exact"/>
              <w:ind w:firstLine="420"/>
              <w:jc w:val="center"/>
              <w:rPr>
                <w:rStyle w:val="10"/>
                <w:b w:val="0"/>
                <w:bCs w:val="0"/>
                <w:szCs w:val="21"/>
              </w:rPr>
            </w:pPr>
          </w:p>
        </w:tc>
        <w:tc>
          <w:tcPr>
            <w:tcW w:w="1930" w:type="dxa"/>
            <w:vAlign w:val="center"/>
          </w:tcPr>
          <w:p>
            <w:pPr>
              <w:spacing w:before="100" w:beforeAutospacing="1" w:after="100" w:afterAutospacing="1" w:line="280" w:lineRule="exact"/>
              <w:ind w:firstLine="420"/>
              <w:jc w:val="center"/>
              <w:rPr>
                <w:rStyle w:val="10"/>
                <w:b w:val="0"/>
                <w:bCs w:val="0"/>
                <w:szCs w:val="21"/>
              </w:rPr>
            </w:pPr>
          </w:p>
        </w:tc>
        <w:tc>
          <w:tcPr>
            <w:tcW w:w="4320" w:type="dxa"/>
            <w:gridSpan w:val="3"/>
            <w:vAlign w:val="center"/>
          </w:tcPr>
          <w:p>
            <w:pPr>
              <w:spacing w:before="100" w:beforeAutospacing="1" w:after="100" w:afterAutospacing="1" w:line="280" w:lineRule="exact"/>
              <w:ind w:firstLine="420"/>
              <w:jc w:val="center"/>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78" w:type="dxa"/>
            <w:vMerge w:val="continue"/>
            <w:vAlign w:val="center"/>
          </w:tcPr>
          <w:p>
            <w:pPr>
              <w:spacing w:before="100" w:beforeAutospacing="1" w:after="100" w:afterAutospacing="1" w:line="280" w:lineRule="exact"/>
              <w:ind w:firstLine="420"/>
              <w:rPr>
                <w:szCs w:val="21"/>
              </w:rPr>
            </w:pPr>
          </w:p>
        </w:tc>
        <w:tc>
          <w:tcPr>
            <w:tcW w:w="1320" w:type="dxa"/>
            <w:vAlign w:val="center"/>
          </w:tcPr>
          <w:p>
            <w:pPr>
              <w:pStyle w:val="20"/>
              <w:spacing w:before="100" w:beforeAutospacing="1" w:after="100" w:afterAutospacing="1" w:line="280" w:lineRule="exact"/>
              <w:ind w:firstLine="422"/>
              <w:rPr>
                <w:rStyle w:val="10"/>
                <w:b w:val="0"/>
                <w:bCs w:val="0"/>
              </w:rPr>
            </w:pPr>
          </w:p>
        </w:tc>
        <w:tc>
          <w:tcPr>
            <w:tcW w:w="1480" w:type="dxa"/>
            <w:vAlign w:val="center"/>
          </w:tcPr>
          <w:p>
            <w:pPr>
              <w:spacing w:before="100" w:beforeAutospacing="1" w:after="100" w:afterAutospacing="1" w:line="280" w:lineRule="exact"/>
              <w:ind w:firstLine="420"/>
              <w:jc w:val="center"/>
              <w:rPr>
                <w:rStyle w:val="10"/>
                <w:b w:val="0"/>
                <w:bCs w:val="0"/>
                <w:szCs w:val="21"/>
              </w:rPr>
            </w:pPr>
          </w:p>
        </w:tc>
        <w:tc>
          <w:tcPr>
            <w:tcW w:w="1930" w:type="dxa"/>
            <w:vAlign w:val="center"/>
          </w:tcPr>
          <w:p>
            <w:pPr>
              <w:spacing w:before="100" w:beforeAutospacing="1" w:after="100" w:afterAutospacing="1" w:line="280" w:lineRule="exact"/>
              <w:ind w:firstLine="420"/>
              <w:jc w:val="center"/>
              <w:rPr>
                <w:rStyle w:val="10"/>
                <w:b w:val="0"/>
                <w:bCs w:val="0"/>
                <w:szCs w:val="21"/>
              </w:rPr>
            </w:pPr>
          </w:p>
        </w:tc>
        <w:tc>
          <w:tcPr>
            <w:tcW w:w="4320" w:type="dxa"/>
            <w:gridSpan w:val="3"/>
            <w:vAlign w:val="center"/>
          </w:tcPr>
          <w:p>
            <w:pPr>
              <w:spacing w:before="100" w:beforeAutospacing="1" w:after="100" w:afterAutospacing="1" w:line="280" w:lineRule="exact"/>
              <w:ind w:firstLine="420"/>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78" w:type="dxa"/>
            <w:vMerge w:val="continue"/>
            <w:vAlign w:val="center"/>
          </w:tcPr>
          <w:p>
            <w:pPr>
              <w:spacing w:before="100" w:beforeAutospacing="1" w:after="100" w:afterAutospacing="1" w:line="280" w:lineRule="exact"/>
              <w:ind w:firstLine="420"/>
              <w:rPr>
                <w:szCs w:val="21"/>
              </w:rPr>
            </w:pPr>
          </w:p>
        </w:tc>
        <w:tc>
          <w:tcPr>
            <w:tcW w:w="1320" w:type="dxa"/>
            <w:vAlign w:val="center"/>
          </w:tcPr>
          <w:p>
            <w:pPr>
              <w:spacing w:before="100" w:beforeAutospacing="1" w:after="100" w:afterAutospacing="1" w:line="280" w:lineRule="exact"/>
              <w:ind w:firstLine="420"/>
              <w:rPr>
                <w:rStyle w:val="10"/>
                <w:b w:val="0"/>
                <w:bCs w:val="0"/>
                <w:szCs w:val="21"/>
              </w:rPr>
            </w:pPr>
          </w:p>
        </w:tc>
        <w:tc>
          <w:tcPr>
            <w:tcW w:w="1480" w:type="dxa"/>
            <w:vAlign w:val="center"/>
          </w:tcPr>
          <w:p>
            <w:pPr>
              <w:spacing w:before="100" w:beforeAutospacing="1" w:after="100" w:afterAutospacing="1" w:line="280" w:lineRule="exact"/>
              <w:ind w:firstLine="420"/>
              <w:rPr>
                <w:rStyle w:val="10"/>
                <w:b w:val="0"/>
                <w:bCs w:val="0"/>
                <w:szCs w:val="21"/>
              </w:rPr>
            </w:pPr>
          </w:p>
        </w:tc>
        <w:tc>
          <w:tcPr>
            <w:tcW w:w="1930" w:type="dxa"/>
            <w:vAlign w:val="center"/>
          </w:tcPr>
          <w:p>
            <w:pPr>
              <w:spacing w:before="100" w:beforeAutospacing="1" w:after="100" w:afterAutospacing="1" w:line="280" w:lineRule="exact"/>
              <w:ind w:firstLine="420"/>
              <w:jc w:val="center"/>
              <w:rPr>
                <w:rStyle w:val="10"/>
                <w:b w:val="0"/>
                <w:bCs w:val="0"/>
                <w:szCs w:val="21"/>
              </w:rPr>
            </w:pPr>
          </w:p>
        </w:tc>
        <w:tc>
          <w:tcPr>
            <w:tcW w:w="4320" w:type="dxa"/>
            <w:gridSpan w:val="3"/>
            <w:vAlign w:val="center"/>
          </w:tcPr>
          <w:p>
            <w:pPr>
              <w:spacing w:before="100" w:beforeAutospacing="1" w:after="100" w:afterAutospacing="1" w:line="280" w:lineRule="exact"/>
              <w:ind w:firstLine="420"/>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678" w:type="dxa"/>
            <w:vMerge w:val="continue"/>
            <w:vAlign w:val="center"/>
          </w:tcPr>
          <w:p>
            <w:pPr>
              <w:spacing w:before="100" w:beforeAutospacing="1" w:after="100" w:afterAutospacing="1" w:line="280" w:lineRule="exact"/>
              <w:ind w:firstLine="420"/>
              <w:rPr>
                <w:szCs w:val="21"/>
              </w:rPr>
            </w:pPr>
          </w:p>
        </w:tc>
        <w:tc>
          <w:tcPr>
            <w:tcW w:w="1320" w:type="dxa"/>
            <w:vAlign w:val="center"/>
          </w:tcPr>
          <w:p>
            <w:pPr>
              <w:spacing w:before="100" w:beforeAutospacing="1" w:after="100" w:afterAutospacing="1" w:line="280" w:lineRule="exact"/>
              <w:ind w:firstLine="420"/>
              <w:rPr>
                <w:rStyle w:val="10"/>
                <w:b w:val="0"/>
                <w:bCs w:val="0"/>
                <w:szCs w:val="21"/>
              </w:rPr>
            </w:pPr>
          </w:p>
        </w:tc>
        <w:tc>
          <w:tcPr>
            <w:tcW w:w="1480" w:type="dxa"/>
            <w:vAlign w:val="center"/>
          </w:tcPr>
          <w:p>
            <w:pPr>
              <w:spacing w:before="100" w:beforeAutospacing="1" w:after="100" w:afterAutospacing="1" w:line="280" w:lineRule="exact"/>
              <w:ind w:firstLine="420"/>
              <w:rPr>
                <w:rStyle w:val="10"/>
                <w:b w:val="0"/>
                <w:bCs w:val="0"/>
                <w:szCs w:val="21"/>
              </w:rPr>
            </w:pPr>
          </w:p>
        </w:tc>
        <w:tc>
          <w:tcPr>
            <w:tcW w:w="1930" w:type="dxa"/>
            <w:vAlign w:val="center"/>
          </w:tcPr>
          <w:p>
            <w:pPr>
              <w:spacing w:before="100" w:beforeAutospacing="1" w:after="100" w:afterAutospacing="1" w:line="280" w:lineRule="exact"/>
              <w:ind w:firstLine="420"/>
              <w:jc w:val="center"/>
              <w:rPr>
                <w:rStyle w:val="10"/>
                <w:b w:val="0"/>
                <w:bCs w:val="0"/>
                <w:szCs w:val="21"/>
              </w:rPr>
            </w:pPr>
          </w:p>
        </w:tc>
        <w:tc>
          <w:tcPr>
            <w:tcW w:w="4320" w:type="dxa"/>
            <w:gridSpan w:val="3"/>
            <w:vAlign w:val="center"/>
          </w:tcPr>
          <w:p>
            <w:pPr>
              <w:spacing w:before="100" w:beforeAutospacing="1" w:after="100" w:afterAutospacing="1" w:line="280" w:lineRule="exact"/>
              <w:ind w:firstLine="420"/>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937" w:hRule="exact"/>
          <w:jc w:val="center"/>
        </w:trPr>
        <w:tc>
          <w:tcPr>
            <w:tcW w:w="10728" w:type="dxa"/>
            <w:gridSpan w:val="7"/>
            <w:tcBorders>
              <w:bottom w:val="thickThinSmallGap" w:color="auto" w:sz="12" w:space="0"/>
            </w:tcBorders>
            <w:vAlign w:val="center"/>
          </w:tcPr>
          <w:p>
            <w:pPr>
              <w:spacing w:before="100" w:beforeAutospacing="1" w:after="100" w:afterAutospacing="1" w:line="280" w:lineRule="exact"/>
              <w:ind w:firstLine="420"/>
              <w:rPr>
                <w:rStyle w:val="10"/>
                <w:b w:val="0"/>
                <w:bCs w:val="0"/>
                <w:szCs w:val="21"/>
              </w:rPr>
            </w:pPr>
            <w:r>
              <w:rPr>
                <w:rStyle w:val="10"/>
                <w:rFonts w:hint="eastAsia"/>
                <w:szCs w:val="21"/>
              </w:rPr>
              <w:t>参会人数：</w:t>
            </w:r>
            <w:r>
              <w:rPr>
                <w:rStyle w:val="10"/>
                <w:szCs w:val="21"/>
              </w:rPr>
              <w:t>_________</w:t>
            </w:r>
            <w:r>
              <w:rPr>
                <w:rStyle w:val="10"/>
                <w:rFonts w:hint="eastAsia"/>
                <w:szCs w:val="21"/>
              </w:rPr>
              <w:t>人，费用合计：</w:t>
            </w:r>
            <w:r>
              <w:rPr>
                <w:rStyle w:val="10"/>
                <w:szCs w:val="21"/>
              </w:rPr>
              <w:t>_________</w:t>
            </w:r>
            <w:r>
              <w:rPr>
                <w:rStyle w:val="10"/>
                <w:rFonts w:hint="eastAsia"/>
                <w:szCs w:val="21"/>
              </w:rPr>
              <w:t>元；</w:t>
            </w:r>
            <w:r>
              <w:rPr>
                <w:rStyle w:val="10"/>
                <w:szCs w:val="21"/>
              </w:rPr>
              <w:t xml:space="preserve"> </w:t>
            </w:r>
            <w:r>
              <w:rPr>
                <w:rStyle w:val="10"/>
                <w:rFonts w:hint="eastAsia"/>
                <w:szCs w:val="21"/>
              </w:rPr>
              <w:t>付款方式：□</w:t>
            </w:r>
            <w:r>
              <w:rPr>
                <w:rStyle w:val="10"/>
                <w:szCs w:val="21"/>
              </w:rPr>
              <w:t xml:space="preserve"> </w:t>
            </w:r>
            <w:r>
              <w:rPr>
                <w:rStyle w:val="10"/>
                <w:rFonts w:hint="eastAsia"/>
                <w:szCs w:val="21"/>
              </w:rPr>
              <w:t>转帐</w:t>
            </w:r>
            <w:r>
              <w:rPr>
                <w:rStyle w:val="10"/>
                <w:szCs w:val="21"/>
              </w:rPr>
              <w:t xml:space="preserve"> </w:t>
            </w:r>
            <w:r>
              <w:rPr>
                <w:rStyle w:val="10"/>
                <w:rFonts w:hint="eastAsia"/>
                <w:szCs w:val="21"/>
              </w:rPr>
              <w:t>□</w:t>
            </w:r>
            <w:r>
              <w:rPr>
                <w:rStyle w:val="10"/>
                <w:szCs w:val="21"/>
              </w:rPr>
              <w:t xml:space="preserve"> </w:t>
            </w:r>
            <w:r>
              <w:rPr>
                <w:rStyle w:val="10"/>
                <w:rFonts w:hint="eastAsia"/>
                <w:szCs w:val="21"/>
              </w:rPr>
              <w:t>现金</w:t>
            </w:r>
          </w:p>
          <w:p>
            <w:pPr>
              <w:spacing w:before="100" w:beforeAutospacing="1" w:after="100" w:afterAutospacing="1" w:line="280" w:lineRule="exact"/>
              <w:ind w:firstLine="420"/>
              <w:rPr>
                <w:rStyle w:val="10"/>
                <w:b w:val="0"/>
                <w:bCs w:val="0"/>
                <w:szCs w:val="21"/>
              </w:rPr>
            </w:pPr>
            <w:r>
              <w:rPr>
                <w:rStyle w:val="10"/>
                <w:rFonts w:hint="eastAsia"/>
                <w:szCs w:val="21"/>
              </w:rPr>
              <w:t>发票类别：</w:t>
            </w:r>
            <w:r>
              <w:rPr>
                <w:rStyle w:val="10"/>
                <w:szCs w:val="21"/>
              </w:rPr>
              <w:t xml:space="preserve"> </w:t>
            </w:r>
            <w:r>
              <w:rPr>
                <w:rStyle w:val="10"/>
                <w:rFonts w:hint="eastAsia"/>
                <w:szCs w:val="21"/>
              </w:rPr>
              <w:t>□</w:t>
            </w:r>
            <w:r>
              <w:rPr>
                <w:rStyle w:val="10"/>
                <w:szCs w:val="21"/>
              </w:rPr>
              <w:t xml:space="preserve"> </w:t>
            </w:r>
            <w:r>
              <w:rPr>
                <w:rStyle w:val="10"/>
                <w:rFonts w:hint="eastAsia"/>
                <w:szCs w:val="21"/>
              </w:rPr>
              <w:t>增值税普通发票</w:t>
            </w:r>
            <w:r>
              <w:rPr>
                <w:rStyle w:val="10"/>
                <w:szCs w:val="21"/>
              </w:rPr>
              <w:t xml:space="preserve">  </w:t>
            </w:r>
            <w:r>
              <w:rPr>
                <w:rStyle w:val="10"/>
                <w:rFonts w:hint="eastAsia"/>
                <w:szCs w:val="21"/>
              </w:rPr>
              <w:t>□</w:t>
            </w:r>
            <w:r>
              <w:rPr>
                <w:rStyle w:val="10"/>
                <w:szCs w:val="21"/>
              </w:rPr>
              <w:t xml:space="preserve"> </w:t>
            </w:r>
            <w:r>
              <w:rPr>
                <w:rStyle w:val="10"/>
                <w:rFonts w:hint="eastAsia"/>
                <w:szCs w:val="21"/>
              </w:rPr>
              <w:t>增值税专用发票（需提供一般纳税人开票资料）</w:t>
            </w:r>
          </w:p>
        </w:tc>
      </w:tr>
    </w:tbl>
    <w:p>
      <w:pPr>
        <w:spacing w:line="240" w:lineRule="exact"/>
        <w:ind w:left="-1079" w:leftChars="-514" w:firstLine="333" w:firstLineChars="159"/>
        <w:jc w:val="center"/>
        <w:rPr>
          <w:rFonts w:ascii="宋体"/>
          <w:color w:val="808080"/>
          <w:szCs w:val="21"/>
        </w:rPr>
      </w:pPr>
    </w:p>
    <w:p>
      <w:pPr>
        <w:pStyle w:val="6"/>
        <w:shd w:val="clear" w:color="auto" w:fill="FFFFFF"/>
        <w:rPr>
          <w:rFonts w:asciiTheme="minorEastAsia" w:hAnsiTheme="minorEastAsia" w:eastAsiaTheme="minorEastAsia"/>
          <w:color w:val="666666"/>
          <w:shd w:val="clear" w:color="auto" w:fill="FFFFFF"/>
        </w:rPr>
      </w:pPr>
    </w:p>
    <w:p>
      <w:pPr>
        <w:spacing w:line="540" w:lineRule="exact"/>
        <w:jc w:val="left"/>
        <w:rPr>
          <w:rFonts w:asciiTheme="minorEastAsia" w:hAnsiTheme="minorEastAsia" w:cstheme="minorEastAsia"/>
          <w:b/>
          <w:bCs/>
          <w:sz w:val="24"/>
        </w:rPr>
      </w:pPr>
    </w:p>
    <w:sectPr>
      <w:type w:val="continuous"/>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column">
                <wp:posOffset>704850</wp:posOffset>
              </wp:positionH>
              <wp:positionV relativeFrom="paragraph">
                <wp:posOffset>97155</wp:posOffset>
              </wp:positionV>
              <wp:extent cx="4572000" cy="757555"/>
              <wp:effectExtent l="0" t="0" r="0" b="4445"/>
              <wp:wrapNone/>
              <wp:docPr id="4"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pPr>
                            <w:jc w:val="both"/>
                            <w:rPr>
                              <w:rFonts w:ascii="微软雅黑" w:hAnsi="微软雅黑" w:eastAsia="微软雅黑" w:cs="微软雅黑"/>
                              <w:szCs w:val="21"/>
                            </w:rPr>
                          </w:pPr>
                        </w:p>
                      </w:txbxContent>
                    </wps:txbx>
                    <wps:bodyPr upright="1"/>
                  </wps:wsp>
                </a:graphicData>
              </a:graphic>
            </wp:anchor>
          </w:drawing>
        </mc:Choice>
        <mc:Fallback>
          <w:pict>
            <v:shape id="Text Box 3" o:spid="_x0000_s1026" o:spt="202" type="#_x0000_t202" style="position:absolute;left:0pt;margin-left:55.5pt;margin-top:7.65pt;height:59.65pt;width:360pt;z-index:251658240;mso-width-relative:page;mso-height-relative:page;" filled="f" stroked="f" coordsize="21600,21600" o:gfxdata="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G4G5A1AAAAAoB&#10;AAAPAAAAAAAAAAEAIAAAACIAAABkcnMvZG93bnJldi54bWxQSwECFAAUAAAACACHTuJAAbtzma0B&#10;AABuAwAADgAAAAAAAAABACAAAAAjAQAAZHJzL2Uyb0RvYy54bWxQSwUGAAAAAAYABgBZAQAAQgUA&#10;AAAA&#10;">
              <v:fill on="f" focussize="0,0"/>
              <v:stroke on="f" joinstyle="miter"/>
              <v:imagedata o:title=""/>
              <o:lock v:ext="edit" aspectratio="f"/>
              <v:textbox>
                <w:txbxContent>
                  <w:p>
                    <w:pPr>
                      <w:jc w:val="both"/>
                      <w:rPr>
                        <w:rFonts w:ascii="微软雅黑" w:hAnsi="微软雅黑" w:eastAsia="微软雅黑" w:cs="微软雅黑"/>
                        <w:szCs w:val="21"/>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-1096010</wp:posOffset>
              </wp:positionH>
              <wp:positionV relativeFrom="paragraph">
                <wp:posOffset>569595</wp:posOffset>
              </wp:positionV>
              <wp:extent cx="7362825" cy="133350"/>
              <wp:effectExtent l="0" t="0" r="4445" b="4445"/>
              <wp:wrapNone/>
              <wp:docPr id="3" name="Rectangle 5"/>
              <wp:cNvGraphicFramePr/>
              <a:graphic xmlns:a="http://schemas.openxmlformats.org/drawingml/2006/main">
                <a:graphicData uri="http://schemas.microsoft.com/office/word/2010/wordprocessingShape">
                  <wps:wsp>
                    <wps:cNvSpPr>
                      <a:spLocks noChangeArrowheads="1"/>
                    </wps:cNvSpPr>
                    <wps:spPr bwMode="auto">
                      <a:xfrm>
                        <a:off x="0" y="0"/>
                        <a:ext cx="7362825" cy="133350"/>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86.3pt;margin-top:44.85pt;height:10.5pt;width:579.75pt;z-index:251659264;mso-width-relative:page;mso-height-relative:page;" filled="f" stroked="f" coordsize="21600,21600" o:gfxdata="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PPQANsAAAALAQAADwAAAAAAAAABACAAAAAiAAAAZHJzL2Rv&#10;d25yZXYueG1sUEsBAhQAFAAAAAgAh07iQGIvC5X+AQAAAAQAAA4AAAAAAAAAAQAgAAAAKgEAAGRy&#10;cy9lMm9Eb2MueG1sUEsFBgAAAAAGAAYAWQEAAJoFAAAAAA==&#10;">
              <v:fill on="f" focussize="0,0"/>
              <v:stroke on="f"/>
              <v:imagedata o:title=""/>
              <o:lock v:ext="edit" aspectratio="f"/>
            </v: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-401320</wp:posOffset>
              </wp:positionH>
              <wp:positionV relativeFrom="paragraph">
                <wp:posOffset>-154305</wp:posOffset>
              </wp:positionV>
              <wp:extent cx="6029325" cy="352425"/>
              <wp:effectExtent l="4445" t="0" r="0" b="4445"/>
              <wp:wrapNone/>
              <wp:docPr id="2" name="Rectangle 6"/>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31.6pt;margin-top:-12.15pt;height:27.75pt;width:474.75pt;z-index:251657216;mso-width-relative:page;mso-height-relative:page;" filled="f" stroked="f" coordsize="21600,21600" o:gfxdata="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jlIPaAAAACgEAAA8AAAAAAAAAAQAgAAAAIgAAAGRycy9kb3du&#10;cmV2LnhtbFBLAQIUABQAAAAIAIdO4kDZL9cz/QEAAAAEAAAOAAAAAAAAAAEAIAAAACkBAABkcnMv&#10;ZTJvRG9jLnhtbFBLBQYAAAAABgAGAFkBAACYBQAAAAA=&#10;">
              <v:fill on="f" focussize="0,0"/>
              <v:stroke on="f"/>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spacing w:after="12"/>
      <w:ind w:firstLine="360"/>
      <w:jc w:val="right"/>
      <w:rPr>
        <w:rFonts w:ascii="宋体" w:hAnsi="宋体"/>
        <w:color w:val="0000FF"/>
      </w:rPr>
    </w:pPr>
    <w: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-495300</wp:posOffset>
              </wp:positionV>
              <wp:extent cx="6562725" cy="676275"/>
              <wp:effectExtent l="0" t="0" r="4445" b="2540"/>
              <wp:wrapNone/>
              <wp:docPr id="9" name="Rectangle 2"/>
              <wp:cNvGraphicFramePr/>
              <a:graphic xmlns:a="http://schemas.openxmlformats.org/drawingml/2006/main">
                <a:graphicData uri="http://schemas.microsoft.com/office/word/2010/wordprocessingShape">
                  <wps:wsp>
                    <wps:cNvSpPr>
                      <a:spLocks noChangeArrowheads="1"/>
                    </wps:cNvSpPr>
                    <wps:spPr bwMode="auto">
                      <a:xfrm>
                        <a:off x="0" y="0"/>
                        <a:ext cx="6562725" cy="67627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10pt;margin-top:-39pt;height:53.25pt;width:516.75pt;z-index:251666432;mso-width-relative:page;mso-height-relative:page;" filled="f" stroked="f" coordsize="21600,21600" o:gfxdata="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j2Vmx2QAAAAoBAAAPAAAAAAAAAAEAIAAAACIAAABkcnMvZG93bnJl&#10;di54bWxQSwECFAAUAAAACACHTuJAZNA/bvwBAAAABAAADgAAAAAAAAABACAAAAAoAQAAZHJzL2Uy&#10;b0RvYy54bWxQSwUGAAAAAAYABgBZAQAAlgUAAAAA&#10;">
              <v:fill on="f" focussize="0,0"/>
              <v:stroke on="f"/>
              <v:imagedata o:title=""/>
              <o:lock v:ext="edit" aspectratio="f"/>
            </v:rect>
          </w:pict>
        </mc:Fallback>
      </mc:AlternateContent>
    </w:r>
    <w:r>
      <w:drawing>
        <wp:anchor distT="0" distB="0" distL="114300" distR="114300" simplePos="0" relativeHeight="251680768" behindDoc="0" locked="0" layoutInCell="1" allowOverlap="1">
          <wp:simplePos x="0" y="0"/>
          <wp:positionH relativeFrom="column">
            <wp:posOffset>-68580</wp:posOffset>
          </wp:positionH>
          <wp:positionV relativeFrom="paragraph">
            <wp:posOffset>-36195</wp:posOffset>
          </wp:positionV>
          <wp:extent cx="1668780" cy="459740"/>
          <wp:effectExtent l="0" t="0" r="7620" b="1651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668780" cy="459740"/>
                  </a:xfrm>
                  <a:prstGeom prst="rect">
                    <a:avLst/>
                  </a:prstGeom>
                  <a:noFill/>
                </pic:spPr>
              </pic:pic>
            </a:graphicData>
          </a:graphic>
        </wp:anchor>
      </w:drawing>
    </w:r>
    <w:r>
      <w:t xml:space="preserve">                                      </w:t>
    </w:r>
    <w:r>
      <w:rPr>
        <w:rFonts w:hint="eastAsia" w:ascii="宋体" w:hAnsi="宋体"/>
        <w:color w:val="0000FF"/>
      </w:rPr>
      <w:t>热线：</w:t>
    </w:r>
    <w:r>
      <w:rPr>
        <w:rFonts w:ascii="宋体" w:hAnsi="宋体"/>
        <w:color w:val="0000FF"/>
      </w:rPr>
      <w:t xml:space="preserve">400 6364 168  </w:t>
    </w:r>
    <w:r>
      <w:rPr>
        <w:rFonts w:hint="eastAsia" w:ascii="宋体" w:hAnsi="宋体"/>
        <w:color w:val="0000FF"/>
      </w:rPr>
      <w:t>一六八培训网</w:t>
    </w:r>
    <w:r>
      <w:rPr>
        <w:rFonts w:ascii="宋体" w:hAnsi="宋体"/>
        <w:color w:val="0000FF"/>
      </w:rPr>
      <w:t>(www.peixun168.com)</w:t>
    </w:r>
  </w:p>
  <w:p>
    <w:pPr>
      <w:pStyle w:val="5"/>
      <w:pBdr>
        <w:top w:val="none" w:color="auto" w:sz="0" w:space="0"/>
        <w:left w:val="none" w:color="auto" w:sz="0" w:space="0"/>
        <w:bottom w:val="none" w:color="auto" w:sz="0" w:space="0"/>
        <w:right w:val="none" w:color="auto" w:sz="0" w:space="0"/>
      </w:pBdr>
      <w:spacing w:after="12"/>
      <w:ind w:firstLine="360"/>
      <w:jc w:val="right"/>
      <w:rPr>
        <w:rFonts w:ascii="宋体" w:hAnsi="宋体"/>
        <w:color w:val="0000FF"/>
      </w:rPr>
    </w:pPr>
    <w:r>
      <w:rPr>
        <w:rFonts w:ascii="宋体" w:hAnsi="宋体"/>
        <w:color w:val="0000FF"/>
      </w:rPr>
      <w:t xml:space="preserve">                                    </w:t>
    </w:r>
    <w:r>
      <w:rPr>
        <w:rFonts w:hint="eastAsia" w:ascii="宋体" w:hAnsi="宋体"/>
        <w:color w:val="0000FF"/>
      </w:rPr>
      <w:t>电话：</w:t>
    </w:r>
    <w:r>
      <w:rPr>
        <w:rFonts w:ascii="宋体" w:hAnsi="宋体"/>
        <w:color w:val="0000FF"/>
      </w:rPr>
      <w:t xml:space="preserve"> (021)</w:t>
    </w:r>
    <w:r>
      <w:t xml:space="preserve"> </w:t>
    </w:r>
    <w:r>
      <w:rPr>
        <w:rFonts w:ascii="宋体" w:hAnsi="宋体"/>
        <w:color w:val="0000FF"/>
      </w:rPr>
      <w:t xml:space="preserve">51872644 (0755) 86154193 </w:t>
    </w:r>
  </w:p>
  <w:p>
    <w:pPr>
      <w:pStyle w:val="5"/>
      <w:pBdr>
        <w:top w:val="none" w:color="auto" w:sz="0" w:space="0"/>
        <w:left w:val="none" w:color="auto" w:sz="0" w:space="0"/>
        <w:bottom w:val="none" w:color="auto" w:sz="0" w:space="0"/>
        <w:right w:val="none" w:color="auto" w:sz="0" w:space="0"/>
      </w:pBdr>
      <w:spacing w:after="12"/>
      <w:ind w:firstLine="360"/>
      <w:jc w:val="right"/>
      <w:rPr>
        <w:sz w:val="21"/>
      </w:rPr>
    </w:pPr>
    <w:r>
      <w:rPr>
        <w:rFonts w:ascii="宋体" w:hAnsi="宋体"/>
        <w:color w:val="0000FF"/>
      </w:rPr>
      <w:t xml:space="preserve">                                   </w:t>
    </w:r>
    <w:r>
      <w:rPr>
        <w:rFonts w:hint="eastAsia" w:ascii="宋体" w:hAnsi="宋体"/>
        <w:color w:val="0000FF"/>
        <w:lang w:val="en-US" w:eastAsia="zh-CN"/>
      </w:rPr>
      <w:t xml:space="preserve">                          </w:t>
    </w:r>
    <w:r>
      <w:rPr>
        <w:rFonts w:ascii="宋体" w:hAnsi="宋体"/>
        <w:color w:val="0000FF"/>
      </w:rPr>
      <w:t xml:space="preserve"> </w:t>
    </w:r>
    <w:r>
      <w:rPr>
        <w:rFonts w:hint="eastAsia" w:ascii="宋体" w:hAnsi="宋体"/>
        <w:color w:val="0000FF"/>
      </w:rPr>
      <w:t>传真：</w:t>
    </w:r>
    <w:r>
      <w:rPr>
        <w:rFonts w:ascii="宋体" w:hAnsi="宋体"/>
        <w:color w:val="0000FF"/>
      </w:rPr>
      <w:t xml:space="preserve"> (021)</w:t>
    </w:r>
    <w:r>
      <w:t xml:space="preserve"> </w:t>
    </w:r>
    <w:r>
      <w:rPr>
        <w:rFonts w:ascii="宋体" w:hAnsi="宋体"/>
        <w:color w:val="0000FF"/>
      </w:rPr>
      <w:t>51012039 (0755) 86154195</w:t>
    </w:r>
    <w:r>
      <w:rPr>
        <w:rFonts w:hint="eastAsia"/>
        <w:lang w:eastAsia="zh-CN"/>
      </w:rPr>
      <w:tab/>
    </w:r>
  </w:p>
  <w:p>
    <w:pPr>
      <w:pStyle w:val="5"/>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bidi/>
      <w:ind w:right="840" w:rightChars="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0FB259D2"/>
    <w:multiLevelType w:val="multilevel"/>
    <w:tmpl w:val="0FB259D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DB55D7A"/>
    <w:multiLevelType w:val="multilevel"/>
    <w:tmpl w:val="1DB55D7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4050290"/>
    <w:multiLevelType w:val="multilevel"/>
    <w:tmpl w:val="2405029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873725C"/>
    <w:multiLevelType w:val="multilevel"/>
    <w:tmpl w:val="2873725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PicBulletId w:val="0"/>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28C842B4"/>
    <w:multiLevelType w:val="multilevel"/>
    <w:tmpl w:val="28C842B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PicBulletId w:val="1"/>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3D"/>
    <w:rsid w:val="000236CD"/>
    <w:rsid w:val="00025AA9"/>
    <w:rsid w:val="000408B6"/>
    <w:rsid w:val="00065C60"/>
    <w:rsid w:val="000765F0"/>
    <w:rsid w:val="00091D15"/>
    <w:rsid w:val="00093237"/>
    <w:rsid w:val="000F11AD"/>
    <w:rsid w:val="00102921"/>
    <w:rsid w:val="00144D94"/>
    <w:rsid w:val="00176443"/>
    <w:rsid w:val="00183B2F"/>
    <w:rsid w:val="001A3869"/>
    <w:rsid w:val="001A60D1"/>
    <w:rsid w:val="001B2333"/>
    <w:rsid w:val="001C2732"/>
    <w:rsid w:val="001D59DE"/>
    <w:rsid w:val="00204912"/>
    <w:rsid w:val="00213517"/>
    <w:rsid w:val="002154C3"/>
    <w:rsid w:val="00216737"/>
    <w:rsid w:val="00216F19"/>
    <w:rsid w:val="00217603"/>
    <w:rsid w:val="00224AE4"/>
    <w:rsid w:val="00236B6F"/>
    <w:rsid w:val="002505F2"/>
    <w:rsid w:val="0025115F"/>
    <w:rsid w:val="002733C4"/>
    <w:rsid w:val="0027675F"/>
    <w:rsid w:val="002773C2"/>
    <w:rsid w:val="00281C9B"/>
    <w:rsid w:val="00282DDB"/>
    <w:rsid w:val="00295079"/>
    <w:rsid w:val="002A4A3D"/>
    <w:rsid w:val="002B2141"/>
    <w:rsid w:val="002B3AF3"/>
    <w:rsid w:val="002B432E"/>
    <w:rsid w:val="002C25D0"/>
    <w:rsid w:val="002E7EA2"/>
    <w:rsid w:val="002F72BB"/>
    <w:rsid w:val="00302A4D"/>
    <w:rsid w:val="00324E74"/>
    <w:rsid w:val="00330B2A"/>
    <w:rsid w:val="003357F8"/>
    <w:rsid w:val="00344A42"/>
    <w:rsid w:val="00347A5F"/>
    <w:rsid w:val="00373374"/>
    <w:rsid w:val="00380FBE"/>
    <w:rsid w:val="00403F62"/>
    <w:rsid w:val="00414E5F"/>
    <w:rsid w:val="004211A4"/>
    <w:rsid w:val="00427DA2"/>
    <w:rsid w:val="00431731"/>
    <w:rsid w:val="004331CD"/>
    <w:rsid w:val="004530E9"/>
    <w:rsid w:val="00463BC3"/>
    <w:rsid w:val="00471138"/>
    <w:rsid w:val="00493C18"/>
    <w:rsid w:val="004B3FAD"/>
    <w:rsid w:val="004B483D"/>
    <w:rsid w:val="004D3E27"/>
    <w:rsid w:val="004E4DD2"/>
    <w:rsid w:val="00514901"/>
    <w:rsid w:val="00516E42"/>
    <w:rsid w:val="00517277"/>
    <w:rsid w:val="00522406"/>
    <w:rsid w:val="005315AA"/>
    <w:rsid w:val="00541B7E"/>
    <w:rsid w:val="0058488C"/>
    <w:rsid w:val="005968F9"/>
    <w:rsid w:val="005A5926"/>
    <w:rsid w:val="005B4CC0"/>
    <w:rsid w:val="005D75F4"/>
    <w:rsid w:val="005E75C7"/>
    <w:rsid w:val="005F0D84"/>
    <w:rsid w:val="00615B98"/>
    <w:rsid w:val="00634D71"/>
    <w:rsid w:val="00642CB9"/>
    <w:rsid w:val="006A726E"/>
    <w:rsid w:val="006B3BA8"/>
    <w:rsid w:val="006B7BE2"/>
    <w:rsid w:val="006F033A"/>
    <w:rsid w:val="006F7178"/>
    <w:rsid w:val="00731CA6"/>
    <w:rsid w:val="00755A85"/>
    <w:rsid w:val="00772A24"/>
    <w:rsid w:val="007812E1"/>
    <w:rsid w:val="007B5734"/>
    <w:rsid w:val="007B68B9"/>
    <w:rsid w:val="007C318A"/>
    <w:rsid w:val="007D3513"/>
    <w:rsid w:val="007D3C72"/>
    <w:rsid w:val="007F677E"/>
    <w:rsid w:val="00801085"/>
    <w:rsid w:val="00823687"/>
    <w:rsid w:val="00830B80"/>
    <w:rsid w:val="00842199"/>
    <w:rsid w:val="0086764C"/>
    <w:rsid w:val="008B4C7C"/>
    <w:rsid w:val="008C4DAC"/>
    <w:rsid w:val="008C5842"/>
    <w:rsid w:val="00903A94"/>
    <w:rsid w:val="009162FC"/>
    <w:rsid w:val="00967C57"/>
    <w:rsid w:val="009A4921"/>
    <w:rsid w:val="009C19FB"/>
    <w:rsid w:val="009E73B7"/>
    <w:rsid w:val="00A15BC4"/>
    <w:rsid w:val="00A17DC3"/>
    <w:rsid w:val="00A23EA7"/>
    <w:rsid w:val="00A628C7"/>
    <w:rsid w:val="00A62FE0"/>
    <w:rsid w:val="00A733B7"/>
    <w:rsid w:val="00A7465D"/>
    <w:rsid w:val="00A81C20"/>
    <w:rsid w:val="00A94E69"/>
    <w:rsid w:val="00AB1C2B"/>
    <w:rsid w:val="00AB43FB"/>
    <w:rsid w:val="00AB7C5B"/>
    <w:rsid w:val="00AC7ED1"/>
    <w:rsid w:val="00B132BF"/>
    <w:rsid w:val="00B15300"/>
    <w:rsid w:val="00B32E7A"/>
    <w:rsid w:val="00B50AFC"/>
    <w:rsid w:val="00B545A7"/>
    <w:rsid w:val="00B81FF3"/>
    <w:rsid w:val="00B866A9"/>
    <w:rsid w:val="00B95597"/>
    <w:rsid w:val="00BC11C8"/>
    <w:rsid w:val="00BE3AF3"/>
    <w:rsid w:val="00BF0AEF"/>
    <w:rsid w:val="00BF3FC0"/>
    <w:rsid w:val="00C13A7C"/>
    <w:rsid w:val="00C14A85"/>
    <w:rsid w:val="00C34974"/>
    <w:rsid w:val="00C54018"/>
    <w:rsid w:val="00C6119F"/>
    <w:rsid w:val="00C61A63"/>
    <w:rsid w:val="00C62077"/>
    <w:rsid w:val="00C707B9"/>
    <w:rsid w:val="00C715F0"/>
    <w:rsid w:val="00C73355"/>
    <w:rsid w:val="00C76020"/>
    <w:rsid w:val="00C84FCB"/>
    <w:rsid w:val="00CB4EA2"/>
    <w:rsid w:val="00CD36D7"/>
    <w:rsid w:val="00D004CA"/>
    <w:rsid w:val="00D05407"/>
    <w:rsid w:val="00D054E5"/>
    <w:rsid w:val="00D056E5"/>
    <w:rsid w:val="00D15FD7"/>
    <w:rsid w:val="00D2480E"/>
    <w:rsid w:val="00D349A4"/>
    <w:rsid w:val="00D45AD8"/>
    <w:rsid w:val="00D73805"/>
    <w:rsid w:val="00D863E0"/>
    <w:rsid w:val="00D90381"/>
    <w:rsid w:val="00D94B06"/>
    <w:rsid w:val="00DC3C62"/>
    <w:rsid w:val="00DD79C4"/>
    <w:rsid w:val="00DE2CF6"/>
    <w:rsid w:val="00DF09AE"/>
    <w:rsid w:val="00E0213B"/>
    <w:rsid w:val="00E1235F"/>
    <w:rsid w:val="00E21301"/>
    <w:rsid w:val="00E2237A"/>
    <w:rsid w:val="00E43081"/>
    <w:rsid w:val="00E4411A"/>
    <w:rsid w:val="00E55221"/>
    <w:rsid w:val="00EB7374"/>
    <w:rsid w:val="00ED13F1"/>
    <w:rsid w:val="00EE2C85"/>
    <w:rsid w:val="00EE3265"/>
    <w:rsid w:val="00EF1774"/>
    <w:rsid w:val="00F30D0B"/>
    <w:rsid w:val="00F31ACB"/>
    <w:rsid w:val="00F37370"/>
    <w:rsid w:val="00F45274"/>
    <w:rsid w:val="00F5628A"/>
    <w:rsid w:val="00F6060F"/>
    <w:rsid w:val="00F6293C"/>
    <w:rsid w:val="00F969CA"/>
    <w:rsid w:val="00FA70C3"/>
    <w:rsid w:val="00FE0E7A"/>
    <w:rsid w:val="00FF5345"/>
    <w:rsid w:val="01331E45"/>
    <w:rsid w:val="09C05201"/>
    <w:rsid w:val="105000F8"/>
    <w:rsid w:val="13C86BE9"/>
    <w:rsid w:val="1807409F"/>
    <w:rsid w:val="184123F5"/>
    <w:rsid w:val="25CD7544"/>
    <w:rsid w:val="298B645C"/>
    <w:rsid w:val="29EB12F2"/>
    <w:rsid w:val="29EF3210"/>
    <w:rsid w:val="307820FC"/>
    <w:rsid w:val="384F5916"/>
    <w:rsid w:val="408B1CD0"/>
    <w:rsid w:val="411E1D16"/>
    <w:rsid w:val="49451AB7"/>
    <w:rsid w:val="515C3FAB"/>
    <w:rsid w:val="52A9707A"/>
    <w:rsid w:val="562A7E09"/>
    <w:rsid w:val="6D50027F"/>
    <w:rsid w:val="7F873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99"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unhideWhenUsed/>
    <w:uiPriority w:val="0"/>
    <w:pPr>
      <w:widowControl/>
      <w:spacing w:before="100" w:beforeAutospacing="1" w:after="100" w:afterAutospacing="1"/>
      <w:jc w:val="left"/>
    </w:pPr>
    <w:rPr>
      <w:rFonts w:ascii="宋体" w:hAnsi="宋体" w:eastAsia="宋体" w:cs="宋体"/>
      <w:kern w:val="0"/>
      <w:sz w:val="24"/>
    </w:rPr>
  </w:style>
  <w:style w:type="table" w:styleId="8">
    <w:name w:val="Table Grid"/>
    <w:basedOn w:val="7"/>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99"/>
    <w:rPr>
      <w:rFonts w:cs="Times New Roman"/>
      <w:b/>
      <w:bCs/>
    </w:rPr>
  </w:style>
  <w:style w:type="character" w:styleId="11">
    <w:name w:val="Hyperlink"/>
    <w:basedOn w:val="9"/>
    <w:uiPriority w:val="0"/>
    <w:rPr>
      <w:color w:val="5F5F5F" w:themeColor="hyperlink"/>
      <w:u w:val="single"/>
      <w14:textFill>
        <w14:solidFill>
          <w14:schemeClr w14:val="hlink"/>
        </w14:solidFill>
      </w14:textFill>
    </w:rPr>
  </w:style>
  <w:style w:type="paragraph" w:customStyle="1" w:styleId="12">
    <w:name w:val="列出段落1"/>
    <w:basedOn w:val="1"/>
    <w:unhideWhenUsed/>
    <w:qFormat/>
    <w:uiPriority w:val="0"/>
    <w:pPr>
      <w:ind w:firstLine="420" w:firstLineChars="200"/>
    </w:pPr>
  </w:style>
  <w:style w:type="character" w:customStyle="1" w:styleId="13">
    <w:name w:val="批注框文本 字符"/>
    <w:basedOn w:val="9"/>
    <w:link w:val="3"/>
    <w:uiPriority w:val="0"/>
    <w:rPr>
      <w:kern w:val="2"/>
      <w:sz w:val="18"/>
      <w:szCs w:val="18"/>
    </w:rPr>
  </w:style>
  <w:style w:type="paragraph" w:customStyle="1" w:styleId="14">
    <w:name w:val="列出段落2"/>
    <w:basedOn w:val="1"/>
    <w:uiPriority w:val="0"/>
    <w:pPr>
      <w:ind w:firstLine="420" w:firstLineChars="200"/>
    </w:pPr>
    <w:rPr>
      <w:rFonts w:ascii="Calibri" w:hAnsi="Calibri" w:eastAsia="宋体" w:cs="Times New Roman"/>
      <w:szCs w:val="22"/>
    </w:rPr>
  </w:style>
  <w:style w:type="paragraph" w:styleId="15">
    <w:name w:val="List Paragraph"/>
    <w:basedOn w:val="1"/>
    <w:link w:val="17"/>
    <w:unhideWhenUsed/>
    <w:qFormat/>
    <w:uiPriority w:val="34"/>
    <w:pPr>
      <w:ind w:firstLine="420" w:firstLineChars="200"/>
    </w:pPr>
  </w:style>
  <w:style w:type="character" w:customStyle="1" w:styleId="16">
    <w:name w:val="Book Title"/>
    <w:basedOn w:val="9"/>
    <w:qFormat/>
    <w:uiPriority w:val="33"/>
    <w:rPr>
      <w:b/>
      <w:bCs/>
      <w:smallCaps/>
      <w:spacing w:val="5"/>
    </w:rPr>
  </w:style>
  <w:style w:type="character" w:customStyle="1" w:styleId="17">
    <w:name w:val="列表段落 字符"/>
    <w:link w:val="15"/>
    <w:locked/>
    <w:uiPriority w:val="34"/>
    <w:rPr>
      <w:kern w:val="2"/>
      <w:sz w:val="21"/>
      <w:szCs w:val="24"/>
    </w:rPr>
  </w:style>
  <w:style w:type="character" w:customStyle="1" w:styleId="18">
    <w:name w:val="zi_chinablue"/>
    <w:qFormat/>
    <w:uiPriority w:val="0"/>
  </w:style>
  <w:style w:type="character" w:customStyle="1" w:styleId="19">
    <w:name w:val="Hyperlink.1"/>
    <w:basedOn w:val="18"/>
    <w:qFormat/>
    <w:uiPriority w:val="0"/>
    <w:rPr>
      <w:lang w:val="zh-TW" w:eastAsia="zh-TW"/>
    </w:rPr>
  </w:style>
  <w:style w:type="paragraph" w:customStyle="1" w:styleId="20">
    <w:name w:val="默认段落字体 Para Char Char Char Char"/>
    <w:basedOn w:val="1"/>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6</Pages>
  <Words>525</Words>
  <Characters>2993</Characters>
  <Lines>24</Lines>
  <Paragraphs>7</Paragraphs>
  <TotalTime>1</TotalTime>
  <ScaleCrop>false</ScaleCrop>
  <LinksUpToDate>false</LinksUpToDate>
  <CharactersWithSpaces>3511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2020-07-23T00:56:00Z</dcterms:created>
  <dc:creator>杜建婷</dc:creator>
  <cp:lastModifiedBy>林雄生</cp:lastModifiedBy>
  <dcterms:modified xsi:type="dcterms:W3CDTF">2020-12-14T10:41:44Z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