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2201" w:firstLineChars="500"/>
        <w:rPr>
          <w:rFonts w:hint="eastAsia" w:ascii="微软雅黑" w:hAnsi="微软雅黑" w:eastAsia="微软雅黑"/>
          <w:b/>
          <w:bCs/>
          <w:sz w:val="44"/>
          <w:szCs w:val="44"/>
        </w:rPr>
      </w:pPr>
      <w:bookmarkStart w:id="0" w:name="OLE_LINK1"/>
      <w:r>
        <w:rPr>
          <w:rFonts w:hint="eastAsia" w:ascii="微软雅黑" w:hAnsi="微软雅黑" w:eastAsia="微软雅黑"/>
          <w:b/>
          <w:bCs/>
          <w:sz w:val="44"/>
          <w:szCs w:val="44"/>
        </w:rPr>
        <w:t>高效能人士的七项修练</w:t>
      </w:r>
    </w:p>
    <w:p>
      <w:pPr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</w:rPr>
        <w:t>主办单位：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</w:rPr>
        <w:t>一六八培训网</w:t>
      </w:r>
      <w:r>
        <w:rPr>
          <w:rFonts w:ascii="微软雅黑" w:hAnsi="微软雅黑" w:eastAsia="微软雅黑"/>
          <w:b w:val="0"/>
          <w:bCs w:val="0"/>
          <w:color w:val="000000" w:themeColor="text1"/>
          <w:szCs w:val="21"/>
        </w:rPr>
        <w:t xml:space="preserve"> </w:t>
      </w:r>
      <w:r>
        <w:rPr>
          <w:b w:val="0"/>
          <w:bCs w:val="0"/>
          <w:color w:val="000000" w:themeColor="text1"/>
        </w:rPr>
        <w:fldChar w:fldCharType="begin"/>
      </w:r>
      <w:r>
        <w:rPr>
          <w:b w:val="0"/>
          <w:bCs w:val="0"/>
          <w:color w:val="000000" w:themeColor="text1"/>
        </w:rPr>
        <w:instrText xml:space="preserve"> HYPERLINK "http://www.peixun168.com" </w:instrText>
      </w:r>
      <w:r>
        <w:rPr>
          <w:b w:val="0"/>
          <w:bCs w:val="0"/>
          <w:color w:val="000000" w:themeColor="text1"/>
        </w:rPr>
        <w:fldChar w:fldCharType="separate"/>
      </w:r>
      <w:r>
        <w:rPr>
          <w:rStyle w:val="13"/>
          <w:rFonts w:ascii="微软雅黑" w:hAnsi="微软雅黑" w:eastAsia="微软雅黑"/>
          <w:b w:val="0"/>
          <w:bCs w:val="0"/>
          <w:color w:val="000000" w:themeColor="text1"/>
          <w:szCs w:val="21"/>
        </w:rPr>
        <w:t>www.peixun168.com</w:t>
      </w:r>
      <w:r>
        <w:rPr>
          <w:rStyle w:val="13"/>
          <w:rFonts w:ascii="微软雅黑" w:hAnsi="微软雅黑" w:eastAsia="微软雅黑"/>
          <w:b w:val="0"/>
          <w:bCs w:val="0"/>
          <w:color w:val="000000" w:themeColor="text1"/>
          <w:szCs w:val="21"/>
        </w:rPr>
        <w:fldChar w:fldCharType="end"/>
      </w:r>
      <w:r>
        <w:rPr>
          <w:rFonts w:ascii="微软雅黑" w:hAnsi="微软雅黑" w:eastAsia="微软雅黑"/>
          <w:b w:val="0"/>
          <w:bCs w:val="0"/>
          <w:color w:val="000000" w:themeColor="text1"/>
          <w:szCs w:val="21"/>
        </w:rPr>
        <w:t xml:space="preserve">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上课时间：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</w:rPr>
        <w:t>2021年5月22-23</w:t>
      </w: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 xml:space="preserve">深圳  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</w:rPr>
        <w:t xml:space="preserve">2021年5月29-30 上海 </w:t>
      </w:r>
      <w:bookmarkStart w:id="1" w:name="_GoBack"/>
      <w:bookmarkEnd w:id="1"/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2021年11月13-14广州  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2021年11月20-21上海   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2021年12月25-26深圳     </w:t>
      </w:r>
    </w:p>
    <w:p>
      <w:pPr>
        <w:spacing w:beforeLines="50" w:afterLines="100" w:line="440" w:lineRule="exact"/>
        <w:rPr>
          <w:rFonts w:ascii="微软雅黑" w:hAnsi="微软雅黑" w:eastAsia="微软雅黑"/>
          <w:b w:val="0"/>
          <w:bCs w:val="0"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课程费用：</w:t>
      </w:r>
      <w:r>
        <w:rPr>
          <w:rFonts w:hint="eastAsia" w:ascii="微软雅黑" w:hAnsi="微软雅黑" w:eastAsia="微软雅黑"/>
          <w:b w:val="0"/>
          <w:bCs w:val="0"/>
          <w:szCs w:val="21"/>
        </w:rPr>
        <w:t>4580元/人（含资料费、专家演讲费、会务费）住宿可统一安排，费用自理</w:t>
      </w:r>
    </w:p>
    <w:p>
      <w:pPr>
        <w:spacing w:beforeLines="50" w:afterLines="50" w:line="440" w:lineRule="exact"/>
        <w:rPr>
          <w:rFonts w:hint="eastAsia" w:ascii="微软雅黑" w:hAnsi="微软雅黑" w:eastAsia="DengXian"/>
          <w:b w:val="0"/>
          <w:bCs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课程对象：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DengXian" w:hAnsi="DengXian" w:eastAsia="DengXian" w:cs="Arial"/>
          <w:b w:val="0"/>
          <w:bCs w:val="0"/>
          <w:sz w:val="22"/>
          <w:szCs w:val="22"/>
        </w:rPr>
        <w:t>职场人士、骨干员工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联系电话：</w:t>
      </w:r>
      <w:r>
        <w:rPr>
          <w:rFonts w:ascii="微软雅黑" w:hAnsi="微软雅黑" w:eastAsia="微软雅黑"/>
          <w:szCs w:val="21"/>
        </w:rPr>
        <w:t xml:space="preserve">O755-86154193  86154194    </w:t>
      </w:r>
      <w:r>
        <w:rPr>
          <w:rFonts w:hint="eastAsia" w:ascii="微软雅黑" w:hAnsi="微软雅黑" w:eastAsia="微软雅黑"/>
          <w:szCs w:val="21"/>
        </w:rPr>
        <w:t>胡先生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林先生</w:t>
      </w:r>
    </w:p>
    <w:p>
      <w:pPr>
        <w:spacing w:beforeLines="50" w:afterLines="50" w:line="440" w:lineRule="exact"/>
        <w:rPr>
          <w:rFonts w:asciiTheme="minorEastAsia" w:hAnsiTheme="minorEastAsia"/>
          <w:sz w:val="24"/>
        </w:rPr>
      </w:pPr>
    </w:p>
    <w:bookmarkEnd w:id="0"/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课程背景</w:t>
      </w:r>
    </w:p>
    <w:p>
      <w:pPr>
        <w:pStyle w:val="26"/>
        <w:snapToGrid w:val="0"/>
        <w:spacing w:line="480" w:lineRule="exact"/>
        <w:ind w:firstLine="440" w:firstLineChars="200"/>
        <w:rPr>
          <w:rFonts w:hint="eastAsia"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本课程通过改变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固有的思维和工作习惯，使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在自我管理和人际关系管理上得到显著的改善，</w:t>
      </w:r>
      <w:r>
        <w:rPr>
          <w:rFonts w:hint="eastAsia" w:ascii="DengXian" w:hAnsi="DengXian" w:eastAsia="DengXian" w:cs="Arial"/>
          <w:sz w:val="22"/>
          <w:szCs w:val="22"/>
        </w:rPr>
        <w:t>大幅提升自己的职业素质与职业技能。</w:t>
      </w:r>
    </w:p>
    <w:p>
      <w:pPr>
        <w:pStyle w:val="26"/>
        <w:snapToGrid w:val="0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在自我管理方面，使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 xml:space="preserve">更加成熟，减少抱怨，培养积极主动的精神，更加勇于面对挑战和承担责任，将抓住重点、围绕目标展开工作和为结果负责变为工作习惯；在人际关系方面，训练员工牢固树立客户意识，能够更多地站在他人的立场看问题，建立持久稳固的健康人际关系，全方位提高工作效能，将良好的工作习惯渗透到团队及整个组织的各个层面。 </w:t>
      </w:r>
    </w:p>
    <w:p>
      <w:pPr>
        <w:pStyle w:val="17"/>
        <w:widowControl/>
        <w:spacing w:line="360" w:lineRule="exact"/>
        <w:ind w:left="902" w:firstLine="0" w:firstLineChars="0"/>
        <w:jc w:val="left"/>
        <w:rPr>
          <w:rFonts w:asciiTheme="majorEastAsia" w:hAnsiTheme="majorEastAsia" w:eastAsiaTheme="maj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价值</w:t>
      </w:r>
    </w:p>
    <w:p>
      <w:pPr>
        <w:pStyle w:val="26"/>
        <w:numPr>
          <w:ilvl w:val="1"/>
          <w:numId w:val="1"/>
        </w:numPr>
        <w:snapToGrid w:val="0"/>
        <w:spacing w:line="48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>大幅度提升</w:t>
      </w:r>
      <w:r>
        <w:rPr>
          <w:rFonts w:hint="eastAsia" w:ascii="DengXian" w:hAnsi="DengXian" w:eastAsia="DengXian" w:cs="Arial"/>
          <w:kern w:val="2"/>
          <w:sz w:val="22"/>
          <w:szCs w:val="22"/>
        </w:rPr>
        <w:t>员工</w:t>
      </w:r>
      <w:r>
        <w:rPr>
          <w:rFonts w:ascii="DengXian" w:hAnsi="DengXian" w:eastAsia="DengXian" w:cs="Arial"/>
          <w:kern w:val="2"/>
          <w:sz w:val="22"/>
          <w:szCs w:val="22"/>
        </w:rPr>
        <w:t>的自信和工作热情，提高直面困难和挑战困难的勇气。</w:t>
      </w:r>
    </w:p>
    <w:p>
      <w:pPr>
        <w:pStyle w:val="26"/>
        <w:numPr>
          <w:ilvl w:val="1"/>
          <w:numId w:val="1"/>
        </w:numPr>
        <w:snapToGrid w:val="0"/>
        <w:spacing w:line="48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>改变工作态度和思维方法，减少抱怨，把关注焦点从“环境的不利、条件的限制、他人的缺失等”转移到“自我反省、承担责任、立足现有资源和我能做什么”上来。</w:t>
      </w:r>
    </w:p>
    <w:p>
      <w:pPr>
        <w:pStyle w:val="26"/>
        <w:numPr>
          <w:ilvl w:val="1"/>
          <w:numId w:val="1"/>
        </w:numPr>
        <w:snapToGrid w:val="0"/>
        <w:spacing w:line="48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 xml:space="preserve">分清轻重缓急，优先完成主要任务，提高工作效率。 </w:t>
      </w:r>
    </w:p>
    <w:p>
      <w:pPr>
        <w:pStyle w:val="26"/>
        <w:numPr>
          <w:ilvl w:val="1"/>
          <w:numId w:val="1"/>
        </w:numPr>
        <w:snapToGrid w:val="0"/>
        <w:spacing w:line="48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>培养双赢思维，把上对下的监督转为下属的自我约束和管理。</w:t>
      </w:r>
    </w:p>
    <w:p>
      <w:pPr>
        <w:pStyle w:val="26"/>
        <w:numPr>
          <w:ilvl w:val="1"/>
          <w:numId w:val="1"/>
        </w:numPr>
        <w:snapToGrid w:val="0"/>
        <w:spacing w:line="48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>掌握倾听与反馈技巧，真正听懂别人的意思并有效反馈；对内减少无谓的人际冲突和工作失误，对外提升客户的满意度和忠诚度。</w:t>
      </w:r>
    </w:p>
    <w:p>
      <w:pPr>
        <w:pStyle w:val="7"/>
        <w:spacing w:before="0" w:beforeAutospacing="0" w:after="0" w:afterAutospacing="0" w:line="360" w:lineRule="exact"/>
        <w:rPr>
          <w:rFonts w:ascii="DengXian" w:hAnsi="DengXian" w:eastAsia="DengXian" w:cs="Arial"/>
          <w:kern w:val="2"/>
          <w:sz w:val="22"/>
          <w:szCs w:val="22"/>
        </w:rPr>
      </w:pPr>
      <w:r>
        <w:rPr>
          <w:rFonts w:ascii="DengXian" w:hAnsi="DengXian" w:eastAsia="DengXian" w:cs="Arial"/>
          <w:kern w:val="2"/>
          <w:sz w:val="22"/>
          <w:szCs w:val="22"/>
        </w:rPr>
        <w:t>珍惜差异，学习建设性地整合差异的艺术，实现集思广益，“1＋1 &gt; 2  ”</w:t>
      </w:r>
    </w:p>
    <w:p>
      <w:pPr>
        <w:pStyle w:val="7"/>
        <w:spacing w:before="0" w:beforeAutospacing="0" w:after="0" w:afterAutospacing="0" w:line="360" w:lineRule="exact"/>
        <w:rPr>
          <w:rFonts w:ascii="DengXian" w:hAnsi="DengXian" w:eastAsia="DengXian" w:cs="Arial"/>
          <w:kern w:val="2"/>
          <w:sz w:val="22"/>
          <w:szCs w:val="22"/>
        </w:rPr>
      </w:pPr>
    </w:p>
    <w:p>
      <w:pPr>
        <w:spacing w:line="480" w:lineRule="exact"/>
        <w:rPr>
          <w:rFonts w:cs="微软雅黑" w:asciiTheme="minorEastAsia" w:hAnsiTheme="min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授课方式</w:t>
      </w:r>
    </w:p>
    <w:p>
      <w:pPr>
        <w:numPr>
          <w:ilvl w:val="0"/>
          <w:numId w:val="2"/>
        </w:numPr>
        <w:spacing w:line="480" w:lineRule="exact"/>
        <w:rPr>
          <w:rFonts w:ascii="等线" w:hAnsi="等线" w:cs="微软雅黑"/>
          <w:sz w:val="22"/>
          <w:szCs w:val="22"/>
        </w:rPr>
      </w:pPr>
      <w:r>
        <w:rPr>
          <w:rFonts w:hint="eastAsia" w:ascii="等线" w:hAnsi="等线" w:cs="微软雅黑"/>
          <w:sz w:val="22"/>
          <w:szCs w:val="22"/>
        </w:rPr>
        <w:t>角色扮演+示范观摩+分析讨论+精辟讲解+现场训练+案例研析+回顾点评+综合整理；</w:t>
      </w:r>
    </w:p>
    <w:p>
      <w:pPr>
        <w:tabs>
          <w:tab w:val="left" w:pos="420"/>
        </w:tabs>
        <w:spacing w:line="440" w:lineRule="exact"/>
        <w:rPr>
          <w:rFonts w:asciiTheme="minorEastAsia" w:hAnsiTheme="min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spacing w:line="480" w:lineRule="exact"/>
        <w:ind w:firstLine="241" w:firstLineChars="100"/>
        <w:rPr>
          <w:rFonts w:hint="eastAsia" w:ascii="DengXian" w:hAnsi="DengXian" w:eastAsia="DengXian" w:cs="宋体"/>
          <w:b/>
          <w:bCs/>
          <w:color w:val="000000"/>
          <w:kern w:val="0"/>
          <w:sz w:val="24"/>
          <w:szCs w:val="22"/>
        </w:rPr>
      </w:pPr>
      <w:r>
        <w:rPr>
          <w:rFonts w:hint="eastAsia" w:ascii="DengXian" w:hAnsi="DengXian" w:eastAsia="DengXian" w:cs="宋体"/>
          <w:b/>
          <w:bCs/>
          <w:color w:val="000000"/>
          <w:kern w:val="0"/>
          <w:sz w:val="24"/>
          <w:szCs w:val="22"/>
        </w:rPr>
        <w:t>第一单元：导论：勇于改变自我，承担责任，迎接挑战</w:t>
      </w:r>
    </w:p>
    <w:p>
      <w:pPr>
        <w:spacing w:line="480" w:lineRule="exact"/>
        <w:ind w:left="360"/>
        <w:rPr>
          <w:rFonts w:ascii="DengXian" w:hAnsi="DengXian" w:eastAsia="DengXian" w:cs="Arial"/>
          <w:bCs/>
          <w:sz w:val="22"/>
          <w:szCs w:val="22"/>
        </w:rPr>
      </w:pPr>
      <w:r>
        <w:rPr>
          <w:rFonts w:hint="eastAsia" w:ascii="DengXian" w:hAnsi="DengXian" w:eastAsia="DengXian" w:cs="Arial"/>
          <w:bCs/>
          <w:sz w:val="22"/>
          <w:szCs w:val="22"/>
        </w:rPr>
        <w:t>1</w:t>
      </w:r>
      <w:r>
        <w:rPr>
          <w:rFonts w:ascii="DengXian" w:hAnsi="DengXian" w:eastAsia="DengXian" w:cs="Arial"/>
          <w:bCs/>
          <w:sz w:val="22"/>
          <w:szCs w:val="22"/>
        </w:rPr>
        <w:t>、</w:t>
      </w:r>
      <w:r>
        <w:rPr>
          <w:rFonts w:hint="eastAsia" w:ascii="DengXian" w:hAnsi="DengXian" w:eastAsia="DengXian" w:cs="Arial"/>
          <w:bCs/>
          <w:sz w:val="22"/>
          <w:szCs w:val="22"/>
        </w:rPr>
        <w:t>.</w:t>
      </w:r>
      <w:r>
        <w:rPr>
          <w:rFonts w:ascii="DengXian" w:hAnsi="DengXian" w:eastAsia="DengXian" w:cs="Arial"/>
          <w:bCs/>
          <w:sz w:val="22"/>
          <w:szCs w:val="22"/>
        </w:rPr>
        <w:t xml:space="preserve"> 变化的世界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color w:val="0000FF"/>
          <w:sz w:val="22"/>
          <w:szCs w:val="22"/>
        </w:rPr>
        <w:t>录像分析：</w:t>
      </w:r>
      <w:r>
        <w:rPr>
          <w:rFonts w:ascii="DengXian" w:hAnsi="DengXian" w:eastAsia="DengXian" w:cs="Arial"/>
          <w:sz w:val="22"/>
          <w:szCs w:val="22"/>
        </w:rPr>
        <w:t>变化的世界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color w:val="0000FF"/>
          <w:sz w:val="22"/>
          <w:szCs w:val="22"/>
        </w:rPr>
        <w:t>小组讨论：</w:t>
      </w:r>
      <w:r>
        <w:rPr>
          <w:rFonts w:ascii="DengXian" w:hAnsi="DengXian" w:eastAsia="DengXian" w:cs="Arial"/>
          <w:sz w:val="22"/>
          <w:szCs w:val="22"/>
        </w:rPr>
        <w:t>公司与员工面临的变化与挑战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如何应对变化</w:t>
      </w:r>
    </w:p>
    <w:p>
      <w:pPr>
        <w:spacing w:line="480" w:lineRule="exact"/>
        <w:ind w:left="360"/>
        <w:rPr>
          <w:rFonts w:ascii="DengXian" w:hAnsi="DengXian" w:eastAsia="DengXian" w:cs="Arial"/>
          <w:bCs/>
          <w:sz w:val="22"/>
          <w:szCs w:val="22"/>
        </w:rPr>
      </w:pPr>
      <w:r>
        <w:rPr>
          <w:rFonts w:hint="eastAsia" w:ascii="DengXian" w:hAnsi="DengXian" w:eastAsia="DengXian" w:cs="Arial"/>
          <w:bCs/>
          <w:sz w:val="22"/>
          <w:szCs w:val="22"/>
        </w:rPr>
        <w:t>2</w:t>
      </w:r>
      <w:r>
        <w:rPr>
          <w:rFonts w:ascii="DengXian" w:hAnsi="DengXian" w:eastAsia="DengXian" w:cs="Arial"/>
          <w:bCs/>
          <w:sz w:val="22"/>
          <w:szCs w:val="22"/>
        </w:rPr>
        <w:t>、 观念转移，由内而外的改变自己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观念是行为和态度的根本，我们的一言一行均脱离不了观念的影响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i/>
          <w:iCs/>
          <w:color w:val="FF0000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课程的每一个模块都会促进我们观念转移，从而改变自己的态度和行为</w:t>
      </w:r>
    </w:p>
    <w:p>
      <w:pPr>
        <w:spacing w:line="480" w:lineRule="exact"/>
        <w:ind w:firstLine="440" w:firstLineChars="200"/>
        <w:rPr>
          <w:rFonts w:ascii="DengXian" w:hAnsi="DengXian" w:eastAsia="DengXian" w:cs="Arial"/>
          <w:bCs/>
          <w:sz w:val="22"/>
          <w:szCs w:val="22"/>
        </w:rPr>
      </w:pPr>
      <w:r>
        <w:rPr>
          <w:rFonts w:hint="eastAsia" w:ascii="DengXian" w:hAnsi="DengXian" w:eastAsia="DengXian" w:cs="Arial"/>
          <w:bCs/>
          <w:sz w:val="22"/>
          <w:szCs w:val="22"/>
        </w:rPr>
        <w:t>3</w:t>
      </w:r>
      <w:r>
        <w:rPr>
          <w:rFonts w:ascii="DengXian" w:hAnsi="DengXian" w:eastAsia="DengXian" w:cs="Arial"/>
          <w:bCs/>
          <w:sz w:val="22"/>
          <w:szCs w:val="22"/>
        </w:rPr>
        <w:t>、如何学习本课程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成长的三个层次：依赖——独立——互赖</w:t>
      </w:r>
    </w:p>
    <w:p>
      <w:pPr>
        <w:pStyle w:val="27"/>
        <w:numPr>
          <w:ilvl w:val="1"/>
          <w:numId w:val="3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课程七大准则相辅相成，循序渐进</w:t>
      </w:r>
    </w:p>
    <w:p>
      <w:pPr>
        <w:pStyle w:val="27"/>
        <w:spacing w:line="480" w:lineRule="exact"/>
        <w:ind w:firstLine="660" w:firstLineChars="30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pacing w:line="480" w:lineRule="exact"/>
        <w:ind w:left="210" w:leftChars="100" w:firstLine="220" w:firstLineChars="1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这部分的目的在于使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认识到我们面临的剧烈市场变化和公司变革带来的压力都是正常的，要适应快速变化的环境（包括行业、市场、公司、客户等），就要勇于由内而外（Inside-out）地改变自己，革新观念，调整心态，承担责任，迎接挑战。</w:t>
      </w:r>
    </w:p>
    <w:p>
      <w:pPr>
        <w:pStyle w:val="27"/>
        <w:spacing w:line="480" w:lineRule="exact"/>
        <w:ind w:firstLine="440" w:firstLineChars="200"/>
        <w:rPr>
          <w:rFonts w:hint="eastAsia" w:ascii="DengXian" w:hAnsi="DengXian" w:eastAsia="DengXian" w:cs="Arial"/>
          <w:sz w:val="22"/>
          <w:szCs w:val="22"/>
        </w:rPr>
      </w:pPr>
    </w:p>
    <w:p>
      <w:pPr>
        <w:spacing w:line="480" w:lineRule="exact"/>
        <w:ind w:firstLine="241" w:firstLineChars="100"/>
        <w:rPr>
          <w:rFonts w:hint="eastAsia" w:ascii="DengXian" w:hAnsi="DengXian" w:eastAsia="DengXian" w:cs="宋体"/>
          <w:b/>
          <w:bCs/>
          <w:color w:val="000000"/>
          <w:kern w:val="0"/>
          <w:sz w:val="24"/>
          <w:szCs w:val="22"/>
        </w:rPr>
      </w:pPr>
      <w:r>
        <w:rPr>
          <w:rFonts w:ascii="DengXian" w:hAnsi="DengXian" w:eastAsia="DengXian" w:cs="宋体"/>
          <w:b/>
          <w:bCs/>
          <w:color w:val="000000"/>
          <w:kern w:val="0"/>
          <w:sz w:val="24"/>
          <w:szCs w:val="22"/>
        </w:rPr>
        <w:t xml:space="preserve">第二部分  个人篇  卓有成效的自我管理 </w:t>
      </w:r>
    </w:p>
    <w:p>
      <w:pPr>
        <w:spacing w:line="480" w:lineRule="exact"/>
        <w:ind w:firstLine="221" w:firstLineChars="100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1、修炼一：承担责任，主动积极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为自己负责：选择决定命运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刺激与反应的生物反应模式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 xml:space="preserve">人类最终的自由：选择的自由 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主动积极的含义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培养主动积极的特征</w:t>
      </w:r>
    </w:p>
    <w:p>
      <w:pPr>
        <w:pStyle w:val="27"/>
        <w:spacing w:line="480" w:lineRule="exact"/>
        <w:ind w:firstLine="1320" w:firstLineChars="600"/>
        <w:rPr>
          <w:rFonts w:hint="eastAsia"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依价值观反应</w:t>
      </w:r>
    </w:p>
    <w:p>
      <w:pPr>
        <w:pStyle w:val="27"/>
        <w:spacing w:line="480" w:lineRule="exact"/>
        <w:ind w:firstLine="1320" w:firstLineChars="6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为自己的</w:t>
      </w:r>
      <w:r>
        <w:rPr>
          <w:rFonts w:hint="eastAsia" w:ascii="DengXian" w:hAnsi="DengXian" w:eastAsia="DengXian" w:cs="Arial"/>
          <w:sz w:val="22"/>
          <w:szCs w:val="22"/>
        </w:rPr>
        <w:t>行为</w:t>
      </w:r>
      <w:r>
        <w:rPr>
          <w:rFonts w:ascii="DengXian" w:hAnsi="DengXian" w:eastAsia="DengXian" w:cs="Arial"/>
          <w:sz w:val="22"/>
          <w:szCs w:val="22"/>
        </w:rPr>
        <w:t>负责</w:t>
      </w:r>
    </w:p>
    <w:p>
      <w:pPr>
        <w:pStyle w:val="27"/>
        <w:spacing w:line="480" w:lineRule="exact"/>
        <w:ind w:firstLine="1320" w:firstLineChars="600"/>
        <w:rPr>
          <w:rFonts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集点放在影响范围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六级成熟度：从公司和客户的要求看自身的完善与提高</w:t>
      </w:r>
    </w:p>
    <w:p>
      <w:pPr>
        <w:pStyle w:val="27"/>
        <w:spacing w:line="480" w:lineRule="exact"/>
        <w:ind w:left="63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pacing w:line="480" w:lineRule="exact"/>
        <w:ind w:left="210" w:leftChars="100" w:firstLine="220" w:firstLineChars="1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这部分的目的在于帮助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培养成熟、负责和正面的工作态度，积极面对困难和挑战，停止抱怨环境的恶劣和他人（包括客户、竞争对手、上司和下属等）的种种缺失，立足现有资源，从能够控制和改变的事情做起，把工作和组织向有利的方向推动。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spacing w:line="480" w:lineRule="exact"/>
        <w:ind w:firstLine="221" w:firstLineChars="100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2、修炼二：明确目标，围绕目标展开工作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以终为始的黄金法则</w:t>
      </w:r>
    </w:p>
    <w:p>
      <w:pPr>
        <w:pStyle w:val="27"/>
        <w:numPr>
          <w:ilvl w:val="0"/>
          <w:numId w:val="5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color w:val="0000FF"/>
          <w:sz w:val="22"/>
          <w:szCs w:val="22"/>
        </w:rPr>
        <w:t>智力竞赛：</w:t>
      </w:r>
      <w:r>
        <w:rPr>
          <w:rFonts w:ascii="DengXian" w:hAnsi="DengXian" w:eastAsia="DengXian" w:cs="Arial"/>
          <w:sz w:val="22"/>
          <w:szCs w:val="22"/>
        </w:rPr>
        <w:t>抢29</w:t>
      </w:r>
    </w:p>
    <w:p>
      <w:pPr>
        <w:pStyle w:val="27"/>
        <w:numPr>
          <w:ilvl w:val="0"/>
          <w:numId w:val="5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凡事有目标： 事物创造的两阶段论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目标的价值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制订人生的目标</w:t>
      </w:r>
    </w:p>
    <w:p>
      <w:pPr>
        <w:pStyle w:val="27"/>
        <w:numPr>
          <w:ilvl w:val="0"/>
          <w:numId w:val="6"/>
        </w:numPr>
        <w:spacing w:line="480" w:lineRule="exact"/>
        <w:rPr>
          <w:rFonts w:hint="eastAsia"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确定自己的</w:t>
      </w:r>
      <w:r>
        <w:rPr>
          <w:rFonts w:hint="eastAsia" w:ascii="DengXian" w:hAnsi="DengXian" w:eastAsia="DengXian" w:cs="Arial"/>
          <w:sz w:val="22"/>
          <w:szCs w:val="22"/>
        </w:rPr>
        <w:t>人生梦想</w:t>
      </w:r>
    </w:p>
    <w:p>
      <w:pPr>
        <w:pStyle w:val="27"/>
        <w:numPr>
          <w:ilvl w:val="0"/>
          <w:numId w:val="6"/>
        </w:numPr>
        <w:spacing w:line="480" w:lineRule="exact"/>
        <w:rPr>
          <w:rFonts w:hint="eastAsia"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终极价值观与工具价值观</w:t>
      </w:r>
    </w:p>
    <w:p>
      <w:pPr>
        <w:pStyle w:val="27"/>
        <w:numPr>
          <w:ilvl w:val="0"/>
          <w:numId w:val="6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追逐梦想，不要舍本逐末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制订工作的目标</w:t>
      </w:r>
    </w:p>
    <w:p>
      <w:pPr>
        <w:pStyle w:val="27"/>
        <w:numPr>
          <w:ilvl w:val="0"/>
          <w:numId w:val="7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工作的标准是什么？</w:t>
      </w:r>
    </w:p>
    <w:p>
      <w:pPr>
        <w:pStyle w:val="27"/>
        <w:numPr>
          <w:ilvl w:val="0"/>
          <w:numId w:val="7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工作目标来自组织或上司、客户以及流程的下一道工序</w:t>
      </w:r>
    </w:p>
    <w:p>
      <w:pPr>
        <w:pStyle w:val="27"/>
        <w:snapToGrid w:val="0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napToGrid w:val="0"/>
        <w:spacing w:line="480" w:lineRule="exact"/>
        <w:ind w:left="420" w:leftChars="200" w:firstLine="220" w:firstLineChars="100"/>
        <w:rPr>
          <w:rFonts w:hint="eastAsia"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这部分的目的在于帮助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树立明确的目标导向，并且能够围绕目标做计划、明确工作标准，合理监控，责任到人，切实做到为组织负责，为结果负责，为客户负责，为下一道工序负责。</w:t>
      </w:r>
    </w:p>
    <w:p>
      <w:pPr>
        <w:spacing w:line="480" w:lineRule="exact"/>
        <w:ind w:firstLine="221" w:firstLineChars="100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3、修炼三：抓住重点，分清轻重缓急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职场</w:t>
      </w:r>
      <w:r>
        <w:rPr>
          <w:rFonts w:ascii="DengXian" w:hAnsi="DengXian" w:eastAsia="DengXian" w:cs="Arial"/>
          <w:sz w:val="22"/>
          <w:szCs w:val="22"/>
        </w:rPr>
        <w:t>人的“忙、盲、茫”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急事第一与要事第一</w:t>
      </w:r>
    </w:p>
    <w:p>
      <w:pPr>
        <w:pStyle w:val="27"/>
        <w:numPr>
          <w:ilvl w:val="0"/>
          <w:numId w:val="8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效率与效果</w:t>
      </w:r>
    </w:p>
    <w:p>
      <w:pPr>
        <w:pStyle w:val="27"/>
        <w:numPr>
          <w:ilvl w:val="0"/>
          <w:numId w:val="8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什么是高效能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二八原则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重要的少数往往决定结果的多数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按照工作的轻重缓急，确定处理的先后次序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如何让有限的时间与精力产生更大的价值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要事优先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提前计划、主动安排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要事持续</w:t>
      </w:r>
    </w:p>
    <w:p>
      <w:pPr>
        <w:pStyle w:val="27"/>
        <w:numPr>
          <w:ilvl w:val="0"/>
          <w:numId w:val="9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标本兼治，转危为机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pacing w:line="480" w:lineRule="exact"/>
        <w:ind w:left="210" w:leftChars="100" w:firstLine="220" w:firstLineChars="1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这部分的目的在于帮助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从纷繁复杂的工作中理出思路，抓住重点，优先完成核心任务和关键绩效指标，并且通过授权，把自己的精力集中到更具产出、长期投资和必须由自己完成的事情上。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spacing w:line="480" w:lineRule="exact"/>
        <w:ind w:firstLine="241" w:firstLineChars="100"/>
        <w:rPr>
          <w:rFonts w:hint="eastAsia" w:ascii="DengXian" w:hAnsi="DengXian" w:eastAsia="DengXian" w:cs="宋体"/>
          <w:b/>
          <w:bCs/>
          <w:color w:val="000000"/>
          <w:kern w:val="0"/>
          <w:sz w:val="24"/>
          <w:szCs w:val="22"/>
        </w:rPr>
      </w:pPr>
      <w:r>
        <w:rPr>
          <w:rFonts w:ascii="DengXian" w:hAnsi="DengXian" w:eastAsia="DengXian" w:cs="宋体"/>
          <w:b/>
          <w:bCs/>
          <w:color w:val="000000"/>
          <w:kern w:val="0"/>
          <w:sz w:val="24"/>
          <w:szCs w:val="22"/>
        </w:rPr>
        <w:t xml:space="preserve">第三部分  人际篇  建立深层、持久、稳固的合作关系 </w:t>
      </w:r>
    </w:p>
    <w:p>
      <w:pPr>
        <w:spacing w:line="480" w:lineRule="exact"/>
        <w:ind w:firstLine="221" w:firstLineChars="100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1、修炼四：双赢思维、你我都可以是赢家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人际有关系中最重要的是信任而非技巧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人际思维决定人际关系</w:t>
      </w:r>
    </w:p>
    <w:p>
      <w:pPr>
        <w:pStyle w:val="27"/>
        <w:numPr>
          <w:ilvl w:val="0"/>
          <w:numId w:val="10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六种人际哲学和做人思维</w:t>
      </w:r>
    </w:p>
    <w:p>
      <w:pPr>
        <w:pStyle w:val="27"/>
        <w:numPr>
          <w:ilvl w:val="0"/>
          <w:numId w:val="10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不同人际哲学对人际关系的影响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如何做到双赢思维</w:t>
      </w:r>
    </w:p>
    <w:p>
      <w:pPr>
        <w:pStyle w:val="27"/>
        <w:numPr>
          <w:ilvl w:val="0"/>
          <w:numId w:val="10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案例分析：两家公司的合作案例</w:t>
      </w:r>
    </w:p>
    <w:p>
      <w:pPr>
        <w:pStyle w:val="27"/>
        <w:numPr>
          <w:ilvl w:val="0"/>
          <w:numId w:val="10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他人的要求不等于他人的真正需求</w:t>
      </w:r>
    </w:p>
    <w:p>
      <w:pPr>
        <w:pStyle w:val="27"/>
        <w:numPr>
          <w:ilvl w:val="0"/>
          <w:numId w:val="10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双赢思维的是与不是</w:t>
      </w:r>
    </w:p>
    <w:p>
      <w:pPr>
        <w:pStyle w:val="27"/>
        <w:numPr>
          <w:ilvl w:val="0"/>
          <w:numId w:val="10"/>
        </w:numPr>
        <w:spacing w:line="480" w:lineRule="exact"/>
        <w:rPr>
          <w:rFonts w:hint="eastAsia"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如何培养双赢的品格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这部分的目的在于通过练习使</w:t>
      </w:r>
      <w:r>
        <w:rPr>
          <w:rFonts w:hint="eastAsia" w:ascii="DengXian" w:hAnsi="DengXian" w:eastAsia="DengXian" w:cs="Arial"/>
          <w:sz w:val="22"/>
          <w:szCs w:val="22"/>
        </w:rPr>
        <w:t>员工</w:t>
      </w:r>
      <w:r>
        <w:rPr>
          <w:rFonts w:ascii="DengXian" w:hAnsi="DengXian" w:eastAsia="DengXian" w:cs="Arial"/>
          <w:sz w:val="22"/>
          <w:szCs w:val="22"/>
        </w:rPr>
        <w:t>认识到人际哲学如何深远地影响到人际关系（尤其是客户关系）的效能以及容易走入的误区。在双赢思维的基础上，通过</w:t>
      </w:r>
      <w:r>
        <w:rPr>
          <w:rFonts w:hint="eastAsia" w:ascii="DengXian" w:hAnsi="DengXian" w:eastAsia="DengXian" w:cs="Arial"/>
          <w:sz w:val="22"/>
          <w:szCs w:val="22"/>
        </w:rPr>
        <w:t>大家都可以是赢家的态度</w:t>
      </w:r>
      <w:r>
        <w:rPr>
          <w:rFonts w:ascii="DengXian" w:hAnsi="DengXian" w:eastAsia="DengXian" w:cs="Arial"/>
          <w:sz w:val="22"/>
          <w:szCs w:val="22"/>
        </w:rPr>
        <w:t>改变与客户、下属的关系，对内把由上对下的监督变为下属的自我监督，培养既能完成绩效任务、又对组织有长期承诺的员工；对外培养忠诚的长期客户和战略联盟。</w:t>
      </w:r>
    </w:p>
    <w:p>
      <w:pPr>
        <w:pStyle w:val="3"/>
        <w:spacing w:line="480" w:lineRule="exact"/>
        <w:ind w:left="630"/>
        <w:rPr>
          <w:rFonts w:ascii="DengXian" w:hAnsi="DengXian" w:eastAsia="DengXian" w:cs="Arial"/>
          <w:kern w:val="0"/>
          <w:sz w:val="22"/>
          <w:szCs w:val="22"/>
        </w:rPr>
      </w:pPr>
    </w:p>
    <w:p>
      <w:pPr>
        <w:spacing w:line="480" w:lineRule="exact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2、修炼五：设身处地的沟通技巧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沟通重要性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圣经创世纪：沟通在人际互动中的地位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color w:val="0000FF"/>
          <w:sz w:val="22"/>
          <w:szCs w:val="22"/>
        </w:rPr>
        <w:t>小组讨论：</w:t>
      </w:r>
      <w:r>
        <w:rPr>
          <w:rFonts w:ascii="DengXian" w:hAnsi="DengXian" w:eastAsia="DengXian" w:cs="Arial"/>
          <w:sz w:val="22"/>
          <w:szCs w:val="22"/>
        </w:rPr>
        <w:t>沟通的障碍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沟通的原则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角色扮演：小林与经理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先理解别人，再表达自己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同理心倾听技巧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测试：我的倾听能力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倾听的层次</w:t>
      </w:r>
    </w:p>
    <w:p>
      <w:pPr>
        <w:pStyle w:val="27"/>
        <w:numPr>
          <w:ilvl w:val="0"/>
          <w:numId w:val="11"/>
        </w:numPr>
        <w:spacing w:line="480" w:lineRule="exact"/>
        <w:rPr>
          <w:rFonts w:hint="eastAsia"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倾听的原则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hint="eastAsia" w:ascii="DengXian" w:hAnsi="DengXian" w:eastAsia="DengXian" w:cs="Arial"/>
          <w:sz w:val="22"/>
          <w:szCs w:val="22"/>
        </w:rPr>
        <w:t>倾听的步骤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pacing w:line="480" w:lineRule="exact"/>
        <w:ind w:left="210" w:leftChars="100" w:firstLine="220" w:firstLineChars="1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这部分的目的在于通过学习设身处地的沟通技巧，与周围的人达致更深的了解和沟通，并且增强信任，减少因误解带来的人际冲突和资源浪费；学会站对方的立场看问题和有效的回馈技巧，强化非职务影响力。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spacing w:line="480" w:lineRule="exact"/>
        <w:ind w:firstLine="221" w:firstLineChars="100"/>
        <w:rPr>
          <w:rFonts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>3、修炼六：统合综效，1+1&gt;2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统合综效的概念与案例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团队管理中的1+1&gt;2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小组练习：擦亮眼睛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团队中1+1&gt;2的技巧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整合的要旨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录像案例：观点的碰撞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如何做到交流而非冲突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如何找到更高明的第三观点</w:t>
      </w:r>
    </w:p>
    <w:p>
      <w:pPr>
        <w:pStyle w:val="27"/>
        <w:numPr>
          <w:ilvl w:val="1"/>
          <w:numId w:val="4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珍惜人与人之间的差异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差异创造团队智慧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差异使人思想进步</w:t>
      </w:r>
    </w:p>
    <w:p>
      <w:pPr>
        <w:pStyle w:val="27"/>
        <w:spacing w:line="480" w:lineRule="exact"/>
        <w:ind w:left="1470"/>
        <w:rPr>
          <w:rFonts w:ascii="DengXian" w:hAnsi="DengXian" w:eastAsia="DengXian" w:cs="Arial"/>
          <w:sz w:val="22"/>
          <w:szCs w:val="22"/>
        </w:rPr>
      </w:pP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这部分的目的在于通过经典案例的研讨，学会弹钢琴，包容、珍惜团队中的不同角色，创造性地整合不同意见，实现团队成员的“1＋1&gt; 2”，建设士气高昂的战斗团队。</w:t>
      </w:r>
    </w:p>
    <w:p>
      <w:pPr>
        <w:pStyle w:val="27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</w:p>
    <w:p>
      <w:pPr>
        <w:spacing w:line="480" w:lineRule="exact"/>
        <w:rPr>
          <w:rFonts w:hint="eastAsia" w:ascii="DengXian" w:hAnsi="DengXian" w:eastAsia="DengXian" w:cs="Arial"/>
          <w:b/>
          <w:bCs/>
          <w:sz w:val="22"/>
          <w:szCs w:val="22"/>
        </w:rPr>
      </w:pPr>
      <w:r>
        <w:rPr>
          <w:rFonts w:ascii="DengXian" w:hAnsi="DengXian" w:eastAsia="DengXian" w:cs="Arial"/>
          <w:b/>
          <w:bCs/>
          <w:sz w:val="22"/>
          <w:szCs w:val="22"/>
        </w:rPr>
        <w:t xml:space="preserve">第四部分  持续篇  螺旋上升，均衡发展 </w:t>
      </w:r>
    </w:p>
    <w:p>
      <w:pPr>
        <w:numPr>
          <w:ilvl w:val="0"/>
          <w:numId w:val="12"/>
        </w:numPr>
        <w:spacing w:line="480" w:lineRule="exact"/>
        <w:rPr>
          <w:rFonts w:ascii="DengXian" w:hAnsi="DengXian" w:eastAsia="DengXian" w:cs="Arial"/>
          <w:bCs/>
          <w:sz w:val="22"/>
          <w:szCs w:val="22"/>
        </w:rPr>
      </w:pPr>
      <w:r>
        <w:rPr>
          <w:rFonts w:ascii="DengXian" w:hAnsi="DengXian" w:eastAsia="DengXian" w:cs="Arial"/>
          <w:bCs/>
          <w:sz w:val="22"/>
          <w:szCs w:val="22"/>
        </w:rPr>
        <w:t>产出和产能平衡的原则（P/PC平衡）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测试：你的生活品质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如何追求均衡圆满的人生</w:t>
      </w:r>
    </w:p>
    <w:p>
      <w:pPr>
        <w:numPr>
          <w:ilvl w:val="0"/>
          <w:numId w:val="12"/>
        </w:numPr>
        <w:spacing w:line="480" w:lineRule="exact"/>
        <w:rPr>
          <w:rFonts w:ascii="DengXian" w:hAnsi="DengXian" w:eastAsia="DengXian" w:cs="Arial"/>
          <w:bCs/>
          <w:sz w:val="22"/>
          <w:szCs w:val="22"/>
        </w:rPr>
      </w:pPr>
      <w:r>
        <w:rPr>
          <w:rFonts w:ascii="DengXian" w:hAnsi="DengXian" w:eastAsia="DengXian" w:cs="Arial"/>
          <w:bCs/>
          <w:sz w:val="22"/>
          <w:szCs w:val="22"/>
        </w:rPr>
        <w:t>不断更新，避免职业倦怠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磨刀不误砍柴功</w:t>
      </w:r>
    </w:p>
    <w:p>
      <w:pPr>
        <w:pStyle w:val="27"/>
        <w:numPr>
          <w:ilvl w:val="0"/>
          <w:numId w:val="11"/>
        </w:numPr>
        <w:spacing w:line="480" w:lineRule="exact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>更新的4个面向</w:t>
      </w:r>
    </w:p>
    <w:p>
      <w:pPr>
        <w:numPr>
          <w:ilvl w:val="0"/>
          <w:numId w:val="12"/>
        </w:numPr>
        <w:spacing w:line="480" w:lineRule="exact"/>
        <w:rPr>
          <w:rFonts w:ascii="DengXian" w:hAnsi="DengXian" w:eastAsia="DengXian" w:cs="Arial"/>
          <w:bCs/>
          <w:sz w:val="22"/>
          <w:szCs w:val="22"/>
        </w:rPr>
      </w:pPr>
      <w:r>
        <w:rPr>
          <w:rFonts w:ascii="DengXian" w:hAnsi="DengXian" w:eastAsia="DengXian" w:cs="Arial"/>
          <w:bCs/>
          <w:sz w:val="22"/>
          <w:szCs w:val="22"/>
        </w:rPr>
        <w:t>习惯的养成：见地、修证和行愿</w:t>
      </w:r>
    </w:p>
    <w:p>
      <w:pPr>
        <w:numPr>
          <w:ilvl w:val="0"/>
          <w:numId w:val="12"/>
        </w:numPr>
        <w:spacing w:line="480" w:lineRule="exact"/>
        <w:rPr>
          <w:rFonts w:ascii="DengXian" w:hAnsi="DengXian" w:eastAsia="DengXian" w:cs="Arial"/>
          <w:bCs/>
          <w:sz w:val="22"/>
          <w:szCs w:val="22"/>
        </w:rPr>
      </w:pPr>
      <w:r>
        <w:rPr>
          <w:rFonts w:ascii="DengXian" w:hAnsi="DengXian" w:eastAsia="DengXian" w:cs="Arial"/>
          <w:bCs/>
          <w:sz w:val="22"/>
          <w:szCs w:val="22"/>
        </w:rPr>
        <w:t>课程总结与心得交流</w:t>
      </w:r>
    </w:p>
    <w:p>
      <w:pPr>
        <w:numPr>
          <w:ilvl w:val="0"/>
          <w:numId w:val="12"/>
        </w:numPr>
        <w:spacing w:line="480" w:lineRule="exact"/>
        <w:rPr>
          <w:rFonts w:hint="eastAsia" w:ascii="DengXian" w:hAnsi="DengXian" w:eastAsia="DengXian" w:cs="Arial"/>
          <w:bCs/>
          <w:sz w:val="22"/>
          <w:szCs w:val="22"/>
        </w:rPr>
      </w:pPr>
      <w:r>
        <w:rPr>
          <w:rFonts w:ascii="DengXian" w:hAnsi="DengXian" w:eastAsia="DengXian" w:cs="Arial"/>
          <w:bCs/>
          <w:sz w:val="22"/>
          <w:szCs w:val="22"/>
        </w:rPr>
        <w:t>拟定行动计划</w:t>
      </w:r>
    </w:p>
    <w:p>
      <w:pPr>
        <w:pStyle w:val="26"/>
        <w:snapToGrid w:val="0"/>
        <w:spacing w:line="480" w:lineRule="exact"/>
        <w:ind w:firstLine="440" w:firstLineChars="200"/>
        <w:rPr>
          <w:rFonts w:ascii="DengXian" w:hAnsi="DengXian" w:eastAsia="DengXian" w:cs="Arial"/>
          <w:sz w:val="22"/>
          <w:szCs w:val="22"/>
        </w:rPr>
      </w:pPr>
      <w:r>
        <w:rPr>
          <w:rFonts w:ascii="DengXian" w:hAnsi="DengXian" w:eastAsia="DengXian" w:cs="Arial"/>
          <w:sz w:val="22"/>
          <w:szCs w:val="22"/>
        </w:rPr>
        <w:t xml:space="preserve">这部分的目的在于通过不断的更新积蓄持续发展的力量，确保个人与组织连续性的提高； </w:t>
      </w:r>
    </w:p>
    <w:p>
      <w:pPr>
        <w:pStyle w:val="26"/>
        <w:snapToGrid w:val="0"/>
        <w:spacing w:line="480" w:lineRule="exact"/>
        <w:rPr>
          <w:rFonts w:ascii="DengXian" w:hAnsi="DengXian" w:eastAsia="DengXian" w:cs="Arial"/>
          <w:sz w:val="22"/>
          <w:szCs w:val="22"/>
        </w:rPr>
      </w:pPr>
    </w:p>
    <w:p>
      <w:pPr>
        <w:spacing w:line="480" w:lineRule="exact"/>
        <w:rPr>
          <w:rFonts w:ascii="DengXian" w:hAnsi="DengXian" w:eastAsia="DengXian" w:cs="Arial"/>
          <w:sz w:val="22"/>
          <w:szCs w:val="22"/>
        </w:rPr>
      </w:pPr>
    </w:p>
    <w:p>
      <w:pPr>
        <w:widowControl/>
        <w:spacing w:line="360" w:lineRule="exact"/>
        <w:jc w:val="left"/>
        <w:rPr>
          <w:rFonts w:ascii="黑体" w:hAnsi="黑体" w:eastAsia="黑体"/>
          <w:b/>
          <w:color w:val="FF0000"/>
          <w:sz w:val="30"/>
          <w:szCs w:val="30"/>
        </w:rPr>
      </w:pPr>
    </w:p>
    <w:p>
      <w:pPr>
        <w:widowControl/>
        <w:spacing w:line="360" w:lineRule="exact"/>
        <w:jc w:val="left"/>
        <w:rPr>
          <w:rFonts w:ascii="黑体" w:hAnsi="黑体" w:eastAsia="黑体"/>
          <w:b/>
          <w:color w:val="FF0000"/>
          <w:sz w:val="30"/>
          <w:szCs w:val="30"/>
        </w:rPr>
      </w:pPr>
    </w:p>
    <w:p>
      <w:pPr>
        <w:widowControl/>
        <w:spacing w:line="360" w:lineRule="exact"/>
        <w:jc w:val="left"/>
        <w:rPr>
          <w:rFonts w:ascii="黑体" w:hAnsi="黑体" w:eastAsia="黑体"/>
          <w:b/>
          <w:color w:val="FF0000"/>
          <w:sz w:val="30"/>
          <w:szCs w:val="30"/>
        </w:rPr>
      </w:pPr>
    </w:p>
    <w:p>
      <w:pPr>
        <w:widowControl/>
        <w:spacing w:line="360" w:lineRule="exact"/>
        <w:jc w:val="left"/>
        <w:rPr>
          <w:rFonts w:ascii="黑体" w:hAnsi="黑体" w:eastAsia="黑体"/>
          <w:b/>
          <w:color w:val="FF0000"/>
          <w:sz w:val="30"/>
          <w:szCs w:val="30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讲师介绍</w:t>
      </w: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等线" w:asciiTheme="majorEastAsia" w:hAnsiTheme="majorEastAsia" w:eastAsiaTheme="majorEastAsia"/>
          <w:b/>
          <w:bCs/>
          <w:sz w:val="32"/>
          <w:szCs w:val="32"/>
        </w:rPr>
        <w:t>付老师：</w:t>
      </w: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资历介绍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中南财经人力资源专业，大学老师，咨询顾问，项目经历，培训经理，企业大学校长，职业讲师，演讲教练等多重角色。</w:t>
      </w:r>
      <w:r>
        <w:rPr>
          <w:rFonts w:cs="等线" w:asciiTheme="majorEastAsia" w:hAnsiTheme="majorEastAsia" w:eastAsiaTheme="majorEastAsia"/>
          <w:sz w:val="24"/>
        </w:rPr>
        <w:t xml:space="preserve"> 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多年管理经验和咨询顾问经历：国内/海外上市企业担任培训管理岗，内训师团队负责人，企业大学校长等职，乙方咨询公司项目顾问及项目经理，带领顾问团队成功策划并实施了10多个成功项目经验。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10多年授课经验，多维知识结构，擅长把东西文化，哲学，管理学，心理学运用到课中。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绩效改进         </w:t>
      </w:r>
      <w:r>
        <w:rPr>
          <w:rFonts w:cs="等线" w:asciiTheme="majorEastAsia" w:hAnsiTheme="majorEastAsia" w:eastAsiaTheme="majorEastAsia"/>
          <w:sz w:val="24"/>
        </w:rPr>
        <w:t xml:space="preserve">    </w:t>
      </w:r>
      <w:r>
        <w:rPr>
          <w:rFonts w:hint="eastAsia" w:cs="等线" w:asciiTheme="majorEastAsia" w:hAnsiTheme="majorEastAsia" w:eastAsiaTheme="majorEastAsia"/>
          <w:sz w:val="24"/>
        </w:rPr>
        <w:t>认证顾问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魔力演讲的六个引擎  </w:t>
      </w:r>
      <w:r>
        <w:rPr>
          <w:rFonts w:cs="等线" w:asciiTheme="majorEastAsia" w:hAnsiTheme="majorEastAsia" w:eastAsiaTheme="majorEastAsia"/>
          <w:sz w:val="24"/>
        </w:rPr>
        <w:t xml:space="preserve"> </w:t>
      </w:r>
      <w:r>
        <w:rPr>
          <w:rFonts w:hint="eastAsia" w:cs="等线" w:asciiTheme="majorEastAsia" w:hAnsiTheme="majorEastAsia" w:eastAsiaTheme="majorEastAsia"/>
          <w:sz w:val="24"/>
        </w:rPr>
        <w:t>认证讲师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个人宣言：人生不止， 奋斗不止。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个人座右铭：没有任何一个想法停留在大脑，不需要付出行动。</w:t>
      </w:r>
    </w:p>
    <w:p>
      <w:pPr>
        <w:spacing w:line="480" w:lineRule="exact"/>
        <w:ind w:left="420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授课风格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重视和学员之间的互动交流来激发学员以达到最佳的课程效果。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擅长将复杂的理论和繁复的管理技能抽丝剥茧、深化提炼。故事和案例教学为主，辅以轻松活泼的方式，传授课程核心价值。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擅长基于客户真实场景做课程定制化，紧紧的将教学内容与企业实际相结合，语言幽默鲜活，寓教于乐。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荣誉及认证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深大《魔立方演讲秀》冠军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2</w:t>
      </w:r>
      <w:r>
        <w:rPr>
          <w:rFonts w:cs="等线" w:asciiTheme="majorEastAsia" w:hAnsiTheme="majorEastAsia" w:eastAsiaTheme="majorEastAsia"/>
          <w:sz w:val="24"/>
        </w:rPr>
        <w:t>017</w:t>
      </w:r>
      <w:r>
        <w:rPr>
          <w:rFonts w:hint="eastAsia" w:cs="等线" w:asciiTheme="majorEastAsia" w:hAnsiTheme="majorEastAsia" w:eastAsiaTheme="majorEastAsia"/>
          <w:sz w:val="24"/>
        </w:rPr>
        <w:t xml:space="preserve">“ 好讲师大赛” 深圳赛区评委 </w:t>
      </w:r>
      <w:r>
        <w:rPr>
          <w:rFonts w:cs="等线" w:asciiTheme="majorEastAsia" w:hAnsiTheme="majorEastAsia" w:eastAsiaTheme="majorEastAsia"/>
          <w:sz w:val="24"/>
        </w:rPr>
        <w:t xml:space="preserve"> </w:t>
      </w:r>
      <w:r>
        <w:rPr>
          <w:rFonts w:hint="eastAsia" w:cs="等线" w:asciiTheme="majorEastAsia" w:hAnsiTheme="majorEastAsia" w:eastAsiaTheme="majorEastAsia"/>
          <w:sz w:val="24"/>
        </w:rPr>
        <w:t>辅导学员拿到全国演讲冠军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cs="等线" w:asciiTheme="majorEastAsia" w:hAnsiTheme="majorEastAsia" w:eastAsiaTheme="majorEastAsia"/>
          <w:sz w:val="24"/>
        </w:rPr>
        <w:t>广东省体验式教育研究院专家委员会委员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深圳中小企业咨询委员会 专家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中南财经政法大学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人力资源管理专业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贵州大学继教院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讲师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美联物业      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培训经理，资深培训师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澳信集团      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培训讲师</w:t>
      </w:r>
    </w:p>
    <w:p>
      <w:pPr>
        <w:numPr>
          <w:ilvl w:val="0"/>
          <w:numId w:val="13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渠道快建研究院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咨询顾问、项目经理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主讲课程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管理类——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《管理者的6把金钥匙》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《四季春生—新生代辅导与激励》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职业素养类——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《跨部门沟通与协作》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《直指人心的沟通六步法》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《内训师授课技巧》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《职业竞争力提升》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《商务演讲—打动客户与领导的工作汇报》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《魔力演讲的6个引擎》</w:t>
      </w: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2"/>
        <w:spacing w:before="0" w:beforeAutospacing="0" w:after="0" w:afterAutospacing="0" w:line="240" w:lineRule="atLeast"/>
        <w:ind w:left="2089" w:hanging="2090" w:hangingChars="746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Arial"/>
          <w:kern w:val="0"/>
          <w:sz w:val="28"/>
          <w:szCs w:val="28"/>
        </w:rPr>
        <w:t>《高效能人士的七项修练》</w:t>
      </w:r>
      <w:r>
        <w:rPr>
          <w:rFonts w:hint="eastAsia" w:ascii="微软雅黑" w:hAnsi="微软雅黑" w:eastAsia="微软雅黑"/>
          <w:sz w:val="28"/>
          <w:szCs w:val="28"/>
        </w:rPr>
        <w:t>报名回执</w:t>
      </w:r>
    </w:p>
    <w:p>
      <w:pPr>
        <w:spacing w:line="240" w:lineRule="atLeast"/>
        <w:ind w:left="-3" w:leftChars="-8" w:hanging="14" w:hangingChars="7"/>
        <w:jc w:val="center"/>
        <w:rPr>
          <w:rFonts w:ascii="黑体" w:hAnsi="宋体" w:eastAsia="黑体"/>
          <w:szCs w:val="21"/>
        </w:rPr>
      </w:pPr>
      <w:r>
        <w:rPr>
          <w:rFonts w:hint="eastAsia"/>
          <w:szCs w:val="21"/>
        </w:rPr>
        <w:t>填好下表后传真至</w:t>
      </w:r>
      <w:r>
        <w:rPr>
          <w:rFonts w:ascii="宋体" w:hAnsi="宋体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>
        <w:rPr>
          <w:rFonts w:ascii="宋体" w:hAnsi="宋体"/>
          <w:w w:val="110"/>
          <w:szCs w:val="21"/>
        </w:rPr>
        <w:t>51012039</w:t>
      </w:r>
      <w:r>
        <w:rPr>
          <w:rFonts w:hint="eastAsia"/>
          <w:szCs w:val="21"/>
        </w:rPr>
        <w:t>（此表复印有效）</w:t>
      </w:r>
    </w:p>
    <w:tbl>
      <w:tblPr>
        <w:tblStyle w:val="8"/>
        <w:tblW w:w="10728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228"/>
        <w:gridCol w:w="1480"/>
        <w:gridCol w:w="1930"/>
        <w:gridCol w:w="730"/>
        <w:gridCol w:w="505"/>
        <w:gridCol w:w="308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770" w:type="dxa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958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77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发票抬头</w:t>
            </w:r>
          </w:p>
        </w:tc>
        <w:tc>
          <w:tcPr>
            <w:tcW w:w="5368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77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公司地址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77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8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77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传真</w:t>
            </w: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szCs w:val="21"/>
              </w:rPr>
              <w:t>E-mail</w:t>
            </w:r>
          </w:p>
        </w:tc>
        <w:tc>
          <w:tcPr>
            <w:tcW w:w="308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770" w:type="dxa"/>
            <w:vMerge w:val="restart"/>
            <w:vAlign w:val="center"/>
          </w:tcPr>
          <w:p>
            <w:pPr>
              <w:spacing w:line="240" w:lineRule="exact"/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28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姓名</w:t>
            </w:r>
          </w:p>
        </w:tc>
        <w:tc>
          <w:tcPr>
            <w:tcW w:w="148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手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szCs w:val="21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25"/>
              <w:spacing w:before="100" w:beforeAutospacing="1" w:after="100" w:afterAutospacing="1" w:line="280" w:lineRule="exact"/>
              <w:ind w:firstLine="422"/>
              <w:rPr>
                <w:rStyle w:val="11"/>
                <w:b w:val="0"/>
                <w:bCs w:val="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1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0728" w:type="dxa"/>
            <w:gridSpan w:val="7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参会人数：</w:t>
            </w:r>
            <w:r>
              <w:rPr>
                <w:rStyle w:val="11"/>
                <w:szCs w:val="21"/>
              </w:rPr>
              <w:t>_________</w:t>
            </w:r>
            <w:r>
              <w:rPr>
                <w:rStyle w:val="11"/>
                <w:rFonts w:hint="eastAsia"/>
                <w:szCs w:val="21"/>
              </w:rPr>
              <w:t>人，费用合计：</w:t>
            </w:r>
            <w:r>
              <w:rPr>
                <w:rStyle w:val="11"/>
                <w:szCs w:val="21"/>
              </w:rPr>
              <w:t>_________</w:t>
            </w:r>
            <w:r>
              <w:rPr>
                <w:rStyle w:val="11"/>
                <w:rFonts w:hint="eastAsia"/>
                <w:szCs w:val="21"/>
              </w:rPr>
              <w:t>元；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付款方式：□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转帐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□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现金</w:t>
            </w:r>
          </w:p>
          <w:p>
            <w:pPr>
              <w:spacing w:before="100" w:beforeAutospacing="1" w:after="100" w:afterAutospacing="1" w:line="280" w:lineRule="exact"/>
              <w:ind w:firstLine="420"/>
              <w:rPr>
                <w:rStyle w:val="11"/>
                <w:b w:val="0"/>
                <w:bCs w:val="0"/>
                <w:szCs w:val="21"/>
              </w:rPr>
            </w:pPr>
            <w:r>
              <w:rPr>
                <w:rStyle w:val="11"/>
                <w:rFonts w:hint="eastAsia"/>
                <w:szCs w:val="21"/>
              </w:rPr>
              <w:t>发票类别：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□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增值税普通发票</w:t>
            </w:r>
            <w:r>
              <w:rPr>
                <w:rStyle w:val="11"/>
                <w:szCs w:val="21"/>
              </w:rPr>
              <w:t xml:space="preserve">  </w:t>
            </w:r>
            <w:r>
              <w:rPr>
                <w:rStyle w:val="11"/>
                <w:rFonts w:hint="eastAsia"/>
                <w:szCs w:val="21"/>
              </w:rPr>
              <w:t>□</w:t>
            </w:r>
            <w:r>
              <w:rPr>
                <w:rStyle w:val="11"/>
                <w:szCs w:val="21"/>
              </w:rPr>
              <w:t xml:space="preserve"> </w:t>
            </w:r>
            <w:r>
              <w:rPr>
                <w:rStyle w:val="11"/>
                <w:rFonts w:hint="eastAsia"/>
                <w:szCs w:val="21"/>
              </w:rPr>
              <w:t>增值税专用发票（需提供一般纳税人开票资料）</w:t>
            </w:r>
          </w:p>
        </w:tc>
      </w:tr>
    </w:tbl>
    <w:p>
      <w:pPr>
        <w:spacing w:line="240" w:lineRule="exact"/>
        <w:ind w:left="-1079" w:leftChars="-514" w:firstLine="333" w:firstLineChars="159"/>
        <w:jc w:val="center"/>
        <w:rPr>
          <w:rFonts w:ascii="宋体"/>
          <w:color w:val="808080"/>
          <w:szCs w:val="21"/>
        </w:rPr>
      </w:pPr>
    </w:p>
    <w:p>
      <w:pPr>
        <w:spacing w:line="240" w:lineRule="exact"/>
        <w:ind w:left="-1079" w:leftChars="-514" w:firstLine="333" w:firstLineChars="159"/>
        <w:jc w:val="center"/>
        <w:rPr>
          <w:rFonts w:asciiTheme="minorEastAsia" w:hAnsiTheme="minorEastAsia" w:cstheme="minorEastAsia"/>
          <w:b/>
          <w:bCs/>
          <w:sz w:val="24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  <w:rPr>
        <w:rFonts w:ascii="宋体" w:hAnsi="宋体"/>
        <w:color w:val="0000FF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-36195</wp:posOffset>
          </wp:positionV>
          <wp:extent cx="1668780" cy="459740"/>
          <wp:effectExtent l="19050" t="0" r="7620" b="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</w:t>
    </w:r>
    <w:r>
      <w:rPr>
        <w:rFonts w:hint="eastAsia" w:ascii="宋体" w:hAnsi="宋体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hint="eastAsia" w:ascii="宋体" w:hAnsi="宋体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hint="eastAsia" w:ascii="宋体" w:hAnsi="宋体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 xml:space="preserve">51872644 (0755) 86154193 </w:t>
    </w: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hint="eastAsia" w:ascii="宋体" w:hAnsi="宋体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>51012039 (0755) 86154195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1E"/>
    <w:multiLevelType w:val="multilevel"/>
    <w:tmpl w:val="0401551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E1429E3"/>
    <w:multiLevelType w:val="multilevel"/>
    <w:tmpl w:val="1E1429E3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2">
    <w:nsid w:val="21A4A4D0"/>
    <w:multiLevelType w:val="singleLevel"/>
    <w:tmpl w:val="21A4A4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1C66DD1"/>
    <w:multiLevelType w:val="multilevel"/>
    <w:tmpl w:val="21C66DD1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4">
    <w:nsid w:val="24952E05"/>
    <w:multiLevelType w:val="multilevel"/>
    <w:tmpl w:val="24952E05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5">
    <w:nsid w:val="2D5A1464"/>
    <w:multiLevelType w:val="multilevel"/>
    <w:tmpl w:val="2D5A1464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6">
    <w:nsid w:val="2E0F4273"/>
    <w:multiLevelType w:val="multilevel"/>
    <w:tmpl w:val="2E0F427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DengXian" w:hAnsi="DengXian" w:eastAsia="DengXian" w:cs="Arial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2" w:tentative="0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FE0732A"/>
    <w:multiLevelType w:val="multilevel"/>
    <w:tmpl w:val="2FE0732A"/>
    <w:lvl w:ilvl="0" w:tentative="0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8">
    <w:nsid w:val="36371ECE"/>
    <w:multiLevelType w:val="multilevel"/>
    <w:tmpl w:val="36371ECE"/>
    <w:lvl w:ilvl="0" w:tentative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EA03194"/>
    <w:multiLevelType w:val="multilevel"/>
    <w:tmpl w:val="3EA03194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0">
    <w:nsid w:val="45B45925"/>
    <w:multiLevelType w:val="multilevel"/>
    <w:tmpl w:val="45B4592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1">
    <w:nsid w:val="665943AD"/>
    <w:multiLevelType w:val="multilevel"/>
    <w:tmpl w:val="665943AD"/>
    <w:lvl w:ilvl="0" w:tentative="0">
      <w:start w:val="1"/>
      <w:numFmt w:val="bullet"/>
      <w:lvlText w:val=""/>
      <w:lvlJc w:val="left"/>
      <w:pPr>
        <w:ind w:left="1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00" w:hanging="420"/>
      </w:pPr>
      <w:rPr>
        <w:rFonts w:hint="default" w:ascii="Wingdings" w:hAnsi="Wingdings"/>
      </w:rPr>
    </w:lvl>
  </w:abstractNum>
  <w:abstractNum w:abstractNumId="12">
    <w:nsid w:val="79EA60BD"/>
    <w:multiLevelType w:val="multilevel"/>
    <w:tmpl w:val="79EA60BD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83D"/>
    <w:rsid w:val="0001519B"/>
    <w:rsid w:val="000236CD"/>
    <w:rsid w:val="00025AA9"/>
    <w:rsid w:val="000408B6"/>
    <w:rsid w:val="00065C60"/>
    <w:rsid w:val="000765F0"/>
    <w:rsid w:val="00093237"/>
    <w:rsid w:val="000F11AD"/>
    <w:rsid w:val="00102921"/>
    <w:rsid w:val="001339CD"/>
    <w:rsid w:val="00144D94"/>
    <w:rsid w:val="001725B1"/>
    <w:rsid w:val="00176443"/>
    <w:rsid w:val="00183B2F"/>
    <w:rsid w:val="001A3869"/>
    <w:rsid w:val="001A41D6"/>
    <w:rsid w:val="001A60D1"/>
    <w:rsid w:val="001B2333"/>
    <w:rsid w:val="001C2732"/>
    <w:rsid w:val="001D59DE"/>
    <w:rsid w:val="00204912"/>
    <w:rsid w:val="00213517"/>
    <w:rsid w:val="002154C3"/>
    <w:rsid w:val="00216737"/>
    <w:rsid w:val="00216F19"/>
    <w:rsid w:val="00217603"/>
    <w:rsid w:val="00224AE4"/>
    <w:rsid w:val="002320C3"/>
    <w:rsid w:val="00236B6F"/>
    <w:rsid w:val="002505F2"/>
    <w:rsid w:val="0025115F"/>
    <w:rsid w:val="00263CA3"/>
    <w:rsid w:val="002733C4"/>
    <w:rsid w:val="0027675F"/>
    <w:rsid w:val="002773C2"/>
    <w:rsid w:val="00281C9B"/>
    <w:rsid w:val="00282DDB"/>
    <w:rsid w:val="00295079"/>
    <w:rsid w:val="002A4A3D"/>
    <w:rsid w:val="002B2141"/>
    <w:rsid w:val="002B3AF3"/>
    <w:rsid w:val="002B432E"/>
    <w:rsid w:val="002C25D0"/>
    <w:rsid w:val="002E7EA2"/>
    <w:rsid w:val="002F72BB"/>
    <w:rsid w:val="00302A4D"/>
    <w:rsid w:val="00324E74"/>
    <w:rsid w:val="00325D60"/>
    <w:rsid w:val="00330B2A"/>
    <w:rsid w:val="003357F8"/>
    <w:rsid w:val="00347A5F"/>
    <w:rsid w:val="00373374"/>
    <w:rsid w:val="00380FBE"/>
    <w:rsid w:val="003A6996"/>
    <w:rsid w:val="00403F62"/>
    <w:rsid w:val="00414E5F"/>
    <w:rsid w:val="004211A4"/>
    <w:rsid w:val="00427DA2"/>
    <w:rsid w:val="00431731"/>
    <w:rsid w:val="004530E9"/>
    <w:rsid w:val="00463BC3"/>
    <w:rsid w:val="00471138"/>
    <w:rsid w:val="00493C18"/>
    <w:rsid w:val="004B3FAD"/>
    <w:rsid w:val="004B483D"/>
    <w:rsid w:val="004D3E27"/>
    <w:rsid w:val="004E4DD2"/>
    <w:rsid w:val="004F36A2"/>
    <w:rsid w:val="00514901"/>
    <w:rsid w:val="00517277"/>
    <w:rsid w:val="00541B7E"/>
    <w:rsid w:val="0058488C"/>
    <w:rsid w:val="005968F9"/>
    <w:rsid w:val="005A5926"/>
    <w:rsid w:val="005B4CC0"/>
    <w:rsid w:val="005D75F4"/>
    <w:rsid w:val="005E75C7"/>
    <w:rsid w:val="005F0D84"/>
    <w:rsid w:val="00634D71"/>
    <w:rsid w:val="00642CB9"/>
    <w:rsid w:val="006B3BA8"/>
    <w:rsid w:val="006B7BE2"/>
    <w:rsid w:val="006F033A"/>
    <w:rsid w:val="006F7178"/>
    <w:rsid w:val="00731CA6"/>
    <w:rsid w:val="00755A85"/>
    <w:rsid w:val="00772A24"/>
    <w:rsid w:val="007B5734"/>
    <w:rsid w:val="007B68B9"/>
    <w:rsid w:val="007C318A"/>
    <w:rsid w:val="007D3513"/>
    <w:rsid w:val="007D3C72"/>
    <w:rsid w:val="007F677E"/>
    <w:rsid w:val="00801085"/>
    <w:rsid w:val="00823687"/>
    <w:rsid w:val="00842199"/>
    <w:rsid w:val="008544DE"/>
    <w:rsid w:val="0086764C"/>
    <w:rsid w:val="008B4C7C"/>
    <w:rsid w:val="008C4DAC"/>
    <w:rsid w:val="008C5842"/>
    <w:rsid w:val="00903A94"/>
    <w:rsid w:val="009162FC"/>
    <w:rsid w:val="00922D64"/>
    <w:rsid w:val="00967C57"/>
    <w:rsid w:val="00975DDB"/>
    <w:rsid w:val="009A4921"/>
    <w:rsid w:val="009C19FB"/>
    <w:rsid w:val="009E165C"/>
    <w:rsid w:val="009E73B7"/>
    <w:rsid w:val="00A15BC4"/>
    <w:rsid w:val="00A17DC3"/>
    <w:rsid w:val="00A23EA7"/>
    <w:rsid w:val="00A628C7"/>
    <w:rsid w:val="00A62FE0"/>
    <w:rsid w:val="00A733B7"/>
    <w:rsid w:val="00A7465D"/>
    <w:rsid w:val="00A81C20"/>
    <w:rsid w:val="00A94E69"/>
    <w:rsid w:val="00AB1C2B"/>
    <w:rsid w:val="00AB43FB"/>
    <w:rsid w:val="00AB7C5B"/>
    <w:rsid w:val="00AC7ED1"/>
    <w:rsid w:val="00B132BF"/>
    <w:rsid w:val="00B15300"/>
    <w:rsid w:val="00B32E7A"/>
    <w:rsid w:val="00B545A7"/>
    <w:rsid w:val="00B81FF3"/>
    <w:rsid w:val="00B95597"/>
    <w:rsid w:val="00BE3AF3"/>
    <w:rsid w:val="00BF0AEF"/>
    <w:rsid w:val="00C13A7C"/>
    <w:rsid w:val="00C14A85"/>
    <w:rsid w:val="00C34974"/>
    <w:rsid w:val="00C54018"/>
    <w:rsid w:val="00C6119F"/>
    <w:rsid w:val="00C61A63"/>
    <w:rsid w:val="00C62077"/>
    <w:rsid w:val="00C707B9"/>
    <w:rsid w:val="00C715F0"/>
    <w:rsid w:val="00C73355"/>
    <w:rsid w:val="00C76020"/>
    <w:rsid w:val="00C84FCB"/>
    <w:rsid w:val="00CD36D7"/>
    <w:rsid w:val="00D004CA"/>
    <w:rsid w:val="00D05407"/>
    <w:rsid w:val="00D054E5"/>
    <w:rsid w:val="00D056E5"/>
    <w:rsid w:val="00D15FD7"/>
    <w:rsid w:val="00D2480E"/>
    <w:rsid w:val="00D349A4"/>
    <w:rsid w:val="00D45AD8"/>
    <w:rsid w:val="00D517B5"/>
    <w:rsid w:val="00D73805"/>
    <w:rsid w:val="00D80283"/>
    <w:rsid w:val="00D863E0"/>
    <w:rsid w:val="00D90381"/>
    <w:rsid w:val="00D94B06"/>
    <w:rsid w:val="00DC3C62"/>
    <w:rsid w:val="00DD79C4"/>
    <w:rsid w:val="00DE2CF6"/>
    <w:rsid w:val="00DE45C3"/>
    <w:rsid w:val="00DF09AE"/>
    <w:rsid w:val="00E0213B"/>
    <w:rsid w:val="00E1235F"/>
    <w:rsid w:val="00E21301"/>
    <w:rsid w:val="00E2237A"/>
    <w:rsid w:val="00E43081"/>
    <w:rsid w:val="00E4411A"/>
    <w:rsid w:val="00E55221"/>
    <w:rsid w:val="00EB7374"/>
    <w:rsid w:val="00ED13F1"/>
    <w:rsid w:val="00EE2C85"/>
    <w:rsid w:val="00EE3265"/>
    <w:rsid w:val="00F30D0B"/>
    <w:rsid w:val="00F31ACB"/>
    <w:rsid w:val="00F37370"/>
    <w:rsid w:val="00F45274"/>
    <w:rsid w:val="00F5628A"/>
    <w:rsid w:val="00F6060F"/>
    <w:rsid w:val="00F6293C"/>
    <w:rsid w:val="00F91A7A"/>
    <w:rsid w:val="00F969CA"/>
    <w:rsid w:val="00FA70C3"/>
    <w:rsid w:val="00FE0E7A"/>
    <w:rsid w:val="00FF5345"/>
    <w:rsid w:val="01331E45"/>
    <w:rsid w:val="0595737D"/>
    <w:rsid w:val="09C05201"/>
    <w:rsid w:val="105000F8"/>
    <w:rsid w:val="13C86BE9"/>
    <w:rsid w:val="1807409F"/>
    <w:rsid w:val="184123F5"/>
    <w:rsid w:val="25CD7544"/>
    <w:rsid w:val="298B645C"/>
    <w:rsid w:val="29CE67D8"/>
    <w:rsid w:val="29EB12F2"/>
    <w:rsid w:val="29EF3210"/>
    <w:rsid w:val="2DE1236B"/>
    <w:rsid w:val="307820FC"/>
    <w:rsid w:val="384F5916"/>
    <w:rsid w:val="408B1CD0"/>
    <w:rsid w:val="411E1D16"/>
    <w:rsid w:val="49451AB7"/>
    <w:rsid w:val="515C3FAB"/>
    <w:rsid w:val="52A9707A"/>
    <w:rsid w:val="562A7E09"/>
    <w:rsid w:val="577B0B64"/>
    <w:rsid w:val="6B142499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left="227"/>
    </w:pPr>
    <w:rPr>
      <w:rFonts w:ascii="宋体" w:hAnsi="宋体"/>
      <w:sz w:val="18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5F5F5F" w:themeColor="hyperlink"/>
      <w:u w:val="single"/>
    </w:rPr>
  </w:style>
  <w:style w:type="paragraph" w:customStyle="1" w:styleId="14">
    <w:name w:val="列出段落1"/>
    <w:basedOn w:val="1"/>
    <w:unhideWhenUsed/>
    <w:qFormat/>
    <w:uiPriority w:val="0"/>
    <w:pPr>
      <w:ind w:firstLine="420" w:firstLineChars="200"/>
    </w:p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6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7">
    <w:name w:val="List Paragraph"/>
    <w:basedOn w:val="1"/>
    <w:link w:val="19"/>
    <w:unhideWhenUsed/>
    <w:qFormat/>
    <w:uiPriority w:val="34"/>
    <w:pPr>
      <w:ind w:firstLine="420" w:firstLineChars="200"/>
    </w:pPr>
  </w:style>
  <w:style w:type="character" w:customStyle="1" w:styleId="18">
    <w:name w:val="Book Title"/>
    <w:basedOn w:val="10"/>
    <w:qFormat/>
    <w:uiPriority w:val="33"/>
    <w:rPr>
      <w:b/>
      <w:bCs/>
      <w:smallCaps/>
      <w:spacing w:val="5"/>
    </w:rPr>
  </w:style>
  <w:style w:type="character" w:customStyle="1" w:styleId="19">
    <w:name w:val="列出段落 Char"/>
    <w:link w:val="17"/>
    <w:qFormat/>
    <w:locked/>
    <w:uiPriority w:val="34"/>
    <w:rPr>
      <w:kern w:val="2"/>
      <w:sz w:val="21"/>
      <w:szCs w:val="24"/>
    </w:rPr>
  </w:style>
  <w:style w:type="character" w:customStyle="1" w:styleId="20">
    <w:name w:val="zi_chinablue"/>
    <w:qFormat/>
    <w:uiPriority w:val="0"/>
  </w:style>
  <w:style w:type="character" w:customStyle="1" w:styleId="21">
    <w:name w:val="Hyperlink.1"/>
    <w:basedOn w:val="20"/>
    <w:qFormat/>
    <w:uiPriority w:val="0"/>
    <w:rPr>
      <w:lang w:val="zh-TW" w:eastAsia="zh-TW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页眉 Char"/>
    <w:basedOn w:val="10"/>
    <w:link w:val="6"/>
    <w:qFormat/>
    <w:locked/>
    <w:uiPriority w:val="99"/>
    <w:rPr>
      <w:rFonts w:ascii="Times New Roman" w:hAnsi="Times New Roman"/>
      <w:kern w:val="2"/>
      <w:sz w:val="18"/>
      <w:szCs w:val="24"/>
    </w:rPr>
  </w:style>
  <w:style w:type="character" w:customStyle="1" w:styleId="24">
    <w:name w:val="标题 1 Char"/>
    <w:basedOn w:val="10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5">
    <w:name w:val="默认段落字体 Para Char Char Char Char"/>
    <w:basedOn w:val="1"/>
    <w:qFormat/>
    <w:uiPriority w:val="99"/>
    <w:rPr>
      <w:rFonts w:ascii="Times New Roman" w:hAnsi="Times New Roman" w:eastAsia="宋体" w:cs="Times New Roman"/>
    </w:rPr>
  </w:style>
  <w:style w:type="paragraph" w:customStyle="1" w:styleId="26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27">
    <w:name w:val="缺省文本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7</Pages>
  <Words>473</Words>
  <Characters>2699</Characters>
  <Lines>22</Lines>
  <Paragraphs>6</Paragraphs>
  <TotalTime>2</TotalTime>
  <ScaleCrop>false</ScaleCrop>
  <LinksUpToDate>false</LinksUpToDate>
  <CharactersWithSpaces>3166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2019-10-18T03:39:00Z</dcterms:created>
  <dc:creator>杜建婷</dc:creator>
  <cp:lastModifiedBy>林雄生</cp:lastModifiedBy>
  <dcterms:modified xsi:type="dcterms:W3CDTF">2020-12-16T01:10:30Z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