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ind w:firstLine="1761" w:firstLineChars="400"/>
        <w:rPr>
          <w:rFonts w:hint="eastAsia" w:ascii="微软雅黑" w:hAnsi="微软雅黑" w:eastAsia="微软雅黑"/>
          <w:b/>
          <w:bCs/>
          <w:sz w:val="44"/>
          <w:szCs w:val="44"/>
        </w:rPr>
      </w:pPr>
      <w:bookmarkStart w:id="0" w:name="OLE_LINK1"/>
      <w:r>
        <w:rPr>
          <w:rFonts w:hint="eastAsia" w:ascii="微软雅黑" w:hAnsi="微软雅黑" w:eastAsia="微软雅黑"/>
          <w:b/>
          <w:bCs/>
          <w:sz w:val="44"/>
          <w:szCs w:val="44"/>
        </w:rPr>
        <w:t>打动客户和领导的工作汇报与商务演讲</w:t>
      </w:r>
    </w:p>
    <w:p>
      <w:pPr>
        <w:rPr>
          <w:rFonts w:hint="eastAsia" w:ascii="微软雅黑" w:hAnsi="微软雅黑" w:eastAsia="微软雅黑"/>
          <w:b/>
          <w:bCs/>
          <w:color w:val="000000" w:themeColor="text1"/>
          <w:szCs w:val="21"/>
        </w:rPr>
      </w:pPr>
    </w:p>
    <w:p>
      <w:pPr>
        <w:rPr>
          <w:rFonts w:ascii="微软雅黑" w:hAnsi="微软雅黑" w:eastAsia="微软雅黑"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</w:rPr>
        <w:t>主办单位：</w:t>
      </w:r>
      <w:r>
        <w:rPr>
          <w:rFonts w:hint="eastAsia" w:ascii="微软雅黑" w:hAnsi="微软雅黑" w:eastAsia="微软雅黑"/>
          <w:color w:val="000000" w:themeColor="text1"/>
          <w:szCs w:val="21"/>
        </w:rPr>
        <w:t>一六八培训网</w:t>
      </w:r>
      <w:r>
        <w:rPr>
          <w:rFonts w:ascii="微软雅黑" w:hAnsi="微软雅黑" w:eastAsia="微软雅黑"/>
          <w:color w:val="000000" w:themeColor="text1"/>
          <w:szCs w:val="21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"http://www.peixun168.com" </w:instrText>
      </w:r>
      <w:r>
        <w:rPr>
          <w:color w:val="000000" w:themeColor="text1"/>
        </w:rPr>
        <w:fldChar w:fldCharType="separate"/>
      </w:r>
      <w:r>
        <w:rPr>
          <w:rStyle w:val="11"/>
          <w:rFonts w:ascii="微软雅黑" w:hAnsi="微软雅黑" w:eastAsia="微软雅黑"/>
          <w:color w:val="000000" w:themeColor="text1"/>
          <w:szCs w:val="21"/>
        </w:rPr>
        <w:t>www.peixun168.com</w:t>
      </w:r>
      <w:r>
        <w:rPr>
          <w:rStyle w:val="11"/>
          <w:rFonts w:ascii="微软雅黑" w:hAnsi="微软雅黑" w:eastAsia="微软雅黑"/>
          <w:color w:val="000000" w:themeColor="text1"/>
          <w:szCs w:val="21"/>
        </w:rPr>
        <w:fldChar w:fldCharType="end"/>
      </w:r>
      <w:r>
        <w:rPr>
          <w:rFonts w:ascii="微软雅黑" w:hAnsi="微软雅黑" w:eastAsia="微软雅黑"/>
          <w:color w:val="000000" w:themeColor="text1"/>
          <w:szCs w:val="21"/>
        </w:rPr>
        <w:t xml:space="preserve">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szCs w:val="21"/>
        </w:rPr>
        <w:t>上课时间：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</w:rPr>
        <w:t>2021年6月26-27</w:t>
      </w: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>上海</w:t>
      </w:r>
      <w:bookmarkStart w:id="1" w:name="_GoBack"/>
      <w:bookmarkEnd w:id="1"/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</w:rPr>
        <w:t>2021年7月17-18</w:t>
      </w: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>深圳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>9月11-12  广州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 xml:space="preserve">9月25-26   上海 </w:t>
      </w:r>
    </w:p>
    <w:p>
      <w:pPr>
        <w:spacing w:beforeLines="50" w:afterLines="100" w:line="440" w:lineRule="exact"/>
        <w:rPr>
          <w:rFonts w:hint="eastAsia" w:ascii="微软雅黑" w:hAnsi="微软雅黑" w:eastAsia="微软雅黑" w:cs="宋体"/>
          <w:b w:val="0"/>
          <w:bCs/>
          <w:szCs w:val="21"/>
        </w:rPr>
      </w:pPr>
      <w:r>
        <w:rPr>
          <w:rFonts w:hint="eastAsia" w:ascii="微软雅黑" w:hAnsi="微软雅黑" w:eastAsia="微软雅黑" w:cs="宋体"/>
          <w:b w:val="0"/>
          <w:bCs/>
          <w:szCs w:val="21"/>
          <w:lang w:val="en-US" w:eastAsia="zh-CN"/>
        </w:rPr>
        <w:t>2021年</w:t>
      </w:r>
      <w:r>
        <w:rPr>
          <w:rFonts w:hint="eastAsia" w:ascii="微软雅黑" w:hAnsi="微软雅黑" w:eastAsia="微软雅黑" w:cs="宋体"/>
          <w:b w:val="0"/>
          <w:bCs/>
          <w:szCs w:val="21"/>
        </w:rPr>
        <w:t>10月30-11月1日深圳</w:t>
      </w:r>
    </w:p>
    <w:p>
      <w:pPr>
        <w:spacing w:beforeLines="50" w:afterLines="100"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课程费用：</w:t>
      </w:r>
      <w:r>
        <w:rPr>
          <w:rFonts w:hint="eastAsia" w:ascii="微软雅黑" w:hAnsi="微软雅黑" w:eastAsia="微软雅黑"/>
          <w:szCs w:val="21"/>
        </w:rPr>
        <w:t>4580元/人</w:t>
      </w:r>
      <w:r>
        <w:rPr>
          <w:rFonts w:hint="eastAsia" w:ascii="微软雅黑" w:hAnsi="微软雅黑" w:eastAsia="微软雅黑"/>
          <w:b/>
          <w:szCs w:val="21"/>
        </w:rPr>
        <w:t>（含资料费、专家演讲费、会务费）住宿可统一安排，费用自理</w:t>
      </w:r>
    </w:p>
    <w:p>
      <w:pPr>
        <w:spacing w:beforeLines="50" w:afterLines="50" w:line="440" w:lineRule="exact"/>
        <w:rPr>
          <w:rFonts w:hint="eastAsia" w:ascii="微软雅黑" w:hAnsi="微软雅黑" w:eastAsia="微软雅黑" w:cs="宋体"/>
          <w:b/>
          <w:bCs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课程对象：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</w:pPr>
      <w:r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  <w:t>项目经理、产品经理、 研发经理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/>
          <w:sz w:val="24"/>
          <w:szCs w:val="21"/>
        </w:rPr>
      </w:pPr>
      <w:r>
        <w:rPr>
          <w:rFonts w:hint="eastAsia" w:ascii="DengXian" w:hAnsi="DengXian" w:eastAsia="DengXian"/>
          <w:b/>
          <w:bCs/>
          <w:sz w:val="24"/>
          <w:szCs w:val="21"/>
        </w:rPr>
        <w:t xml:space="preserve">    </w:t>
      </w:r>
      <w:r>
        <w:rPr>
          <w:rFonts w:hint="eastAsia" w:ascii="DengXian" w:hAnsi="DengXian" w:eastAsia="DengXian"/>
          <w:sz w:val="24"/>
          <w:szCs w:val="21"/>
        </w:rPr>
        <w:t>向管理层、跨部门同事、客户进行产品和方案的演示讲解、呈现和沟通说服。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</w:pPr>
      <w:r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  <w:t>市场经理、售前顾问、大客户销售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/>
          <w:sz w:val="24"/>
          <w:szCs w:val="21"/>
        </w:rPr>
      </w:pPr>
      <w:r>
        <w:rPr>
          <w:rFonts w:hint="eastAsia" w:ascii="DengXian" w:hAnsi="DengXian" w:eastAsia="DengXian"/>
          <w:sz w:val="24"/>
          <w:szCs w:val="21"/>
        </w:rPr>
        <w:t xml:space="preserve">    向客户做销售演示、方案呈现、沟通研讨、会议营销。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</w:pPr>
      <w:r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  <w:t>公司经理人和主管：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微软雅黑" w:hAnsi="微软雅黑" w:eastAsia="微软雅黑" w:cs="宋体"/>
          <w:b/>
          <w:bCs/>
          <w:szCs w:val="21"/>
          <w:lang w:val="en-US" w:eastAsia="zh-CN"/>
        </w:rPr>
      </w:pPr>
      <w:r>
        <w:rPr>
          <w:rFonts w:hint="eastAsia" w:ascii="DengXian" w:hAnsi="DengXian" w:eastAsia="DengXian"/>
          <w:sz w:val="24"/>
          <w:szCs w:val="21"/>
        </w:rPr>
        <w:t xml:space="preserve">    面对更高的决策层汇报工作或述职；向政府机构、商业合作伙伴、公众媒体进行汇报或讲话。</w:t>
      </w:r>
      <w:r>
        <w:rPr>
          <w:rFonts w:hint="eastAsia" w:ascii="DengXian" w:hAnsi="DengXian" w:eastAsia="DengXian"/>
          <w:b/>
          <w:bCs/>
          <w:color w:val="800000"/>
          <w:sz w:val="22"/>
          <w:szCs w:val="22"/>
        </w:rPr>
        <w:t xml:space="preserve">        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联系电话：</w:t>
      </w:r>
      <w:r>
        <w:rPr>
          <w:rFonts w:ascii="微软雅黑" w:hAnsi="微软雅黑" w:eastAsia="微软雅黑"/>
          <w:szCs w:val="21"/>
        </w:rPr>
        <w:t xml:space="preserve">O755-86154193  86154194    </w:t>
      </w:r>
      <w:r>
        <w:rPr>
          <w:rFonts w:hint="eastAsia" w:ascii="微软雅黑" w:hAnsi="微软雅黑" w:eastAsia="微软雅黑"/>
          <w:szCs w:val="21"/>
        </w:rPr>
        <w:t>胡先生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林先生</w:t>
      </w:r>
    </w:p>
    <w:p>
      <w:pPr>
        <w:spacing w:beforeLines="50" w:afterLines="50" w:line="440" w:lineRule="exact"/>
        <w:rPr>
          <w:rFonts w:asciiTheme="minorEastAsia" w:hAnsiTheme="minorEastAsia"/>
          <w:sz w:val="24"/>
        </w:rPr>
      </w:pPr>
    </w:p>
    <w:bookmarkEnd w:id="0"/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课程背景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b/>
          <w:bCs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由于管理工作、生意或者业务的需要，他们要在多人面前展开专业和精彩的陈述、展示和演讲，以达到沟通说服、传播推广或者成功销售之目的。这是一对多的关键商务场合，任务很重要，内容较复杂，心理有压力，您如何脱颖而出？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然而不同场合、不同任务、不同层级对商务演讲水平的期待和要求却大不相同</w:t>
      </w:r>
    </w:p>
    <w:p>
      <w:pPr>
        <w:pStyle w:val="15"/>
        <w:widowControl/>
        <w:spacing w:line="360" w:lineRule="exact"/>
        <w:ind w:left="902" w:firstLine="0" w:firstLineChars="0"/>
        <w:jc w:val="left"/>
        <w:rPr>
          <w:rFonts w:asciiTheme="majorEastAsia" w:hAnsiTheme="majorEastAsia" w:eastAsiaTheme="maj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课程目标</w:t>
      </w:r>
    </w:p>
    <w:p>
      <w:pPr>
        <w:pStyle w:val="20"/>
        <w:spacing w:line="480" w:lineRule="exact"/>
        <w:ind w:left="420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1.掌握换位思考，相互赏识的沟通技巧；</w:t>
      </w:r>
    </w:p>
    <w:p>
      <w:pPr>
        <w:pStyle w:val="20"/>
        <w:spacing w:line="480" w:lineRule="exact"/>
        <w:ind w:left="420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2.如何将职能部门的目标有效地整合在组织目标之下；</w:t>
      </w:r>
    </w:p>
    <w:p>
      <w:pPr>
        <w:pStyle w:val="20"/>
        <w:spacing w:line="480" w:lineRule="exact"/>
        <w:ind w:left="420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3.了解高效沟通的原理，尤其是跨部门沟通的重要价值；</w:t>
      </w:r>
    </w:p>
    <w:p>
      <w:pPr>
        <w:pStyle w:val="20"/>
        <w:spacing w:line="480" w:lineRule="exact"/>
        <w:ind w:left="420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4.从跨部门沟通的难点出发，从人的心理特点的角度出发，理解沟通的本质特征；</w:t>
      </w:r>
    </w:p>
    <w:p>
      <w:pPr>
        <w:pStyle w:val="20"/>
        <w:spacing w:line="480" w:lineRule="exact"/>
        <w:ind w:left="420"/>
        <w:rPr>
          <w:rFonts w:cs="微软雅黑" w:asciiTheme="minorEastAsia" w:hAnsiTheme="minorEastAsia" w:eastAsiaTheme="minorEastAsia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z w:val="24"/>
          <w:szCs w:val="24"/>
        </w:rPr>
        <w:t>5.突破本位主义，树立共同目标，有效化解和处理部门间的冲突，降低企业内耗，提高企业内部的执行力。</w:t>
      </w:r>
    </w:p>
    <w:p>
      <w:pPr>
        <w:pStyle w:val="6"/>
        <w:spacing w:before="0" w:beforeAutospacing="0" w:after="0" w:afterAutospacing="0" w:line="360" w:lineRule="exact"/>
        <w:rPr>
          <w:rFonts w:asciiTheme="majorEastAsia" w:hAnsiTheme="majorEastAsia" w:eastAsiaTheme="majorEastAsia"/>
        </w:rPr>
      </w:pPr>
    </w:p>
    <w:p>
      <w:pPr>
        <w:shd w:val="clear" w:color="auto" w:fill="EAEAEA" w:themeFill="accent1" w:themeFillTint="99"/>
        <w:jc w:val="center"/>
        <w:rPr>
          <w:rFonts w:hint="eastAsia" w:ascii="微软雅黑" w:hAnsi="微软雅黑" w:eastAsia="微软雅黑"/>
          <w:b/>
          <w:sz w:val="30"/>
          <w:szCs w:val="30"/>
          <w:lang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定位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</w:pPr>
      <w:r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  <w:t xml:space="preserve">关键商务时刻 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b/>
          <w:bCs/>
          <w:sz w:val="22"/>
          <w:szCs w:val="22"/>
        </w:rPr>
        <w:t xml:space="preserve">    </w:t>
      </w:r>
      <w:r>
        <w:rPr>
          <w:rFonts w:hint="eastAsia" w:ascii="DengXian" w:hAnsi="DengXian" w:eastAsia="DengXian"/>
          <w:sz w:val="22"/>
          <w:szCs w:val="22"/>
        </w:rPr>
        <w:t>本课程以商务沟通任务为线索，旨在提升“关键商务时刻”的呈现、沟通与说服力。无论是销售提案还是述职汇报，这种能力的提升会为企业带来真金白银。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</w:pPr>
      <w:r>
        <w:rPr>
          <w:rFonts w:hint="eastAsia" w:ascii="DengXian" w:hAnsi="DengXian" w:eastAsia="DengXian" w:cs="宋体"/>
          <w:bCs/>
          <w:color w:val="CC0000"/>
          <w:kern w:val="0"/>
          <w:sz w:val="24"/>
          <w:szCs w:val="24"/>
        </w:rPr>
        <w:t xml:space="preserve">不是口才+PPT 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 w:firstLine="440" w:firstLineChars="20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课程不鼓励天花乱坠的口才，也不提倡炫丽花哨的PPT幻灯片。而以商务工作的实际情境和务实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 w:firstLine="440" w:firstLineChars="20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 xml:space="preserve">的基调，从商务演讲的原理和提升方案进行教学和训练。 </w:t>
      </w:r>
    </w:p>
    <w:p>
      <w:pPr>
        <w:spacing w:line="480" w:lineRule="exact"/>
        <w:rPr>
          <w:rFonts w:cs="微软雅黑" w:asciiTheme="minorEastAsia" w:hAnsiTheme="min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课程结构</w:t>
      </w:r>
      <w:r>
        <w:rPr>
          <w:rFonts w:hint="eastAsia" w:ascii="DengXian" w:hAnsi="DengXian" w:eastAsia="DengXian" w:cs="宋体"/>
          <w:b/>
          <w:bCs/>
          <w:color w:val="CC0000"/>
          <w:kern w:val="0"/>
          <w:sz w:val="2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36195</wp:posOffset>
            </wp:positionV>
            <wp:extent cx="1985645" cy="2015490"/>
            <wp:effectExtent l="0" t="0" r="14605" b="381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以</w:t>
      </w:r>
      <w:r>
        <w:rPr>
          <w:rFonts w:hint="eastAsia" w:ascii="DengXian" w:hAnsi="DengXian" w:eastAsia="DengXian"/>
          <w:b/>
          <w:bCs/>
          <w:sz w:val="22"/>
          <w:szCs w:val="22"/>
        </w:rPr>
        <w:t>思考力</w:t>
      </w:r>
      <w:r>
        <w:rPr>
          <w:rFonts w:hint="eastAsia" w:ascii="DengXian" w:hAnsi="DengXian" w:eastAsia="DengXian"/>
          <w:sz w:val="22"/>
          <w:szCs w:val="22"/>
        </w:rPr>
        <w:t>为核心，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重视</w:t>
      </w:r>
      <w:r>
        <w:rPr>
          <w:rFonts w:hint="eastAsia" w:ascii="DengXian" w:hAnsi="DengXian" w:eastAsia="DengXian"/>
          <w:b/>
          <w:bCs/>
          <w:sz w:val="22"/>
          <w:szCs w:val="22"/>
        </w:rPr>
        <w:t>思维的逻辑性</w:t>
      </w:r>
      <w:r>
        <w:rPr>
          <w:rFonts w:hint="eastAsia" w:ascii="DengXian" w:hAnsi="DengXian" w:eastAsia="DengXian"/>
          <w:sz w:val="22"/>
          <w:szCs w:val="22"/>
        </w:rPr>
        <w:t>和</w:t>
      </w:r>
      <w:r>
        <w:rPr>
          <w:rFonts w:hint="eastAsia" w:ascii="DengXian" w:hAnsi="DengXian" w:eastAsia="DengXian"/>
          <w:b/>
          <w:bCs/>
          <w:sz w:val="22"/>
          <w:szCs w:val="22"/>
        </w:rPr>
        <w:t>表达的结构化</w:t>
      </w:r>
      <w:r>
        <w:rPr>
          <w:rFonts w:hint="eastAsia" w:ascii="DengXian" w:hAnsi="DengXian" w:eastAsia="DengXian"/>
          <w:sz w:val="22"/>
          <w:szCs w:val="22"/>
        </w:rPr>
        <w:t>。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>在此基础上全面提升</w:t>
      </w:r>
      <w:r>
        <w:rPr>
          <w:rFonts w:hint="eastAsia" w:ascii="DengXian" w:hAnsi="DengXian" w:eastAsia="DengXian"/>
          <w:b/>
          <w:bCs/>
          <w:sz w:val="22"/>
          <w:szCs w:val="22"/>
        </w:rPr>
        <w:t>临场表现力</w:t>
      </w:r>
      <w:r>
        <w:rPr>
          <w:rFonts w:hint="eastAsia" w:ascii="DengXian" w:hAnsi="DengXian" w:eastAsia="DengXian"/>
          <w:sz w:val="22"/>
          <w:szCs w:val="22"/>
        </w:rPr>
        <w:t>、</w:t>
      </w:r>
      <w:r>
        <w:rPr>
          <w:rFonts w:hint="eastAsia" w:ascii="DengXian" w:hAnsi="DengXian" w:eastAsia="DengXian"/>
          <w:b/>
          <w:bCs/>
          <w:sz w:val="22"/>
          <w:szCs w:val="22"/>
        </w:rPr>
        <w:t>视觉沟通力</w:t>
      </w:r>
      <w:r>
        <w:rPr>
          <w:rFonts w:hint="eastAsia" w:ascii="DengXian" w:hAnsi="DengXian" w:eastAsia="DengXian"/>
          <w:sz w:val="22"/>
          <w:szCs w:val="22"/>
        </w:rPr>
        <w:t>、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 xml:space="preserve">   </w:t>
      </w:r>
      <w:r>
        <w:rPr>
          <w:rFonts w:hint="eastAsia" w:ascii="DengXian" w:hAnsi="DengXian" w:eastAsia="DengXian"/>
          <w:b/>
          <w:bCs/>
          <w:sz w:val="22"/>
          <w:szCs w:val="22"/>
        </w:rPr>
        <w:t>互动沟通策略</w:t>
      </w:r>
      <w:r>
        <w:rPr>
          <w:rFonts w:hint="eastAsia" w:ascii="DengXian" w:hAnsi="DengXian" w:eastAsia="DengXian"/>
          <w:sz w:val="22"/>
          <w:szCs w:val="22"/>
        </w:rPr>
        <w:t>、</w:t>
      </w:r>
      <w:r>
        <w:rPr>
          <w:rFonts w:hint="eastAsia" w:ascii="DengXian" w:hAnsi="DengXian" w:eastAsia="DengXian"/>
          <w:b/>
          <w:bCs/>
          <w:sz w:val="22"/>
          <w:szCs w:val="22"/>
        </w:rPr>
        <w:t>团队策划与情境演练</w:t>
      </w:r>
      <w:r>
        <w:rPr>
          <w:rFonts w:hint="eastAsia" w:ascii="DengXian" w:hAnsi="DengXian" w:eastAsia="DengXian"/>
          <w:sz w:val="22"/>
          <w:szCs w:val="22"/>
        </w:rPr>
        <w:t>、以及课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 w:cs="宋体"/>
          <w:b/>
          <w:bCs/>
          <w:color w:val="CC0000"/>
          <w:kern w:val="0"/>
          <w:sz w:val="22"/>
          <w:szCs w:val="22"/>
        </w:rPr>
      </w:pPr>
      <w:r>
        <w:rPr>
          <w:rFonts w:hint="eastAsia" w:ascii="DengXian" w:hAnsi="DengXian" w:eastAsia="DengXian"/>
          <w:sz w:val="22"/>
          <w:szCs w:val="22"/>
        </w:rPr>
        <w:t xml:space="preserve">   后</w:t>
      </w:r>
      <w:r>
        <w:rPr>
          <w:rFonts w:hint="eastAsia" w:ascii="DengXian" w:hAnsi="DengXian" w:eastAsia="DengXian"/>
          <w:b/>
          <w:bCs/>
          <w:sz w:val="22"/>
          <w:szCs w:val="22"/>
        </w:rPr>
        <w:t>自我训练提升</w:t>
      </w:r>
      <w:r>
        <w:rPr>
          <w:rFonts w:hint="eastAsia" w:ascii="DengXian" w:hAnsi="DengXian" w:eastAsia="DengXian"/>
          <w:sz w:val="22"/>
          <w:szCs w:val="22"/>
        </w:rPr>
        <w:t>的方法和工具。</w:t>
      </w: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  <w:r>
        <w:rPr>
          <w:rFonts w:hint="eastAsia" w:ascii="DengXian" w:hAnsi="DengXian" w:eastAsia="DengXian"/>
          <w:sz w:val="22"/>
          <w:szCs w:val="20"/>
        </w:rPr>
        <w:pict>
          <v:shape id="Text Box 12" o:spid="_x0000_s1027" o:spt="202" type="#_x0000_t202" style="position:absolute;left:0pt;margin-left:315.4pt;margin-top:15.35pt;height:45.55pt;width:154.4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C00000"/>
                      <w:sz w:val="20"/>
                      <w:szCs w:val="20"/>
                    </w:rPr>
                    <w:t>以思考力为核心的教学内容设计</w:t>
                  </w:r>
                </w:p>
              </w:txbxContent>
            </v:textbox>
          </v:shape>
        </w:pict>
      </w: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  <w:r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  <w:t>【学习工具】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/>
          <w:bCs/>
          <w:color w:val="CC0000"/>
          <w:kern w:val="0"/>
          <w:sz w:val="24"/>
          <w:szCs w:val="22"/>
        </w:rPr>
      </w:pPr>
      <w:r>
        <w:rPr>
          <w:rFonts w:hint="eastAsia" w:ascii="DengXian" w:hAnsi="DengXian" w:eastAsia="DengXian"/>
          <w:sz w:val="22"/>
          <w:szCs w:val="20"/>
        </w:rPr>
        <w:t xml:space="preserve">商务演讲. 自我/团队训练指南 </w:t>
      </w:r>
      <w:r>
        <w:rPr>
          <w:rFonts w:ascii="DengXian" w:hAnsi="DengXian" w:eastAsia="DengXian"/>
          <w:sz w:val="22"/>
          <w:szCs w:val="20"/>
        </w:rPr>
        <w:t xml:space="preserve">   </w:t>
      </w:r>
      <w:r>
        <w:rPr>
          <w:rFonts w:hint="eastAsia" w:ascii="DengXian" w:hAnsi="DengXian" w:eastAsia="DengXian"/>
          <w:sz w:val="22"/>
          <w:szCs w:val="20"/>
        </w:rPr>
        <w:t>常用工具包  学习参考多媒体光盘</w:t>
      </w: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  <w:r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  <w:t xml:space="preserve">【课程强调】 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0"/>
        </w:rPr>
      </w:pPr>
      <w:r>
        <w:rPr>
          <w:rFonts w:hint="eastAsia" w:ascii="DengXian" w:hAnsi="DengXian" w:eastAsia="DengXian" w:cs="宋体"/>
          <w:b/>
          <w:bCs/>
          <w:color w:val="CC0000"/>
          <w:kern w:val="0"/>
          <w:sz w:val="22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13335</wp:posOffset>
            </wp:positionV>
            <wp:extent cx="2324100" cy="1193800"/>
            <wp:effectExtent l="0" t="0" r="0" b="6350"/>
            <wp:wrapTight wrapText="bothSides">
              <wp:wrapPolygon>
                <wp:start x="0" y="0"/>
                <wp:lineTo x="0" y="21370"/>
                <wp:lineTo x="21423" y="21370"/>
                <wp:lineTo x="21423" y="0"/>
                <wp:lineTo x="0" y="0"/>
              </wp:wrapPolygon>
            </wp:wrapTight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DengXian" w:hAnsi="DengXian" w:eastAsia="DengXian"/>
          <w:sz w:val="22"/>
          <w:szCs w:val="20"/>
        </w:rPr>
        <w:t>思考方法、自我认知、人际互动、换位思考、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/>
          <w:sz w:val="22"/>
          <w:szCs w:val="20"/>
        </w:rPr>
      </w:pPr>
      <w:r>
        <w:rPr>
          <w:rFonts w:hint="eastAsia" w:ascii="DengXian" w:hAnsi="DengXian" w:eastAsia="DengXian"/>
          <w:sz w:val="22"/>
          <w:szCs w:val="20"/>
        </w:rPr>
        <w:t xml:space="preserve">   视觉呈现、资料规整、情景演练                                    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/>
          <w:sz w:val="22"/>
          <w:szCs w:val="20"/>
        </w:rPr>
      </w:pPr>
      <w:r>
        <w:rPr>
          <w:rFonts w:hint="eastAsia" w:ascii="DengXian" w:hAnsi="DengXian" w:eastAsia="DengXian"/>
          <w:sz w:val="22"/>
          <w:szCs w:val="20"/>
        </w:rPr>
        <w:t>从内在到外在；从左脑到右脑；从智商到情商；</w:t>
      </w:r>
    </w:p>
    <w:p>
      <w:pPr>
        <w:widowControl/>
        <w:tabs>
          <w:tab w:val="left" w:pos="448"/>
        </w:tabs>
        <w:autoSpaceDE w:val="0"/>
        <w:autoSpaceDN w:val="0"/>
        <w:adjustRightInd w:val="0"/>
        <w:spacing w:line="480" w:lineRule="exact"/>
        <w:ind w:left="86"/>
        <w:textAlignment w:val="bottom"/>
        <w:rPr>
          <w:rFonts w:hint="eastAsia" w:ascii="DengXian" w:hAnsi="DengXian" w:eastAsia="DengXian" w:cs="宋体"/>
          <w:b/>
          <w:bCs/>
          <w:color w:val="CC0000"/>
          <w:kern w:val="0"/>
          <w:sz w:val="24"/>
          <w:szCs w:val="22"/>
        </w:rPr>
      </w:pPr>
      <w:r>
        <w:rPr>
          <w:rFonts w:hint="eastAsia" w:ascii="DengXian" w:hAnsi="DengXian" w:eastAsia="DengXian"/>
          <w:sz w:val="22"/>
          <w:szCs w:val="20"/>
        </w:rPr>
        <w:t xml:space="preserve">   从归纳到演绎；从逻辑到呈现；从理论到演练</w:t>
      </w:r>
    </w:p>
    <w:p>
      <w:pPr>
        <w:spacing w:line="480" w:lineRule="exact"/>
        <w:ind w:left="-210" w:leftChars="-100"/>
        <w:outlineLvl w:val="2"/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</w:pPr>
      <w:r>
        <w:rPr>
          <w:rFonts w:hint="eastAsia" w:ascii="DengXian" w:hAnsi="DengXian" w:eastAsia="DengXian" w:cs="宋体"/>
          <w:b/>
          <w:bCs/>
          <w:color w:val="CC0000"/>
          <w:kern w:val="0"/>
          <w:sz w:val="28"/>
          <w:szCs w:val="24"/>
        </w:rPr>
        <w:t>【课程形式】</w:t>
      </w:r>
    </w:p>
    <w:p>
      <w:pPr>
        <w:widowControl/>
        <w:numPr>
          <w:ilvl w:val="0"/>
          <w:numId w:val="1"/>
        </w:numPr>
        <w:tabs>
          <w:tab w:val="left" w:pos="448"/>
          <w:tab w:val="clear" w:pos="1320"/>
        </w:tabs>
        <w:autoSpaceDE w:val="0"/>
        <w:autoSpaceDN w:val="0"/>
        <w:adjustRightInd w:val="0"/>
        <w:spacing w:line="480" w:lineRule="exact"/>
        <w:ind w:left="446" w:hanging="360"/>
        <w:textAlignment w:val="bottom"/>
        <w:rPr>
          <w:rFonts w:hint="eastAsia" w:ascii="DengXian" w:hAnsi="DengXian" w:eastAsia="DengXian" w:cs="宋体"/>
          <w:b/>
          <w:bCs/>
          <w:color w:val="CC0000"/>
          <w:kern w:val="0"/>
          <w:sz w:val="24"/>
          <w:szCs w:val="22"/>
        </w:rPr>
      </w:pPr>
      <w:r>
        <w:rPr>
          <w:rFonts w:hint="eastAsia" w:ascii="DengXian" w:hAnsi="DengXian" w:eastAsia="DengXian"/>
          <w:sz w:val="22"/>
          <w:szCs w:val="20"/>
        </w:rPr>
        <w:t>讲师授课、问答研讨、模拟演练、试卷测试、视频观摩、课后辅导、成长计划、推荐读物</w:t>
      </w:r>
    </w:p>
    <w:p>
      <w:pPr>
        <w:tabs>
          <w:tab w:val="left" w:pos="420"/>
        </w:tabs>
        <w:spacing w:line="440" w:lineRule="exact"/>
        <w:rPr>
          <w:rFonts w:asciiTheme="minorEastAsia" w:hAnsiTheme="minorEastAsia"/>
          <w:sz w:val="24"/>
        </w:rPr>
      </w:pPr>
    </w:p>
    <w:p>
      <w:pPr>
        <w:tabs>
          <w:tab w:val="left" w:pos="420"/>
        </w:tabs>
        <w:spacing w:line="440" w:lineRule="exact"/>
        <w:rPr>
          <w:rFonts w:asciiTheme="minorEastAsia" w:hAnsiTheme="minorEastAsia"/>
          <w:sz w:val="24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tbl>
      <w:tblPr>
        <w:tblStyle w:val="7"/>
        <w:tblW w:w="10632" w:type="dxa"/>
        <w:tblInd w:w="-743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1"/>
        <w:gridCol w:w="3951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681" w:type="dxa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</w:p>
        </w:tc>
        <w:tc>
          <w:tcPr>
            <w:tcW w:w="3951" w:type="dxa"/>
            <w:noWrap w:val="0"/>
            <w:vAlign w:val="top"/>
          </w:tcPr>
          <w:p>
            <w:pPr>
              <w:spacing w:line="480" w:lineRule="exact"/>
              <w:jc w:val="center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681" w:type="dxa"/>
            <w:tcBorders>
              <w:bottom w:val="single" w:color="FFFFFF" w:sz="4" w:space="0"/>
            </w:tcBorders>
            <w:shd w:val="thinReverseDiagStripe" w:color="C0C0C0" w:fill="F3F3F3"/>
            <w:noWrap w:val="0"/>
            <w:vAlign w:val="center"/>
          </w:tcPr>
          <w:p>
            <w:pPr>
              <w:spacing w:line="480" w:lineRule="exact"/>
              <w:jc w:val="center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>课程模块及内容</w:t>
            </w:r>
          </w:p>
        </w:tc>
        <w:tc>
          <w:tcPr>
            <w:tcW w:w="3951" w:type="dxa"/>
            <w:tcBorders>
              <w:bottom w:val="single" w:color="FFFFFF" w:sz="4" w:space="0"/>
            </w:tcBorders>
            <w:shd w:val="thinReverseDiagStripe" w:color="C0C0C0" w:fill="F3F3F3"/>
            <w:noWrap w:val="0"/>
            <w:vAlign w:val="center"/>
          </w:tcPr>
          <w:p>
            <w:pPr>
              <w:spacing w:line="480" w:lineRule="exact"/>
              <w:jc w:val="center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>时长/课程目标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681" w:type="dxa"/>
            <w:tcBorders>
              <w:top w:val="single" w:color="FFFFFF" w:sz="4" w:space="0"/>
            </w:tcBorders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engXian" w:hAnsi="DengXian" w:eastAsia="DengXian"/>
                <w:b/>
                <w:bCs/>
                <w:i/>
                <w:iCs/>
                <w:color w:val="993300"/>
                <w:sz w:val="22"/>
                <w:szCs w:val="22"/>
              </w:rPr>
              <w:t xml:space="preserve">01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 xml:space="preserve">现场力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——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 xml:space="preserve">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面对面一对多沟通的要素</w:t>
            </w: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548DD4"/>
                <w:sz w:val="22"/>
                <w:szCs w:val="22"/>
              </w:rPr>
              <w:t>商务汇报演讲的原理、常见误区和学习目标。</w:t>
            </w:r>
          </w:p>
        </w:tc>
        <w:tc>
          <w:tcPr>
            <w:tcW w:w="3951" w:type="dxa"/>
            <w:tcBorders>
              <w:top w:val="single" w:color="FFFFFF" w:sz="4" w:space="0"/>
            </w:tcBorders>
            <w:shd w:val="thinReverseDiagStripe" w:color="C0C0C0" w:fill="F3F3F3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D1 9:00~10:30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68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ind w:firstLine="221" w:firstLineChars="100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一个重要的问题：为什么你要当面向他们（你的听众）讲这些？</w:t>
            </w:r>
          </w:p>
          <w:p>
            <w:pPr>
              <w:autoSpaceDE w:val="0"/>
              <w:autoSpaceDN w:val="0"/>
              <w:spacing w:line="480" w:lineRule="exact"/>
              <w:ind w:firstLine="221" w:firstLineChars="100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什么因素会影响、干扰或者鼓励你的听众对你加以聆听？</w:t>
            </w:r>
          </w:p>
          <w:p>
            <w:pPr>
              <w:autoSpaceDE w:val="0"/>
              <w:autoSpaceDN w:val="0"/>
              <w:spacing w:line="480" w:lineRule="exact"/>
              <w:ind w:firstLine="221" w:firstLineChars="100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你能看到商务演讲或工作简报的高手与新手的差别在哪里？</w:t>
            </w:r>
          </w:p>
          <w:p>
            <w:pPr>
              <w:spacing w:line="480" w:lineRule="exact"/>
              <w:ind w:firstLine="221" w:firstLineChars="100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为什么有人当众讲话会沉闷？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• 超越浅见，直击演讲的真实目标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• 从新手到高手，演讲力的提升路径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• 跨越传统职场演讲的障碍和误区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81" w:type="dxa"/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i/>
                <w:iCs/>
                <w:color w:val="993300"/>
                <w:sz w:val="22"/>
                <w:szCs w:val="22"/>
              </w:rPr>
              <w:t xml:space="preserve">02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 xml:space="preserve">思考力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—— 要想说清楚，先要想清楚</w:t>
            </w: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70C0"/>
                <w:sz w:val="22"/>
                <w:szCs w:val="22"/>
              </w:rPr>
              <w:t>要想说清楚，先要想清楚。逻辑和信息结构是你的思考原点。</w:t>
            </w:r>
          </w:p>
        </w:tc>
        <w:tc>
          <w:tcPr>
            <w:tcW w:w="3951" w:type="dxa"/>
            <w:shd w:val="thinReverseDiagStripe" w:color="C0C0C0" w:fill="F3F3F3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D1 10:40~12:00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668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商务演讲和工作简报的基本流程。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为什么不能用电脑和Powerpoint开始你的思考？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使用什么工具和方法帮助你思考和理清逻辑？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如何判断并过滤掉听众不想听的内容？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如何转换到听众的立场和利益上讲问题？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如何在较短的时限里让你的观点清晰而有力？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掌握准备阶段的思考方法和工具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商务演讲的基本流程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从复杂混乱到简洁有力的内容萃取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传递信心比传递信息更重要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6681" w:type="dxa"/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i/>
                <w:iCs/>
                <w:color w:val="993300"/>
                <w:sz w:val="22"/>
                <w:szCs w:val="22"/>
              </w:rPr>
              <w:t xml:space="preserve">03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  <w:t xml:space="preserve">舞台力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—— 人是最重要的信息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0070C0"/>
                <w:sz w:val="22"/>
                <w:szCs w:val="22"/>
              </w:rPr>
              <w:t>商务演讲是商务沟通的第一现场。在这个场合下，人是最重要的因素，它决定了沟通的质量和成效，因此做演讲或简报的讲者一定要塑造好自己</w:t>
            </w:r>
          </w:p>
        </w:tc>
        <w:tc>
          <w:tcPr>
            <w:tcW w:w="3951" w:type="dxa"/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D1 14:00~17:30</w:t>
            </w: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含小型演练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668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当众表达呈现的表现力：表现力6法（眼、音、手、身、步、妆）责任。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训练方法：团队和个人的自我训练方法、工具、计划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克服临场的焦虑和紧张感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如何把语言风格变得生动富有感染力？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如何在商务演讲中讲精彩故事？</w:t>
            </w:r>
          </w:p>
        </w:tc>
        <w:tc>
          <w:tcPr>
            <w:tcW w:w="3951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演讲人的表现力塑造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提升肢体语言表达水平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以一个演讲教练的视角观察演讲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sz w:val="22"/>
                <w:szCs w:val="22"/>
              </w:rPr>
              <w:t>• 刻意训练（个人及团队）及其方法</w:t>
            </w:r>
          </w:p>
        </w:tc>
      </w:tr>
    </w:tbl>
    <w:p>
      <w:pPr>
        <w:spacing w:line="480" w:lineRule="exact"/>
        <w:outlineLvl w:val="2"/>
        <w:rPr>
          <w:rFonts w:hint="eastAsia" w:ascii="DengXian" w:hAnsi="DengXian" w:eastAsia="DengXian"/>
          <w:b/>
          <w:bCs/>
          <w:color w:val="800000"/>
          <w:kern w:val="28"/>
          <w:sz w:val="28"/>
          <w:szCs w:val="28"/>
        </w:rPr>
      </w:pPr>
    </w:p>
    <w:tbl>
      <w:tblPr>
        <w:tblStyle w:val="7"/>
        <w:tblW w:w="10632" w:type="dxa"/>
        <w:tblInd w:w="-743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5"/>
        <w:gridCol w:w="367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955" w:type="dxa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</w:p>
        </w:tc>
        <w:tc>
          <w:tcPr>
            <w:tcW w:w="3677" w:type="dxa"/>
            <w:noWrap w:val="0"/>
            <w:vAlign w:val="top"/>
          </w:tcPr>
          <w:p>
            <w:pPr>
              <w:spacing w:line="480" w:lineRule="exact"/>
              <w:jc w:val="center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6955" w:type="dxa"/>
            <w:tcBorders>
              <w:top w:val="single" w:color="FFFFFF" w:sz="4" w:space="0"/>
            </w:tcBorders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color w:val="993300"/>
                <w:sz w:val="40"/>
                <w:szCs w:val="40"/>
              </w:rPr>
              <w:t>04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8"/>
                <w:szCs w:val="21"/>
              </w:rPr>
              <w:t xml:space="preserve">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32"/>
                <w:szCs w:val="32"/>
              </w:rPr>
              <w:t>视觉力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8"/>
                <w:szCs w:val="21"/>
              </w:rPr>
              <w:t xml:space="preserve">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—— 做专业的演讲型PPT幻灯片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  <w:r>
              <w:rPr>
                <w:rFonts w:hint="eastAsia" w:ascii="DengXian" w:hAnsi="DengXian" w:eastAsia="DengXian"/>
                <w:b/>
                <w:bCs/>
                <w:color w:val="0070C0"/>
                <w:sz w:val="22"/>
                <w:szCs w:val="22"/>
              </w:rPr>
              <w:t>PPT幻灯片是商务沟通中有力的视觉工具，集视觉传播、平面设计、美学方案、故事、流程及信息设计于一身，要以沟通效力为任务，兼顾美学和效率</w:t>
            </w:r>
          </w:p>
        </w:tc>
        <w:tc>
          <w:tcPr>
            <w:tcW w:w="3677" w:type="dxa"/>
            <w:tcBorders>
              <w:top w:val="single" w:color="FFFFFF" w:sz="4" w:space="0"/>
            </w:tcBorders>
            <w:shd w:val="thinReverseDiagStripe" w:color="C0C0C0" w:fill="F3F3F3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  <w:r>
              <w:rPr>
                <w:rFonts w:hint="eastAsia" w:ascii="DengXian" w:hAnsi="DengXian" w:eastAsia="DengXian"/>
                <w:b/>
                <w:bCs/>
                <w:color w:val="4D4D4D"/>
                <w:sz w:val="20"/>
                <w:szCs w:val="20"/>
              </w:rPr>
              <w:t>D2 9:00~11:00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695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1. 常见职场PPT幻灯片的误区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2. 常用的陈述结构的PPT表现方法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3. “流”（Flow）是PPT幻灯片沟通效力的精髓所在。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4. 如何设计PPT幻灯片的“流”（Flow）？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5. 如何动用“视-听-读”多个维度，调动听众的感观和兴趣？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6. 对500强公司PPT幻灯片点评分析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掌握演讲型PPT的特征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图形化表达技巧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One message 原则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立体多维的演讲沟通技巧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6955" w:type="dxa"/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b/>
                <w:bCs/>
                <w:i/>
                <w:iCs/>
                <w:color w:val="993300"/>
                <w:sz w:val="40"/>
                <w:szCs w:val="40"/>
              </w:rPr>
              <w:t>05</w:t>
            </w:r>
            <w:r>
              <w:rPr>
                <w:rFonts w:hint="eastAsia" w:ascii="DengXian" w:hAnsi="DengXian" w:eastAsia="DengXian"/>
                <w:b/>
                <w:bCs/>
                <w:i/>
                <w:iCs/>
                <w:color w:val="993300"/>
                <w:sz w:val="44"/>
                <w:szCs w:val="44"/>
              </w:rPr>
              <w:t xml:space="preserve">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32"/>
                <w:szCs w:val="32"/>
              </w:rPr>
              <w:t xml:space="preserve">互动力 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  <w:t>—— 把演讲发展为积极的对话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 w:ascii="DengXian" w:hAnsi="DengXian" w:eastAsia="DengXian"/>
                <w:b/>
                <w:bCs/>
                <w:color w:val="548DD4"/>
                <w:sz w:val="21"/>
                <w:szCs w:val="21"/>
              </w:rPr>
              <w:t>好的演讲或简报由讲者和听众共同完成。互动不仅用于创造好气氛，</w:t>
            </w: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32"/>
                <w:szCs w:val="32"/>
              </w:rPr>
            </w:pPr>
            <w:r>
              <w:rPr>
                <w:rFonts w:hint="eastAsia" w:ascii="DengXian" w:hAnsi="DengXian" w:eastAsia="DengXian"/>
                <w:b/>
                <w:bCs/>
                <w:color w:val="548DD4"/>
                <w:sz w:val="21"/>
                <w:szCs w:val="21"/>
              </w:rPr>
              <w:t>还能促进沟通成效，探求听众内在需求，产生新内容和创见。</w:t>
            </w:r>
          </w:p>
        </w:tc>
        <w:tc>
          <w:tcPr>
            <w:tcW w:w="3677" w:type="dxa"/>
            <w:shd w:val="thinReverseDiagStripe" w:color="C0C0C0" w:fill="F3F3F3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32"/>
                <w:szCs w:val="32"/>
              </w:rPr>
            </w:pPr>
            <w:r>
              <w:rPr>
                <w:rFonts w:hint="eastAsia" w:ascii="DengXian" w:hAnsi="DengXian" w:eastAsia="DengXian"/>
                <w:b/>
                <w:bCs/>
                <w:color w:val="4D4D4D"/>
                <w:sz w:val="21"/>
                <w:szCs w:val="21"/>
              </w:rPr>
              <w:t>D2 11:00~12:00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695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1. 体验并分析双向沟通的特征和执行难度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2. 管理听众的注意力：商务演讲的心跳法则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3. 如何设计并管理听众的反应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4. 如何回应疑难和刁钻的问题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5. 面对不同个性的听众，调整演讲和简报的策略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掌握让听众热情参与的互动方法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听众注意力管理法则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应对提问和质疑的技巧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955" w:type="dxa"/>
            <w:shd w:val="thinReverseDiagStripe" w:color="C0C0C0" w:fill="F3F3F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DengXian" w:hAnsi="DengXian" w:eastAsia="DengXian"/>
                <w:b/>
                <w:bCs/>
                <w:i/>
                <w:iCs/>
                <w:color w:val="993300"/>
                <w:sz w:val="36"/>
                <w:szCs w:val="36"/>
              </w:rPr>
              <w:t xml:space="preserve">06 </w:t>
            </w:r>
            <w:r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  <w:t>团队策划及情景演练</w:t>
            </w:r>
            <w:r>
              <w:rPr>
                <w:rFonts w:hint="eastAsia" w:ascii="DengXian" w:hAnsi="DengXian" w:eastAsia="DengXian"/>
                <w:b/>
                <w:bCs/>
                <w:color w:val="000000"/>
                <w:sz w:val="21"/>
                <w:szCs w:val="21"/>
              </w:rPr>
              <w:t>——正确方法+专业指导持续规范练习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0070C0"/>
                <w:sz w:val="21"/>
                <w:szCs w:val="21"/>
              </w:rPr>
            </w:pPr>
            <w:r>
              <w:rPr>
                <w:rFonts w:hint="eastAsia" w:ascii="DengXian" w:hAnsi="DengXian" w:eastAsia="DengXian"/>
                <w:b/>
                <w:bCs/>
                <w:color w:val="0070C0"/>
                <w:sz w:val="21"/>
                <w:szCs w:val="21"/>
              </w:rPr>
              <w:t>检测和发现您在商务演讲和工作简报中的特点和个性，学会避开常见误区。</w:t>
            </w:r>
          </w:p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  <w:r>
              <w:rPr>
                <w:rFonts w:hint="eastAsia" w:ascii="DengXian" w:hAnsi="DengXian" w:eastAsia="DengXian"/>
                <w:b/>
                <w:bCs/>
                <w:color w:val="0070C0"/>
                <w:sz w:val="21"/>
                <w:szCs w:val="21"/>
              </w:rPr>
              <w:t>内容：团队策略思考/模拟PPT制作/小组排练/各团队演讲汇报/交叉点评</w:t>
            </w:r>
          </w:p>
        </w:tc>
        <w:tc>
          <w:tcPr>
            <w:tcW w:w="3677" w:type="dxa"/>
            <w:shd w:val="thinReverseDiagStripe" w:color="C0C0C0" w:fill="F3F3F3"/>
            <w:noWrap w:val="0"/>
            <w:vAlign w:val="top"/>
          </w:tcPr>
          <w:p>
            <w:pPr>
              <w:spacing w:line="480" w:lineRule="exact"/>
              <w:outlineLvl w:val="2"/>
              <w:rPr>
                <w:rFonts w:hint="eastAsia" w:ascii="DengXian" w:hAnsi="DengXian" w:eastAsia="DengXian"/>
                <w:b/>
                <w:bCs/>
                <w:color w:val="800000"/>
                <w:kern w:val="28"/>
                <w:sz w:val="28"/>
                <w:szCs w:val="28"/>
              </w:rPr>
            </w:pPr>
            <w:r>
              <w:rPr>
                <w:rFonts w:hint="eastAsia" w:ascii="DengXian" w:hAnsi="DengXian" w:eastAsia="DengXian"/>
                <w:b/>
                <w:bCs/>
                <w:color w:val="4D4D4D"/>
                <w:sz w:val="20"/>
                <w:szCs w:val="20"/>
              </w:rPr>
              <w:t>D2 14:00~17:30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695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1. 演讲和汇报的策划和筹备阶段的方法应用和表现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2. 商务演讲中的团队分工合作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3. 台上表现力的执行、观察、解析、交叉点评、总结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hint="eastAsia" w:ascii="DengXian" w:hAnsi="DengXian" w:eastAsia="DengXian"/>
                <w:sz w:val="22"/>
                <w:szCs w:val="22"/>
              </w:rPr>
              <w:t>4. 检测并提升学员在内容清晰度、肢体语言、说服方法、互动策略、 问题应对方面的临场表现并给予改善建议。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发现自我最真实的思路、表达方法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检验自己最容易出现的误区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学会观察和评价</w:t>
            </w:r>
          </w:p>
          <w:p>
            <w:pPr>
              <w:autoSpaceDE w:val="0"/>
              <w:autoSpaceDN w:val="0"/>
              <w:spacing w:line="480" w:lineRule="exact"/>
              <w:rPr>
                <w:rFonts w:hint="eastAsia" w:ascii="DengXian" w:hAnsi="DengXian" w:eastAsia="DengXian"/>
                <w:sz w:val="22"/>
                <w:szCs w:val="22"/>
              </w:rPr>
            </w:pPr>
            <w:r>
              <w:rPr>
                <w:rFonts w:ascii="DengXian" w:hAnsi="DengXian" w:eastAsia="DengXian"/>
                <w:sz w:val="22"/>
                <w:szCs w:val="22"/>
              </w:rPr>
              <w:t xml:space="preserve">• </w:t>
            </w:r>
            <w:r>
              <w:rPr>
                <w:rFonts w:hint="eastAsia" w:ascii="DengXian" w:hAnsi="DengXian" w:eastAsia="DengXian"/>
                <w:sz w:val="22"/>
                <w:szCs w:val="22"/>
              </w:rPr>
              <w:t>学会课后演练和练习的方法</w:t>
            </w:r>
          </w:p>
        </w:tc>
      </w:tr>
    </w:tbl>
    <w:p>
      <w:pPr>
        <w:spacing w:line="520" w:lineRule="exact"/>
        <w:ind w:left="-210" w:leftChars="-100" w:firstLine="239" w:firstLineChars="85"/>
        <w:outlineLvl w:val="2"/>
        <w:rPr>
          <w:rFonts w:hint="eastAsia" w:ascii="DengXian" w:hAnsi="DengXian" w:eastAsia="DengXian"/>
          <w:b/>
          <w:bCs/>
          <w:color w:val="800000"/>
          <w:kern w:val="28"/>
          <w:sz w:val="28"/>
          <w:szCs w:val="28"/>
        </w:rPr>
      </w:pPr>
    </w:p>
    <w:p>
      <w:pPr>
        <w:widowControl/>
        <w:spacing w:line="360" w:lineRule="exact"/>
        <w:jc w:val="left"/>
        <w:rPr>
          <w:rFonts w:ascii="黑体" w:hAnsi="黑体" w:eastAsia="黑体"/>
          <w:b/>
          <w:color w:val="FF0000"/>
          <w:sz w:val="30"/>
          <w:szCs w:val="30"/>
        </w:rPr>
      </w:pPr>
    </w:p>
    <w:p>
      <w:pPr>
        <w:shd w:val="clear" w:color="auto" w:fill="EAEAEA" w:themeFill="accent1" w:themeFillTint="99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讲师介绍</w:t>
      </w: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等线" w:asciiTheme="majorEastAsia" w:hAnsiTheme="majorEastAsia" w:eastAsiaTheme="majorEastAsia"/>
          <w:b/>
          <w:bCs/>
          <w:sz w:val="32"/>
          <w:szCs w:val="32"/>
        </w:rPr>
        <w:t>付老师：</w:t>
      </w: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资历介绍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中南财经人力资源专业，大学老师，咨询顾问，项目经历，培训经理，企业大学校长，职业讲师，演讲教练等多重角色。</w:t>
      </w:r>
      <w:r>
        <w:rPr>
          <w:rFonts w:cs="等线" w:asciiTheme="majorEastAsia" w:hAnsiTheme="majorEastAsia" w:eastAsiaTheme="majorEastAsia"/>
          <w:sz w:val="24"/>
        </w:rPr>
        <w:t xml:space="preserve"> 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多年管理经验和咨询顾问经历：国内/海外上市企业担任培训管理岗，内训师团队负责人，企业大学校长等职，乙方咨询公司项目顾问及项目经理，带领顾问团队成功策划并实施了10多个成功项目经验。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10多年授课经验，多维知识结构，擅长把东西文化，哲学，管理学，心理学运用到课中。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绩效改进         </w:t>
      </w:r>
      <w:r>
        <w:rPr>
          <w:rFonts w:cs="等线" w:asciiTheme="majorEastAsia" w:hAnsiTheme="majorEastAsia" w:eastAsiaTheme="majorEastAsia"/>
          <w:sz w:val="24"/>
        </w:rPr>
        <w:t xml:space="preserve">    </w:t>
      </w:r>
      <w:r>
        <w:rPr>
          <w:rFonts w:hint="eastAsia" w:cs="等线" w:asciiTheme="majorEastAsia" w:hAnsiTheme="majorEastAsia" w:eastAsiaTheme="majorEastAsia"/>
          <w:sz w:val="24"/>
        </w:rPr>
        <w:t>认证顾问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魔力演讲的六个引擎  </w:t>
      </w:r>
      <w:r>
        <w:rPr>
          <w:rFonts w:cs="等线" w:asciiTheme="majorEastAsia" w:hAnsiTheme="majorEastAsia" w:eastAsiaTheme="majorEastAsia"/>
          <w:sz w:val="24"/>
        </w:rPr>
        <w:t xml:space="preserve"> </w:t>
      </w:r>
      <w:r>
        <w:rPr>
          <w:rFonts w:hint="eastAsia" w:cs="等线" w:asciiTheme="majorEastAsia" w:hAnsiTheme="majorEastAsia" w:eastAsiaTheme="majorEastAsia"/>
          <w:sz w:val="24"/>
        </w:rPr>
        <w:t>认证讲师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个人宣言：人生不止， 奋斗不止。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个人座右铭：没有任何一个想法停留在大脑，不需要付出行动。</w:t>
      </w:r>
    </w:p>
    <w:p>
      <w:pPr>
        <w:spacing w:line="480" w:lineRule="exact"/>
        <w:ind w:left="420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授课风格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重视和学员之间的互动交流来激发学员以达到最佳的课程效果。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擅长将复杂的理论和繁复的管理技能抽丝剥茧、深化提炼。故事和案例教学为主，辅以轻松活泼的方式，传授课程核心价值。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擅长基于客户真实场景做课程定制化，紧紧的将教学内容与企业实际相结合，语言幽默鲜活，寓教于乐。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荣誉及认证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深大《魔立方演讲秀》冠军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2</w:t>
      </w:r>
      <w:r>
        <w:rPr>
          <w:rFonts w:cs="等线" w:asciiTheme="majorEastAsia" w:hAnsiTheme="majorEastAsia" w:eastAsiaTheme="majorEastAsia"/>
          <w:sz w:val="24"/>
        </w:rPr>
        <w:t>017</w:t>
      </w:r>
      <w:r>
        <w:rPr>
          <w:rFonts w:hint="eastAsia" w:cs="等线" w:asciiTheme="majorEastAsia" w:hAnsiTheme="majorEastAsia" w:eastAsiaTheme="majorEastAsia"/>
          <w:sz w:val="24"/>
        </w:rPr>
        <w:t xml:space="preserve">“ 好讲师大赛” 深圳赛区评委 </w:t>
      </w:r>
      <w:r>
        <w:rPr>
          <w:rFonts w:cs="等线" w:asciiTheme="majorEastAsia" w:hAnsiTheme="majorEastAsia" w:eastAsiaTheme="majorEastAsia"/>
          <w:sz w:val="24"/>
        </w:rPr>
        <w:t xml:space="preserve"> </w:t>
      </w:r>
      <w:r>
        <w:rPr>
          <w:rFonts w:hint="eastAsia" w:cs="等线" w:asciiTheme="majorEastAsia" w:hAnsiTheme="majorEastAsia" w:eastAsiaTheme="majorEastAsia"/>
          <w:sz w:val="24"/>
        </w:rPr>
        <w:t>辅导学员拿到全国演讲冠军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cs="等线" w:asciiTheme="majorEastAsia" w:hAnsiTheme="majorEastAsia" w:eastAsiaTheme="majorEastAsia"/>
          <w:sz w:val="24"/>
        </w:rPr>
        <w:t>广东省体验式教育研究院专家委员会委员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深圳中小企业咨询委员会 专家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中南财经政法大学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人力资源管理专业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贵州大学继教院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讲师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美联物业      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培训经理，资深培训师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澳信集团      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培训讲师</w:t>
      </w:r>
    </w:p>
    <w:p>
      <w:pPr>
        <w:numPr>
          <w:ilvl w:val="0"/>
          <w:numId w:val="2"/>
        </w:num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 xml:space="preserve">渠道快建研究院   </w:t>
      </w:r>
      <w:r>
        <w:rPr>
          <w:rFonts w:cs="等线" w:asciiTheme="majorEastAsia" w:hAnsiTheme="majorEastAsia" w:eastAsiaTheme="majorEastAsia"/>
          <w:sz w:val="24"/>
        </w:rPr>
        <w:t xml:space="preserve">   </w:t>
      </w:r>
      <w:r>
        <w:rPr>
          <w:rFonts w:hint="eastAsia" w:cs="等线" w:asciiTheme="majorEastAsia" w:hAnsiTheme="majorEastAsia" w:eastAsiaTheme="majorEastAsia"/>
          <w:sz w:val="24"/>
        </w:rPr>
        <w:t>咨询顾问、项目经理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</w:p>
    <w:p>
      <w:pPr>
        <w:spacing w:line="480" w:lineRule="exact"/>
        <w:rPr>
          <w:rFonts w:cs="等线" w:asciiTheme="majorEastAsia" w:hAnsiTheme="majorEastAsia" w:eastAsiaTheme="majorEastAsia"/>
          <w:b/>
          <w:bCs/>
          <w:color w:val="C00000"/>
          <w:sz w:val="24"/>
        </w:rPr>
      </w:pPr>
      <w:r>
        <w:rPr>
          <w:rFonts w:hint="eastAsia" w:cs="等线" w:asciiTheme="majorEastAsia" w:hAnsiTheme="majorEastAsia" w:eastAsiaTheme="majorEastAsia"/>
          <w:b/>
          <w:bCs/>
          <w:color w:val="C00000"/>
          <w:sz w:val="24"/>
        </w:rPr>
        <w:t>主讲课程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管理类——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《管理者的6把金钥匙》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《四季春生—新生代辅导与激励》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职业素养类——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《跨部门沟通与协作》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《直指人心的沟通六步法》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《内训师授课技巧》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《职业竞争力提升》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《商务演讲—打动客户与领导的工作汇报》</w:t>
      </w:r>
    </w:p>
    <w:p>
      <w:pPr>
        <w:spacing w:line="480" w:lineRule="exact"/>
        <w:rPr>
          <w:rFonts w:cs="等线" w:asciiTheme="majorEastAsia" w:hAnsiTheme="majorEastAsia" w:eastAsiaTheme="majorEastAsia"/>
          <w:sz w:val="24"/>
        </w:rPr>
      </w:pPr>
      <w:r>
        <w:rPr>
          <w:rFonts w:hint="eastAsia" w:cs="等线" w:asciiTheme="majorEastAsia" w:hAnsiTheme="majorEastAsia" w:eastAsiaTheme="majorEastAsia"/>
          <w:sz w:val="24"/>
        </w:rPr>
        <w:t>《魔力演讲的6个引擎》</w:t>
      </w: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540" w:lineRule="exact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pStyle w:val="2"/>
        <w:spacing w:before="0" w:beforeAutospacing="0" w:after="0" w:afterAutospacing="0" w:line="240" w:lineRule="atLeast"/>
        <w:ind w:left="2089" w:hanging="2090" w:hangingChars="746"/>
        <w:jc w:val="center"/>
        <w:rPr>
          <w:rFonts w:hint="eastAsia" w:ascii="微软雅黑" w:hAnsi="微软雅黑" w:eastAsia="微软雅黑" w:cs="Arial"/>
          <w:kern w:val="0"/>
          <w:sz w:val="28"/>
          <w:szCs w:val="28"/>
        </w:rPr>
      </w:pPr>
    </w:p>
    <w:p>
      <w:pPr>
        <w:pStyle w:val="2"/>
        <w:spacing w:before="0" w:beforeAutospacing="0" w:after="0" w:afterAutospacing="0" w:line="240" w:lineRule="atLeast"/>
        <w:ind w:left="2089" w:hanging="2090" w:hangingChars="746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Arial"/>
          <w:kern w:val="0"/>
          <w:sz w:val="28"/>
          <w:szCs w:val="28"/>
        </w:rPr>
        <w:t>《打动客户和领导的工作汇报与商务演讲》</w:t>
      </w:r>
      <w:r>
        <w:rPr>
          <w:rFonts w:hint="eastAsia" w:ascii="微软雅黑" w:hAnsi="微软雅黑" w:eastAsia="微软雅黑"/>
          <w:sz w:val="28"/>
          <w:szCs w:val="28"/>
        </w:rPr>
        <w:t>报名回执</w:t>
      </w:r>
    </w:p>
    <w:p>
      <w:pPr>
        <w:spacing w:line="240" w:lineRule="atLeast"/>
        <w:ind w:left="-3" w:leftChars="-8" w:hanging="14" w:hangingChars="7"/>
        <w:jc w:val="center"/>
        <w:rPr>
          <w:rFonts w:ascii="黑体" w:hAnsi="宋体" w:eastAsia="黑体"/>
          <w:szCs w:val="21"/>
        </w:rPr>
      </w:pPr>
      <w:r>
        <w:rPr>
          <w:rFonts w:hint="eastAsia"/>
          <w:szCs w:val="21"/>
        </w:rPr>
        <w:t>填好下表后传真至</w:t>
      </w:r>
      <w:r>
        <w:rPr>
          <w:rFonts w:ascii="宋体" w:hAnsi="宋体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>
        <w:rPr>
          <w:rFonts w:ascii="宋体" w:hAnsi="宋体"/>
          <w:w w:val="110"/>
          <w:szCs w:val="21"/>
        </w:rPr>
        <w:t>51012039</w:t>
      </w:r>
      <w:r>
        <w:rPr>
          <w:rFonts w:hint="eastAsia"/>
          <w:szCs w:val="21"/>
        </w:rPr>
        <w:t>（此表复印有效）</w:t>
      </w:r>
    </w:p>
    <w:tbl>
      <w:tblPr>
        <w:tblStyle w:val="7"/>
        <w:tblW w:w="10728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073"/>
        <w:gridCol w:w="190"/>
        <w:gridCol w:w="1480"/>
        <w:gridCol w:w="1930"/>
        <w:gridCol w:w="730"/>
        <w:gridCol w:w="666"/>
        <w:gridCol w:w="29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735" w:type="dxa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993" w:type="dxa"/>
            <w:gridSpan w:val="7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73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发票抬头</w:t>
            </w:r>
          </w:p>
        </w:tc>
        <w:tc>
          <w:tcPr>
            <w:tcW w:w="5403" w:type="dxa"/>
            <w:gridSpan w:val="5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73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公司地址</w:t>
            </w:r>
          </w:p>
        </w:tc>
        <w:tc>
          <w:tcPr>
            <w:tcW w:w="8993" w:type="dxa"/>
            <w:gridSpan w:val="7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73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924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735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传真</w:t>
            </w: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szCs w:val="21"/>
              </w:rPr>
              <w:t>E-mail</w:t>
            </w:r>
          </w:p>
        </w:tc>
        <w:tc>
          <w:tcPr>
            <w:tcW w:w="2924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735" w:type="dxa"/>
            <w:vMerge w:val="restart"/>
            <w:vAlign w:val="center"/>
          </w:tcPr>
          <w:p>
            <w:pPr>
              <w:spacing w:line="240" w:lineRule="exact"/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073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姓名</w:t>
            </w:r>
          </w:p>
        </w:tc>
        <w:tc>
          <w:tcPr>
            <w:tcW w:w="1670" w:type="dxa"/>
            <w:gridSpan w:val="2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手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szCs w:val="21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5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5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23"/>
              <w:spacing w:before="100" w:beforeAutospacing="1" w:after="100" w:afterAutospacing="1" w:line="280" w:lineRule="exact"/>
              <w:ind w:firstLine="422"/>
              <w:rPr>
                <w:rStyle w:val="10"/>
                <w:b w:val="0"/>
                <w:bCs w:val="0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5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35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10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0728" w:type="dxa"/>
            <w:gridSpan w:val="8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参会人数：</w:t>
            </w:r>
            <w:r>
              <w:rPr>
                <w:rStyle w:val="10"/>
                <w:szCs w:val="21"/>
              </w:rPr>
              <w:t>_________</w:t>
            </w:r>
            <w:r>
              <w:rPr>
                <w:rStyle w:val="10"/>
                <w:rFonts w:hint="eastAsia"/>
                <w:szCs w:val="21"/>
              </w:rPr>
              <w:t>人，费用合计：</w:t>
            </w:r>
            <w:r>
              <w:rPr>
                <w:rStyle w:val="10"/>
                <w:szCs w:val="21"/>
              </w:rPr>
              <w:t>_________</w:t>
            </w:r>
            <w:r>
              <w:rPr>
                <w:rStyle w:val="10"/>
                <w:rFonts w:hint="eastAsia"/>
                <w:szCs w:val="21"/>
              </w:rPr>
              <w:t>元；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付款方式：□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转帐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□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现金</w:t>
            </w:r>
          </w:p>
          <w:p>
            <w:pPr>
              <w:spacing w:before="100" w:beforeAutospacing="1" w:after="100" w:afterAutospacing="1" w:line="280" w:lineRule="exact"/>
              <w:ind w:firstLine="420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rFonts w:hint="eastAsia"/>
                <w:szCs w:val="21"/>
              </w:rPr>
              <w:t>发票类别：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□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增值税普通发票</w:t>
            </w:r>
            <w:r>
              <w:rPr>
                <w:rStyle w:val="10"/>
                <w:szCs w:val="21"/>
              </w:rPr>
              <w:t xml:space="preserve">  </w:t>
            </w:r>
            <w:r>
              <w:rPr>
                <w:rStyle w:val="10"/>
                <w:rFonts w:hint="eastAsia"/>
                <w:szCs w:val="21"/>
              </w:rPr>
              <w:t>□</w:t>
            </w:r>
            <w:r>
              <w:rPr>
                <w:rStyle w:val="10"/>
                <w:szCs w:val="21"/>
              </w:rPr>
              <w:t xml:space="preserve"> </w:t>
            </w:r>
            <w:r>
              <w:rPr>
                <w:rStyle w:val="10"/>
                <w:rFonts w:hint="eastAsia"/>
                <w:szCs w:val="21"/>
              </w:rPr>
              <w:t>增值税专用发票（需提供一般纳税人开票资料）</w:t>
            </w:r>
          </w:p>
        </w:tc>
      </w:tr>
    </w:tbl>
    <w:p>
      <w:pPr>
        <w:spacing w:line="240" w:lineRule="exact"/>
        <w:ind w:left="-1079" w:leftChars="-514" w:firstLine="333" w:firstLineChars="159"/>
        <w:jc w:val="center"/>
        <w:rPr>
          <w:rFonts w:ascii="宋体"/>
          <w:color w:val="808080"/>
          <w:szCs w:val="21"/>
        </w:rPr>
      </w:pPr>
    </w:p>
    <w:p>
      <w:pPr>
        <w:spacing w:line="240" w:lineRule="exact"/>
        <w:ind w:left="-1079" w:leftChars="-514" w:firstLine="333" w:firstLineChars="159"/>
        <w:jc w:val="center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  <w:rPr>
        <w:rFonts w:ascii="宋体" w:hAnsi="宋体"/>
        <w:color w:val="0000FF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-36195</wp:posOffset>
          </wp:positionV>
          <wp:extent cx="1668780" cy="459740"/>
          <wp:effectExtent l="19050" t="0" r="7620" b="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</w:t>
    </w:r>
    <w:r>
      <w:rPr>
        <w:rFonts w:hint="eastAsia" w:ascii="宋体" w:hAnsi="宋体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hint="eastAsia" w:ascii="宋体" w:hAnsi="宋体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hint="eastAsia" w:ascii="宋体" w:hAnsi="宋体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 xml:space="preserve">51872644 (0755) 86154193 </w:t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12"/>
      <w:ind w:firstLine="360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hint="eastAsia" w:ascii="宋体" w:hAnsi="宋体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>51012039 (0755) 86154195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2"/>
      <w:numFmt w:val="bullet"/>
      <w:lvlText w:val="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  <w:color w:val="333399"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1A4A4D0"/>
    <w:multiLevelType w:val="singleLevel"/>
    <w:tmpl w:val="21A4A4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83D"/>
    <w:rsid w:val="0001519B"/>
    <w:rsid w:val="000236CD"/>
    <w:rsid w:val="00025AA9"/>
    <w:rsid w:val="000408B6"/>
    <w:rsid w:val="00065C60"/>
    <w:rsid w:val="000765F0"/>
    <w:rsid w:val="00093237"/>
    <w:rsid w:val="000F11AD"/>
    <w:rsid w:val="00102921"/>
    <w:rsid w:val="001339CD"/>
    <w:rsid w:val="00144D94"/>
    <w:rsid w:val="001725B1"/>
    <w:rsid w:val="00176443"/>
    <w:rsid w:val="00183B2F"/>
    <w:rsid w:val="001A3869"/>
    <w:rsid w:val="001A41D6"/>
    <w:rsid w:val="001A60D1"/>
    <w:rsid w:val="001B2333"/>
    <w:rsid w:val="001C2732"/>
    <w:rsid w:val="001D59DE"/>
    <w:rsid w:val="00204912"/>
    <w:rsid w:val="00213517"/>
    <w:rsid w:val="002154C3"/>
    <w:rsid w:val="00216737"/>
    <w:rsid w:val="00216F19"/>
    <w:rsid w:val="00217603"/>
    <w:rsid w:val="00224AE4"/>
    <w:rsid w:val="002320C3"/>
    <w:rsid w:val="00236B6F"/>
    <w:rsid w:val="002505F2"/>
    <w:rsid w:val="0025115F"/>
    <w:rsid w:val="00263CA3"/>
    <w:rsid w:val="002733C4"/>
    <w:rsid w:val="0027675F"/>
    <w:rsid w:val="002773C2"/>
    <w:rsid w:val="00281C9B"/>
    <w:rsid w:val="00282DDB"/>
    <w:rsid w:val="00295079"/>
    <w:rsid w:val="002A4A3D"/>
    <w:rsid w:val="002B2141"/>
    <w:rsid w:val="002B3AF3"/>
    <w:rsid w:val="002B432E"/>
    <w:rsid w:val="002C25D0"/>
    <w:rsid w:val="002E7EA2"/>
    <w:rsid w:val="002F72BB"/>
    <w:rsid w:val="00302A4D"/>
    <w:rsid w:val="00324E74"/>
    <w:rsid w:val="00325D60"/>
    <w:rsid w:val="00330B2A"/>
    <w:rsid w:val="003357F8"/>
    <w:rsid w:val="00347A5F"/>
    <w:rsid w:val="00373374"/>
    <w:rsid w:val="00380FBE"/>
    <w:rsid w:val="003A6996"/>
    <w:rsid w:val="00403F62"/>
    <w:rsid w:val="00414E5F"/>
    <w:rsid w:val="004211A4"/>
    <w:rsid w:val="00427DA2"/>
    <w:rsid w:val="00431731"/>
    <w:rsid w:val="004530E9"/>
    <w:rsid w:val="00463BC3"/>
    <w:rsid w:val="00471138"/>
    <w:rsid w:val="00493C18"/>
    <w:rsid w:val="004B3FAD"/>
    <w:rsid w:val="004B483D"/>
    <w:rsid w:val="004D3E27"/>
    <w:rsid w:val="004E4DD2"/>
    <w:rsid w:val="004F36A2"/>
    <w:rsid w:val="00514901"/>
    <w:rsid w:val="00517277"/>
    <w:rsid w:val="00541B7E"/>
    <w:rsid w:val="0058488C"/>
    <w:rsid w:val="005968F9"/>
    <w:rsid w:val="005A5926"/>
    <w:rsid w:val="005B4CC0"/>
    <w:rsid w:val="005D75F4"/>
    <w:rsid w:val="005E75C7"/>
    <w:rsid w:val="005F0D84"/>
    <w:rsid w:val="00634D71"/>
    <w:rsid w:val="00642CB9"/>
    <w:rsid w:val="006B3BA8"/>
    <w:rsid w:val="006B7BE2"/>
    <w:rsid w:val="006F033A"/>
    <w:rsid w:val="006F7178"/>
    <w:rsid w:val="00731CA6"/>
    <w:rsid w:val="00755A85"/>
    <w:rsid w:val="00772A24"/>
    <w:rsid w:val="007B5734"/>
    <w:rsid w:val="007B68B9"/>
    <w:rsid w:val="007C318A"/>
    <w:rsid w:val="007D3513"/>
    <w:rsid w:val="007D3C72"/>
    <w:rsid w:val="007F677E"/>
    <w:rsid w:val="00801085"/>
    <w:rsid w:val="00823687"/>
    <w:rsid w:val="00842199"/>
    <w:rsid w:val="008544DE"/>
    <w:rsid w:val="0086764C"/>
    <w:rsid w:val="008B4C7C"/>
    <w:rsid w:val="008C4DAC"/>
    <w:rsid w:val="008C5842"/>
    <w:rsid w:val="00903A94"/>
    <w:rsid w:val="009162FC"/>
    <w:rsid w:val="00922D64"/>
    <w:rsid w:val="00967C57"/>
    <w:rsid w:val="00975DDB"/>
    <w:rsid w:val="009A4921"/>
    <w:rsid w:val="009C19FB"/>
    <w:rsid w:val="009E165C"/>
    <w:rsid w:val="009E73B7"/>
    <w:rsid w:val="00A15BC4"/>
    <w:rsid w:val="00A17DC3"/>
    <w:rsid w:val="00A23EA7"/>
    <w:rsid w:val="00A628C7"/>
    <w:rsid w:val="00A62FE0"/>
    <w:rsid w:val="00A733B7"/>
    <w:rsid w:val="00A7465D"/>
    <w:rsid w:val="00A81C20"/>
    <w:rsid w:val="00A94E69"/>
    <w:rsid w:val="00AB1C2B"/>
    <w:rsid w:val="00AB43FB"/>
    <w:rsid w:val="00AB7C5B"/>
    <w:rsid w:val="00AC7ED1"/>
    <w:rsid w:val="00B132BF"/>
    <w:rsid w:val="00B15300"/>
    <w:rsid w:val="00B32E7A"/>
    <w:rsid w:val="00B545A7"/>
    <w:rsid w:val="00B81FF3"/>
    <w:rsid w:val="00B95597"/>
    <w:rsid w:val="00BE3AF3"/>
    <w:rsid w:val="00BF0AEF"/>
    <w:rsid w:val="00C13A7C"/>
    <w:rsid w:val="00C14A85"/>
    <w:rsid w:val="00C34974"/>
    <w:rsid w:val="00C54018"/>
    <w:rsid w:val="00C6119F"/>
    <w:rsid w:val="00C61A63"/>
    <w:rsid w:val="00C62077"/>
    <w:rsid w:val="00C707B9"/>
    <w:rsid w:val="00C715F0"/>
    <w:rsid w:val="00C73355"/>
    <w:rsid w:val="00C76020"/>
    <w:rsid w:val="00C84FCB"/>
    <w:rsid w:val="00CD36D7"/>
    <w:rsid w:val="00D004CA"/>
    <w:rsid w:val="00D05407"/>
    <w:rsid w:val="00D054E5"/>
    <w:rsid w:val="00D056E5"/>
    <w:rsid w:val="00D15FD7"/>
    <w:rsid w:val="00D2480E"/>
    <w:rsid w:val="00D349A4"/>
    <w:rsid w:val="00D45AD8"/>
    <w:rsid w:val="00D517B5"/>
    <w:rsid w:val="00D73805"/>
    <w:rsid w:val="00D80283"/>
    <w:rsid w:val="00D863E0"/>
    <w:rsid w:val="00D90381"/>
    <w:rsid w:val="00D94B06"/>
    <w:rsid w:val="00DC3C62"/>
    <w:rsid w:val="00DD79C4"/>
    <w:rsid w:val="00DE2CF6"/>
    <w:rsid w:val="00DE45C3"/>
    <w:rsid w:val="00DF09AE"/>
    <w:rsid w:val="00E0213B"/>
    <w:rsid w:val="00E1235F"/>
    <w:rsid w:val="00E21301"/>
    <w:rsid w:val="00E2237A"/>
    <w:rsid w:val="00E43081"/>
    <w:rsid w:val="00E4411A"/>
    <w:rsid w:val="00E55221"/>
    <w:rsid w:val="00EB7374"/>
    <w:rsid w:val="00ED13F1"/>
    <w:rsid w:val="00EE2C85"/>
    <w:rsid w:val="00EE3265"/>
    <w:rsid w:val="00F30D0B"/>
    <w:rsid w:val="00F31ACB"/>
    <w:rsid w:val="00F37370"/>
    <w:rsid w:val="00F45274"/>
    <w:rsid w:val="00F5628A"/>
    <w:rsid w:val="00F6060F"/>
    <w:rsid w:val="00F6293C"/>
    <w:rsid w:val="00F91A7A"/>
    <w:rsid w:val="00F969CA"/>
    <w:rsid w:val="00FA70C3"/>
    <w:rsid w:val="00FE0E7A"/>
    <w:rsid w:val="00FF5345"/>
    <w:rsid w:val="01331E45"/>
    <w:rsid w:val="090F5D9F"/>
    <w:rsid w:val="09C05201"/>
    <w:rsid w:val="105000F8"/>
    <w:rsid w:val="13C86BE9"/>
    <w:rsid w:val="1807409F"/>
    <w:rsid w:val="184123F5"/>
    <w:rsid w:val="25CD7544"/>
    <w:rsid w:val="28141771"/>
    <w:rsid w:val="298B645C"/>
    <w:rsid w:val="29CE67D8"/>
    <w:rsid w:val="29EB12F2"/>
    <w:rsid w:val="29EF3210"/>
    <w:rsid w:val="307820FC"/>
    <w:rsid w:val="384F5916"/>
    <w:rsid w:val="387C39DA"/>
    <w:rsid w:val="408B1CD0"/>
    <w:rsid w:val="411E1D16"/>
    <w:rsid w:val="49451AB7"/>
    <w:rsid w:val="515C3FAB"/>
    <w:rsid w:val="52A9707A"/>
    <w:rsid w:val="562A7E09"/>
    <w:rsid w:val="58307F1C"/>
    <w:rsid w:val="639D5553"/>
    <w:rsid w:val="6B142499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color w:val="5F5F5F" w:themeColor="hyperlink"/>
      <w:u w:val="single"/>
    </w:rPr>
  </w:style>
  <w:style w:type="paragraph" w:customStyle="1" w:styleId="12">
    <w:name w:val="列出段落1"/>
    <w:basedOn w:val="1"/>
    <w:unhideWhenUsed/>
    <w:qFormat/>
    <w:uiPriority w:val="0"/>
    <w:pPr>
      <w:ind w:firstLine="420" w:firstLineChars="200"/>
    </w:p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5">
    <w:name w:val="List Paragraph"/>
    <w:basedOn w:val="1"/>
    <w:link w:val="17"/>
    <w:unhideWhenUsed/>
    <w:qFormat/>
    <w:uiPriority w:val="34"/>
    <w:pPr>
      <w:ind w:firstLine="420" w:firstLineChars="200"/>
    </w:pPr>
  </w:style>
  <w:style w:type="character" w:customStyle="1" w:styleId="16">
    <w:name w:val="Book Title"/>
    <w:basedOn w:val="9"/>
    <w:qFormat/>
    <w:uiPriority w:val="33"/>
    <w:rPr>
      <w:b/>
      <w:bCs/>
      <w:smallCaps/>
      <w:spacing w:val="5"/>
    </w:rPr>
  </w:style>
  <w:style w:type="character" w:customStyle="1" w:styleId="17">
    <w:name w:val="列出段落 Char"/>
    <w:link w:val="15"/>
    <w:qFormat/>
    <w:locked/>
    <w:uiPriority w:val="34"/>
    <w:rPr>
      <w:kern w:val="2"/>
      <w:sz w:val="21"/>
      <w:szCs w:val="24"/>
    </w:rPr>
  </w:style>
  <w:style w:type="character" w:customStyle="1" w:styleId="18">
    <w:name w:val="zi_chinablue"/>
    <w:qFormat/>
    <w:uiPriority w:val="0"/>
  </w:style>
  <w:style w:type="character" w:customStyle="1" w:styleId="19">
    <w:name w:val="Hyperlink.1"/>
    <w:basedOn w:val="18"/>
    <w:qFormat/>
    <w:uiPriority w:val="0"/>
    <w:rPr>
      <w:lang w:val="zh-TW" w:eastAsia="zh-TW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Char"/>
    <w:basedOn w:val="9"/>
    <w:link w:val="5"/>
    <w:qFormat/>
    <w:locked/>
    <w:uiPriority w:val="99"/>
    <w:rPr>
      <w:rFonts w:ascii="Times New Roman" w:hAnsi="Times New Roman"/>
      <w:kern w:val="2"/>
      <w:sz w:val="18"/>
      <w:szCs w:val="24"/>
    </w:rPr>
  </w:style>
  <w:style w:type="character" w:customStyle="1" w:styleId="22">
    <w:name w:val="标题 1 Char"/>
    <w:basedOn w:val="9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3">
    <w:name w:val="默认段落字体 Para Char Char Char Char"/>
    <w:basedOn w:val="1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7</Pages>
  <Words>473</Words>
  <Characters>2699</Characters>
  <Lines>22</Lines>
  <Paragraphs>6</Paragraphs>
  <TotalTime>1</TotalTime>
  <ScaleCrop>false</ScaleCrop>
  <LinksUpToDate>false</LinksUpToDate>
  <CharactersWithSpaces>3166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2019-10-18T03:39:00Z</dcterms:created>
  <dc:creator>杜建婷</dc:creator>
  <cp:lastModifiedBy>林雄生</cp:lastModifiedBy>
  <dcterms:modified xsi:type="dcterms:W3CDTF">2020-12-16T01:12:02Z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